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II -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Relatório das Atividades</w:t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Ano de competência: __________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71.99999999999999" w:type="dxa"/>
        <w:tblLayout w:type="fixed"/>
        <w:tblLook w:val="00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3130.209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Razão Social: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Nome fantasia: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CNPJ (Cadastro Nacional de Pessoa Jurídica):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Endereço Completo da OSC: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Bairro:                                              Microrregião:                                         CEP:                           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Município:                                     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Telefone Fixo:                                  Celular:                            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E-mail Institucional: 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Nome Dirigente: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Nome do Coordenador: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Identificação dos Serviços, Programas e Projetos desenvolvidos informando: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a) Ações Desenvolvidas de cada Serviço, Programa ou Projeto: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Identificação: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Público atendido: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Faixa etária: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Num. de Atendimentos: Conveniados (     ); Não Conveniados (      );   PCD’s (      );Próprios (      )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Descrições das ações (resumidamente):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Objetivos Específicos: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Metodologia: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Avaliação: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b) Recursos Humanos: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Preencher o quadro institucional por Serviço, Programa e Projetos: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Função: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Quantidade de Profissionais: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Formação: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Carga Horária: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Vínculo Institucional: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c) Recursos Financeiros: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Informar a origem dos recursos: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d) Outras Considerações: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2E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Responsável Legal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1418" w:left="1701" w:right="862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Lustria">
    <w:embedRegular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widowControl w:val="0"/>
      <w:spacing w:line="276" w:lineRule="auto"/>
      <w:rPr>
        <w:rFonts w:ascii="Lustria" w:cs="Lustria" w:eastAsia="Lustria" w:hAnsi="Lustria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781.0" w:type="dxa"/>
      <w:jc w:val="left"/>
      <w:tblInd w:w="-714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69"/>
      <w:gridCol w:w="7512"/>
      <w:tblGridChange w:id="0">
        <w:tblGrid>
          <w:gridCol w:w="2269"/>
          <w:gridCol w:w="751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3">
          <w:pPr>
            <w:tabs>
              <w:tab w:val="center" w:pos="4252"/>
              <w:tab w:val="right" w:pos="8504"/>
            </w:tabs>
            <w:jc w:val="center"/>
            <w:rPr>
              <w:rFonts w:ascii="Libre Baskerville" w:cs="Libre Baskerville" w:eastAsia="Libre Baskerville" w:hAnsi="Libre Baskerville"/>
              <w:sz w:val="20"/>
              <w:szCs w:val="20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sz w:val="20"/>
              <w:szCs w:val="20"/>
            </w:rPr>
            <w:drawing>
              <wp:inline distB="0" distT="0" distL="0" distR="0">
                <wp:extent cx="1288453" cy="93929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453" cy="9392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4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CONSELHO MUNICIPAL DOS DIREITOS DA CRIANÇA E DO ADOLESCENTE – CMDCA</w:t>
            <w:br w:type="textWrapping"/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(INSTITUÍDO PELA LEI MUNICIPAL N°3.160/2015)</w:t>
            <w:br w:type="textWrapping"/>
            <w:t xml:space="preserve">PORTO FERREIRA, SP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2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Times New Roman" w:eastAsia="Arial Unicode M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b w:val="0"/>
      <w:w w:val="100"/>
      <w:position w:val="-1"/>
      <w:u w:color="auto" w:val="none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b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b w:val="0"/>
      <w:w w:val="100"/>
      <w:position w:val="-1"/>
      <w:u w:color="auto" w:val="none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b w:val="1"/>
      <w:color w:val="0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b w:val="0"/>
      <w:color w:val="000000"/>
      <w:w w:val="100"/>
      <w:position w:val="-1"/>
      <w:u w:color="auto" w:val="none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harChar2">
    <w:name w:val="Char Char2"/>
    <w:next w:val="CharChar2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harChar1">
    <w:name w:val="Char Char1"/>
    <w:next w:val="CharChar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harChar3">
    <w:name w:val="Char Char3"/>
    <w:next w:val="CharChar3"/>
    <w:autoRedefine w:val="0"/>
    <w:hidden w:val="0"/>
    <w:qFormat w:val="0"/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harChar">
    <w:name w:val="Char Char"/>
    <w:next w:val="CharChar"/>
    <w:autoRedefine w:val="0"/>
    <w:hidden w:val="0"/>
    <w:qFormat w:val="0"/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Lustria-regular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8MOgNeyCyj+a8/1mRtvT1VLGww==">AMUW2mW1EpY20pxUydaD/7oEyhOllTvRvms4CnEivcyDOg6DcImGE956sqxT3obmE4z+qsVKCIp4O/vlfc1kjNcO1DOOcoyaQRYpNieX2zuULX/raKRXwpo=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2017-03-09T19:42:00Z</dcterms:created>
  <dc:creator>Casas de Acolhida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1932100331</vt:i4>
  </property>
  <property fmtid="{D5CDD505-2E9C-101B-9397-08002B2CF9AE}" pid="3" name="_EmailSubject">
    <vt:lpstr>CMDCA/FUNCRIANÇA: Solicitação de Atestado de Funcionamento -  Obra Social Santa Luiza </vt:lpstr>
  </property>
  <property fmtid="{D5CDD505-2E9C-101B-9397-08002B2CF9AE}" pid="4" name="_AuthorEmail">
    <vt:lpstr>gerenciacmdca@smgl.prefpoa.com.br</vt:lpstr>
  </property>
  <property fmtid="{D5CDD505-2E9C-101B-9397-08002B2CF9AE}" pid="5" name="_AuthorEmailDisplayName">
    <vt:lpstr>_SMGL - Gerência CMDCA/FMDCA</vt:lpstr>
  </property>
</Properties>
</file>