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B" w:rsidRDefault="00CB6DEB" w:rsidP="00CB6D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44A0D" w:rsidRPr="00544A0D" w:rsidRDefault="00544A0D" w:rsidP="00CB6D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1120C" w:rsidRPr="00544A0D" w:rsidRDefault="008211C7" w:rsidP="00CB6D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44A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ANEXO</w:t>
      </w:r>
      <w:r w:rsidR="0061120C" w:rsidRPr="00544A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I</w:t>
      </w:r>
      <w:r w:rsidRPr="00544A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</w:t>
      </w:r>
    </w:p>
    <w:p w:rsidR="00A0502D" w:rsidRDefault="00A0502D" w:rsidP="008211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4A0D" w:rsidRPr="00544A0D" w:rsidRDefault="00544A0D" w:rsidP="008211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20C" w:rsidRPr="00544A0D" w:rsidRDefault="0061120C" w:rsidP="00CB6D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</w:p>
    <w:p w:rsidR="000B6778" w:rsidRDefault="000B6778" w:rsidP="00544A0D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544A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Art. </w:t>
      </w:r>
      <w:r w:rsidR="00F06106" w:rsidRPr="00544A0D">
        <w:rPr>
          <w:rFonts w:ascii="Times New Roman" w:hAnsi="Times New Roman" w:cs="Times New Roman"/>
          <w:b/>
          <w:i/>
          <w:color w:val="222222"/>
          <w:sz w:val="24"/>
          <w:szCs w:val="24"/>
        </w:rPr>
        <w:t>1º</w:t>
      </w:r>
      <w:r w:rsidR="00544A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-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É indispensável, nos casos de construção civil, inclusive reformas, </w:t>
      </w:r>
      <w:r w:rsidR="00686F3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ampliações, 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adaptações e demolições, a exibição da prova de quitação do imposto devido e da respectiva documentação fiscal, por ocasião do requerimen</w:t>
      </w:r>
      <w:r w:rsidR="006E2B4B" w:rsidRPr="00544A0D">
        <w:rPr>
          <w:rFonts w:ascii="Times New Roman" w:hAnsi="Times New Roman" w:cs="Times New Roman"/>
          <w:i/>
          <w:color w:val="222222"/>
          <w:sz w:val="24"/>
          <w:szCs w:val="24"/>
        </w:rPr>
        <w:t>to para expedição do habite-se/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certidão de conclusão de obra, para que sejam confrontados com </w:t>
      </w:r>
      <w:r w:rsidR="00686F30">
        <w:rPr>
          <w:rFonts w:ascii="Times New Roman" w:hAnsi="Times New Roman" w:cs="Times New Roman"/>
          <w:i/>
          <w:color w:val="222222"/>
          <w:sz w:val="24"/>
          <w:szCs w:val="24"/>
        </w:rPr>
        <w:t>os valores</w:t>
      </w:r>
      <w:r w:rsidR="00803B71"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instituíd</w:t>
      </w:r>
      <w:r w:rsidR="00686F30">
        <w:rPr>
          <w:rFonts w:ascii="Times New Roman" w:hAnsi="Times New Roman" w:cs="Times New Roman"/>
          <w:i/>
          <w:color w:val="222222"/>
          <w:sz w:val="24"/>
          <w:szCs w:val="24"/>
        </w:rPr>
        <w:t>os</w:t>
      </w:r>
      <w:r w:rsidR="00803B71"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pelo M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unicípio, basead</w:t>
      </w:r>
      <w:r w:rsidR="00686F30">
        <w:rPr>
          <w:rFonts w:ascii="Times New Roman" w:hAnsi="Times New Roman" w:cs="Times New Roman"/>
          <w:i/>
          <w:color w:val="222222"/>
          <w:sz w:val="24"/>
          <w:szCs w:val="24"/>
        </w:rPr>
        <w:t>os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nos preços mínimos de mão-de-obra</w:t>
      </w:r>
      <w:r w:rsidR="00686F30">
        <w:rPr>
          <w:rFonts w:ascii="Times New Roman" w:hAnsi="Times New Roman" w:cs="Times New Roman"/>
          <w:i/>
          <w:color w:val="222222"/>
          <w:sz w:val="24"/>
          <w:szCs w:val="24"/>
        </w:rPr>
        <w:t>, consoante o § 2º do art. 3º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</w:p>
    <w:p w:rsidR="00544A0D" w:rsidRPr="00544A0D" w:rsidRDefault="00544A0D" w:rsidP="00544A0D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:rsidR="00F06106" w:rsidRPr="00544A0D" w:rsidRDefault="00F06106" w:rsidP="00544A0D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:rsidR="00F06106" w:rsidRDefault="00F06106" w:rsidP="00544A0D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544A0D">
        <w:rPr>
          <w:rFonts w:ascii="Times New Roman" w:hAnsi="Times New Roman" w:cs="Times New Roman"/>
          <w:b/>
          <w:i/>
          <w:color w:val="222222"/>
          <w:sz w:val="24"/>
          <w:szCs w:val="24"/>
        </w:rPr>
        <w:t>Art. 2º</w:t>
      </w:r>
      <w:r w:rsidR="00544A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-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Caso seja constatado pela Fiscalização Municipal que a obra se encontra concluída</w:t>
      </w:r>
      <w:r w:rsidR="006E2B4B"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mesmo sem a solicitação do habite-se/certidão de conclusão de obra pelo proprietário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, o I</w:t>
      </w:r>
      <w:r w:rsidR="00E44D55" w:rsidRPr="00544A0D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S</w:t>
      </w:r>
      <w:r w:rsidR="00E44D55" w:rsidRPr="00544A0D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S</w:t>
      </w:r>
      <w:r w:rsidR="00E44D55" w:rsidRPr="00544A0D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Q</w:t>
      </w:r>
      <w:r w:rsidR="00E44D55" w:rsidRPr="00544A0D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N</w:t>
      </w:r>
      <w:r w:rsidR="00E44D55" w:rsidRPr="00544A0D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será lançado </w:t>
      </w:r>
      <w:r w:rsidR="00544A0D">
        <w:rPr>
          <w:rFonts w:ascii="Times New Roman" w:hAnsi="Times New Roman" w:cs="Times New Roman"/>
          <w:i/>
          <w:color w:val="222222"/>
          <w:sz w:val="24"/>
          <w:szCs w:val="24"/>
        </w:rPr>
        <w:t>“</w:t>
      </w:r>
      <w:proofErr w:type="spellStart"/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ex</w:t>
      </w:r>
      <w:r w:rsidR="00544A0D">
        <w:rPr>
          <w:rFonts w:ascii="Times New Roman" w:hAnsi="Times New Roman" w:cs="Times New Roman"/>
          <w:i/>
          <w:color w:val="222222"/>
          <w:sz w:val="24"/>
          <w:szCs w:val="24"/>
        </w:rPr>
        <w:t>-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officio</w:t>
      </w:r>
      <w:proofErr w:type="spellEnd"/>
      <w:r w:rsidR="00544A0D">
        <w:rPr>
          <w:rFonts w:ascii="Times New Roman" w:hAnsi="Times New Roman" w:cs="Times New Roman"/>
          <w:i/>
          <w:color w:val="222222"/>
          <w:sz w:val="24"/>
          <w:szCs w:val="24"/>
        </w:rPr>
        <w:t>”</w:t>
      </w:r>
      <w:r w:rsidR="006E2B4B" w:rsidRPr="00544A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pela Administração Municipal</w:t>
      </w:r>
      <w:r w:rsidRPr="00544A0D">
        <w:rPr>
          <w:rFonts w:ascii="Times New Roman" w:hAnsi="Times New Roman" w:cs="Times New Roman"/>
          <w:i/>
          <w:color w:val="222222"/>
          <w:sz w:val="24"/>
          <w:szCs w:val="24"/>
        </w:rPr>
        <w:t>, nos mesmos moldes definidos no artigo anterior.</w:t>
      </w:r>
    </w:p>
    <w:p w:rsidR="00544A0D" w:rsidRPr="00544A0D" w:rsidRDefault="00544A0D" w:rsidP="00544A0D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:rsidR="000372D0" w:rsidRPr="00544A0D" w:rsidRDefault="000372D0" w:rsidP="00544A0D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778" w:rsidRPr="00544A0D" w:rsidRDefault="00EC1CD1" w:rsidP="00544A0D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544A0D">
        <w:rPr>
          <w:b/>
          <w:i/>
          <w:color w:val="222222"/>
        </w:rPr>
        <w:t>Art. 3º</w:t>
      </w:r>
      <w:r w:rsidR="00544A0D">
        <w:rPr>
          <w:b/>
          <w:i/>
          <w:color w:val="222222"/>
        </w:rPr>
        <w:t xml:space="preserve"> -</w:t>
      </w:r>
      <w:r w:rsidRPr="00544A0D">
        <w:rPr>
          <w:i/>
          <w:color w:val="222222"/>
        </w:rPr>
        <w:t xml:space="preserve"> </w:t>
      </w:r>
      <w:r w:rsidR="00635398" w:rsidRPr="00544A0D">
        <w:rPr>
          <w:i/>
          <w:color w:val="222222"/>
        </w:rPr>
        <w:t xml:space="preserve">Em ambas as hipóteses previstas nos </w:t>
      </w:r>
      <w:proofErr w:type="spellStart"/>
      <w:r w:rsidR="00635398" w:rsidRPr="00544A0D">
        <w:rPr>
          <w:i/>
          <w:color w:val="222222"/>
        </w:rPr>
        <w:t>arts</w:t>
      </w:r>
      <w:proofErr w:type="spellEnd"/>
      <w:r w:rsidR="00635398" w:rsidRPr="00544A0D">
        <w:rPr>
          <w:i/>
          <w:color w:val="222222"/>
        </w:rPr>
        <w:t xml:space="preserve">. 1º e 2º, será </w:t>
      </w:r>
      <w:r w:rsidR="000B6778" w:rsidRPr="00544A0D">
        <w:rPr>
          <w:i/>
          <w:color w:val="222222"/>
        </w:rPr>
        <w:t>aplica</w:t>
      </w:r>
      <w:r w:rsidR="00635398" w:rsidRPr="00544A0D">
        <w:rPr>
          <w:i/>
          <w:color w:val="222222"/>
        </w:rPr>
        <w:t>do</w:t>
      </w:r>
      <w:r w:rsidR="000B6778" w:rsidRPr="00544A0D">
        <w:rPr>
          <w:i/>
          <w:color w:val="222222"/>
        </w:rPr>
        <w:t xml:space="preserve"> o previsto n</w:t>
      </w:r>
      <w:r w:rsidR="00635398" w:rsidRPr="00544A0D">
        <w:rPr>
          <w:i/>
          <w:color w:val="222222"/>
        </w:rPr>
        <w:t>este anexo</w:t>
      </w:r>
      <w:r w:rsidR="000B6778" w:rsidRPr="00544A0D">
        <w:rPr>
          <w:i/>
          <w:color w:val="222222"/>
        </w:rPr>
        <w:t>, facultando ao contribuinte</w:t>
      </w:r>
      <w:r w:rsidR="00B71228" w:rsidRPr="00544A0D">
        <w:rPr>
          <w:i/>
          <w:color w:val="222222"/>
        </w:rPr>
        <w:t xml:space="preserve"> ou responsável pelo pagamento do imposto</w:t>
      </w:r>
      <w:r w:rsidR="004511E4" w:rsidRPr="00544A0D">
        <w:rPr>
          <w:i/>
          <w:color w:val="222222"/>
        </w:rPr>
        <w:t xml:space="preserve"> </w:t>
      </w:r>
      <w:r w:rsidR="000B6778" w:rsidRPr="00544A0D">
        <w:rPr>
          <w:i/>
          <w:color w:val="222222"/>
        </w:rPr>
        <w:t>a apresentação das notas fiscais e demais documentos previstos no §</w:t>
      </w:r>
      <w:r w:rsidR="00873BAA" w:rsidRPr="00544A0D">
        <w:rPr>
          <w:i/>
          <w:color w:val="222222"/>
        </w:rPr>
        <w:t>6</w:t>
      </w:r>
      <w:r w:rsidR="000B6778" w:rsidRPr="00544A0D">
        <w:rPr>
          <w:i/>
          <w:color w:val="222222"/>
        </w:rPr>
        <w:t>º deste artigo, para cálculo do imposto.</w:t>
      </w:r>
    </w:p>
    <w:p w:rsidR="000372D0" w:rsidRPr="00544A0D" w:rsidRDefault="000372D0" w:rsidP="00544A0D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0B6778" w:rsidP="00544A0D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544A0D">
        <w:rPr>
          <w:b/>
          <w:i/>
          <w:color w:val="222222"/>
        </w:rPr>
        <w:t>§</w:t>
      </w:r>
      <w:r w:rsidR="00E84333" w:rsidRPr="00544A0D">
        <w:rPr>
          <w:b/>
          <w:i/>
          <w:color w:val="222222"/>
        </w:rPr>
        <w:t>1</w:t>
      </w:r>
      <w:r w:rsidRPr="00544A0D">
        <w:rPr>
          <w:b/>
          <w:i/>
          <w:color w:val="222222"/>
        </w:rPr>
        <w:t>º</w:t>
      </w:r>
      <w:r w:rsidR="00544A0D">
        <w:rPr>
          <w:b/>
          <w:i/>
          <w:color w:val="222222"/>
        </w:rPr>
        <w:t xml:space="preserve"> -</w:t>
      </w:r>
      <w:r w:rsidRPr="00544A0D">
        <w:rPr>
          <w:i/>
          <w:color w:val="222222"/>
        </w:rPr>
        <w:t xml:space="preserve"> É facultado</w:t>
      </w:r>
      <w:r w:rsidR="004655B3" w:rsidRPr="00544A0D">
        <w:rPr>
          <w:i/>
          <w:color w:val="222222"/>
        </w:rPr>
        <w:t xml:space="preserve"> ao contribuinte</w:t>
      </w:r>
      <w:r w:rsidRPr="00544A0D">
        <w:rPr>
          <w:i/>
          <w:color w:val="222222"/>
        </w:rPr>
        <w:t xml:space="preserve"> </w:t>
      </w:r>
      <w:r w:rsidR="00B71228" w:rsidRPr="00544A0D">
        <w:rPr>
          <w:i/>
          <w:color w:val="222222"/>
        </w:rPr>
        <w:t xml:space="preserve">ou responsável pelo pagamento do imposto </w:t>
      </w:r>
      <w:r w:rsidRPr="00544A0D">
        <w:rPr>
          <w:i/>
          <w:color w:val="222222"/>
        </w:rPr>
        <w:t>entrega</w:t>
      </w:r>
      <w:r w:rsidR="004655B3" w:rsidRPr="00544A0D">
        <w:rPr>
          <w:i/>
          <w:color w:val="222222"/>
        </w:rPr>
        <w:t>r</w:t>
      </w:r>
      <w:r w:rsidRPr="00544A0D">
        <w:rPr>
          <w:i/>
          <w:color w:val="222222"/>
        </w:rPr>
        <w:t xml:space="preserve"> </w:t>
      </w:r>
      <w:r w:rsidR="00686F30" w:rsidRPr="00544A0D">
        <w:rPr>
          <w:i/>
          <w:color w:val="222222"/>
        </w:rPr>
        <w:t xml:space="preserve">durante a execução da obra, </w:t>
      </w:r>
      <w:r w:rsidRPr="00544A0D">
        <w:rPr>
          <w:i/>
          <w:color w:val="222222"/>
        </w:rPr>
        <w:t>mensal</w:t>
      </w:r>
      <w:r w:rsidR="004655B3" w:rsidRPr="00544A0D">
        <w:rPr>
          <w:i/>
          <w:color w:val="222222"/>
        </w:rPr>
        <w:t>mente</w:t>
      </w:r>
      <w:r w:rsidRPr="00544A0D">
        <w:rPr>
          <w:i/>
          <w:color w:val="222222"/>
        </w:rPr>
        <w:t xml:space="preserve"> à </w:t>
      </w:r>
      <w:r w:rsidR="004655B3" w:rsidRPr="00544A0D">
        <w:rPr>
          <w:i/>
          <w:color w:val="222222"/>
        </w:rPr>
        <w:t>Administração Municipal</w:t>
      </w:r>
      <w:r w:rsidR="00686F30">
        <w:rPr>
          <w:i/>
          <w:color w:val="222222"/>
        </w:rPr>
        <w:t>,</w:t>
      </w:r>
      <w:r w:rsidR="004655B3" w:rsidRPr="00544A0D">
        <w:rPr>
          <w:i/>
          <w:color w:val="222222"/>
        </w:rPr>
        <w:t xml:space="preserve"> </w:t>
      </w:r>
      <w:r w:rsidRPr="00544A0D">
        <w:rPr>
          <w:i/>
          <w:color w:val="222222"/>
        </w:rPr>
        <w:t>cópias reprográficas das notas fiscais de prestação de serviços</w:t>
      </w:r>
      <w:r w:rsidR="00334253" w:rsidRPr="00544A0D">
        <w:rPr>
          <w:i/>
          <w:color w:val="222222"/>
        </w:rPr>
        <w:t>,</w:t>
      </w:r>
      <w:r w:rsidRPr="00544A0D">
        <w:rPr>
          <w:i/>
          <w:color w:val="222222"/>
        </w:rPr>
        <w:t xml:space="preserve"> com indicação </w:t>
      </w:r>
      <w:r w:rsidR="00334253" w:rsidRPr="00544A0D">
        <w:rPr>
          <w:i/>
          <w:color w:val="222222"/>
        </w:rPr>
        <w:t>expressa da obra que se destina</w:t>
      </w:r>
      <w:r w:rsidRPr="00544A0D">
        <w:rPr>
          <w:i/>
          <w:color w:val="222222"/>
        </w:rPr>
        <w:t xml:space="preserve"> e respectivas guias recolhidas</w:t>
      </w:r>
      <w:r w:rsidR="005606CD" w:rsidRPr="00544A0D">
        <w:rPr>
          <w:i/>
          <w:color w:val="222222"/>
        </w:rPr>
        <w:t xml:space="preserve"> de I.S.S.Q.N.</w:t>
      </w:r>
      <w:r w:rsidRPr="00544A0D">
        <w:rPr>
          <w:i/>
          <w:color w:val="222222"/>
        </w:rPr>
        <w:t>, que serão aproveitadas para dedução do imposto a elas correspondentes</w:t>
      </w:r>
      <w:r w:rsidR="008B79C1" w:rsidRPr="00544A0D">
        <w:rPr>
          <w:i/>
          <w:color w:val="222222"/>
        </w:rPr>
        <w:t xml:space="preserve"> quando do </w:t>
      </w:r>
      <w:r w:rsidRPr="00544A0D">
        <w:rPr>
          <w:i/>
          <w:color w:val="222222"/>
        </w:rPr>
        <w:t>cálculo do valor do I.S.S.Q.N.</w:t>
      </w:r>
      <w:r w:rsidR="008B79C1" w:rsidRPr="00544A0D">
        <w:rPr>
          <w:i/>
          <w:color w:val="222222"/>
        </w:rPr>
        <w:t xml:space="preserve"> total devido pela execução da obra por ocasião de sua conclusão</w:t>
      </w:r>
      <w:r w:rsidRPr="00544A0D">
        <w:rPr>
          <w:i/>
          <w:color w:val="222222"/>
        </w:rPr>
        <w:t>.</w:t>
      </w:r>
    </w:p>
    <w:p w:rsidR="000372D0" w:rsidRPr="00544A0D" w:rsidRDefault="000372D0" w:rsidP="00544A0D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893AEE" w:rsidRPr="00544A0D" w:rsidRDefault="000B6778" w:rsidP="00544A0D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544A0D">
        <w:rPr>
          <w:b/>
          <w:i/>
          <w:color w:val="222222"/>
        </w:rPr>
        <w:t>§</w:t>
      </w:r>
      <w:r w:rsidR="00DC66D9" w:rsidRPr="00544A0D">
        <w:rPr>
          <w:b/>
          <w:i/>
          <w:color w:val="222222"/>
        </w:rPr>
        <w:t>2</w:t>
      </w:r>
      <w:r w:rsidRPr="00544A0D">
        <w:rPr>
          <w:b/>
          <w:i/>
          <w:color w:val="222222"/>
        </w:rPr>
        <w:t>º</w:t>
      </w:r>
      <w:r w:rsidR="000372D0" w:rsidRPr="00544A0D">
        <w:rPr>
          <w:b/>
          <w:i/>
          <w:color w:val="222222"/>
        </w:rPr>
        <w:t xml:space="preserve"> -</w:t>
      </w:r>
      <w:r w:rsidRPr="00544A0D">
        <w:rPr>
          <w:i/>
          <w:color w:val="222222"/>
        </w:rPr>
        <w:t xml:space="preserve"> </w:t>
      </w:r>
      <w:r w:rsidR="00724E3B" w:rsidRPr="00544A0D">
        <w:rPr>
          <w:i/>
          <w:color w:val="222222"/>
        </w:rPr>
        <w:t xml:space="preserve">O valor mínimo do I.S.S.Q.N. devido pela execução da obra será apurado consoante tabela abaixo, deduzindo-se os valores informados pelo contribuinte </w:t>
      </w:r>
      <w:r w:rsidR="00B71228" w:rsidRPr="00544A0D">
        <w:rPr>
          <w:i/>
          <w:color w:val="222222"/>
        </w:rPr>
        <w:t xml:space="preserve">ou responsável pelo pagamento do imposto </w:t>
      </w:r>
      <w:r w:rsidR="001123D9" w:rsidRPr="00544A0D">
        <w:rPr>
          <w:i/>
          <w:color w:val="222222"/>
        </w:rPr>
        <w:t xml:space="preserve">na forma dos art. </w:t>
      </w:r>
      <w:r w:rsidR="00B71228" w:rsidRPr="00544A0D">
        <w:rPr>
          <w:i/>
          <w:color w:val="222222"/>
        </w:rPr>
        <w:t>3</w:t>
      </w:r>
      <w:r w:rsidR="001123D9" w:rsidRPr="00544A0D">
        <w:rPr>
          <w:i/>
          <w:color w:val="222222"/>
        </w:rPr>
        <w:t xml:space="preserve">º caput e §1º </w:t>
      </w:r>
      <w:r w:rsidR="00724E3B" w:rsidRPr="00544A0D">
        <w:rPr>
          <w:i/>
          <w:color w:val="222222"/>
        </w:rPr>
        <w:t>e aceitos pela fiscalização municipal</w:t>
      </w:r>
      <w:r w:rsidRPr="00544A0D">
        <w:rPr>
          <w:i/>
          <w:color w:val="222222"/>
        </w:rPr>
        <w:t>:</w:t>
      </w:r>
    </w:p>
    <w:p w:rsidR="00893AEE" w:rsidRDefault="00893AEE" w:rsidP="000372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</w:rPr>
      </w:pPr>
    </w:p>
    <w:p w:rsidR="00544A0D" w:rsidRDefault="00544A0D" w:rsidP="000372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</w:rPr>
      </w:pPr>
    </w:p>
    <w:p w:rsidR="00544A0D" w:rsidRDefault="00544A0D" w:rsidP="000372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</w:rPr>
      </w:pPr>
    </w:p>
    <w:p w:rsidR="00544A0D" w:rsidRPr="00544A0D" w:rsidRDefault="00544A0D" w:rsidP="000372D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</w:rPr>
      </w:pPr>
    </w:p>
    <w:tbl>
      <w:tblPr>
        <w:tblW w:w="6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2605"/>
      </w:tblGrid>
      <w:tr w:rsidR="008211C7" w:rsidRPr="00544A0D" w:rsidTr="00544A0D">
        <w:trPr>
          <w:trHeight w:val="600"/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CLASSIFICAÇÃO DA OBRA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C7" w:rsidRPr="00544A0D" w:rsidRDefault="00544A0D" w:rsidP="0068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VALOR FIXO </w:t>
            </w:r>
            <w:r w:rsidR="0068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</w:t>
            </w: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(UFMM)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="008211C7"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metro quadrado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>Residencial Horizontal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Econômico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544A0D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544A0D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544A0D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544A0D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160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544A0D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200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 xml:space="preserve">Residencial Vertical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120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190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200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 xml:space="preserve">Comercial Horizontal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Econômico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62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135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182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205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 xml:space="preserve">Comercial Vertical (Escritório)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140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198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225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 xml:space="preserve">Industrial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92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 xml:space="preserve">Armazém Geral, Depósito ou </w:t>
            </w:r>
            <w:proofErr w:type="gramStart"/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>Oficina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Econômico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lastRenderedPageBreak/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8211C7" w:rsidRPr="00544A0D" w:rsidTr="000C61FE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8211C7" w:rsidRPr="00544A0D" w:rsidTr="000C61FE">
        <w:trPr>
          <w:trHeight w:val="3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8211C7" w:rsidRPr="00544A0D" w:rsidTr="00635D7E">
        <w:trPr>
          <w:trHeight w:val="3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 xml:space="preserve">Especial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105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210</w:t>
            </w: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pt-BR"/>
              </w:rPr>
              <w:t>Telheiro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8211C7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8211C7" w:rsidRPr="00544A0D" w:rsidTr="00544A0D">
        <w:trPr>
          <w:trHeight w:val="300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Econômico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8211C7" w:rsidRPr="00544A0D" w:rsidTr="00544A0D">
        <w:trPr>
          <w:trHeight w:val="315"/>
          <w:jc w:val="center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7" w:rsidRPr="00544A0D" w:rsidRDefault="008211C7" w:rsidP="0082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</w:pPr>
            <w:r w:rsidRPr="00544A0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t-BR"/>
              </w:rPr>
              <w:t>Médio inferior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1C7" w:rsidRPr="00544A0D" w:rsidRDefault="00635D7E" w:rsidP="0054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</w:tbl>
    <w:p w:rsidR="000372D0" w:rsidRPr="00544A0D" w:rsidRDefault="000372D0" w:rsidP="00CB6D0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</w:p>
    <w:p w:rsidR="000B6778" w:rsidRPr="00544A0D" w:rsidRDefault="000B6778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</w:t>
      </w:r>
      <w:r w:rsidR="00C33131" w:rsidRPr="00635D7E">
        <w:rPr>
          <w:b/>
          <w:i/>
          <w:color w:val="222222"/>
        </w:rPr>
        <w:t>3</w:t>
      </w:r>
      <w:r w:rsidRPr="00635D7E">
        <w:rPr>
          <w:b/>
          <w:i/>
          <w:color w:val="222222"/>
        </w:rPr>
        <w:t>º</w:t>
      </w:r>
      <w:r w:rsidR="000372D0" w:rsidRPr="00635D7E">
        <w:rPr>
          <w:b/>
          <w:i/>
          <w:color w:val="222222"/>
        </w:rPr>
        <w:t xml:space="preserve"> -</w:t>
      </w:r>
      <w:r w:rsidR="00DD5AE3" w:rsidRPr="00544A0D">
        <w:rPr>
          <w:i/>
          <w:color w:val="222222"/>
        </w:rPr>
        <w:t xml:space="preserve"> O valor devido correspondente ao I.S.S.Q.N. da obra será obtido pela multiplicação da alíquota estabelecida no Anexo I desta lei pelo resultado do produto da área da obra por seu valor unitário segundo sua classificação.</w:t>
      </w:r>
    </w:p>
    <w:p w:rsidR="000372D0" w:rsidRPr="00544A0D" w:rsidRDefault="000372D0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C33131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§4</w:t>
      </w:r>
      <w:r w:rsidR="000B6778" w:rsidRPr="00635D7E">
        <w:rPr>
          <w:b/>
          <w:i/>
          <w:color w:val="222222"/>
        </w:rPr>
        <w:t xml:space="preserve">º </w:t>
      </w:r>
      <w:r w:rsidR="000372D0" w:rsidRPr="00635D7E">
        <w:rPr>
          <w:b/>
          <w:i/>
          <w:color w:val="222222"/>
        </w:rPr>
        <w:t>-</w:t>
      </w:r>
      <w:r w:rsidR="000372D0" w:rsidRPr="00544A0D">
        <w:rPr>
          <w:i/>
          <w:color w:val="222222"/>
        </w:rPr>
        <w:t xml:space="preserve"> </w:t>
      </w:r>
      <w:r w:rsidR="000B6778" w:rsidRPr="00544A0D">
        <w:rPr>
          <w:i/>
          <w:color w:val="222222"/>
        </w:rPr>
        <w:t>Quando</w:t>
      </w:r>
      <w:r w:rsidR="000372D0" w:rsidRPr="00544A0D">
        <w:rPr>
          <w:i/>
          <w:color w:val="222222"/>
        </w:rPr>
        <w:t xml:space="preserve"> </w:t>
      </w:r>
      <w:r w:rsidR="000B6778" w:rsidRPr="00544A0D">
        <w:rPr>
          <w:i/>
          <w:color w:val="222222"/>
        </w:rPr>
        <w:t>s</w:t>
      </w:r>
      <w:r w:rsidR="00E60930" w:rsidRPr="00544A0D">
        <w:rPr>
          <w:i/>
          <w:color w:val="222222"/>
        </w:rPr>
        <w:t xml:space="preserve">e tratar de </w:t>
      </w:r>
      <w:r w:rsidRPr="00544A0D">
        <w:rPr>
          <w:i/>
          <w:color w:val="222222"/>
        </w:rPr>
        <w:t xml:space="preserve">reforma ou </w:t>
      </w:r>
      <w:r w:rsidR="00E60930" w:rsidRPr="00544A0D">
        <w:rPr>
          <w:i/>
          <w:color w:val="222222"/>
        </w:rPr>
        <w:t>adaptação de imóvel</w:t>
      </w:r>
      <w:r w:rsidR="000B6778" w:rsidRPr="00544A0D">
        <w:rPr>
          <w:i/>
          <w:color w:val="222222"/>
        </w:rPr>
        <w:t xml:space="preserve"> sem acréscimo de área, a base de cálculo do imposto corresponderá a 50% (</w:t>
      </w:r>
      <w:proofErr w:type="spellStart"/>
      <w:r w:rsidR="000B6778" w:rsidRPr="00544A0D">
        <w:rPr>
          <w:i/>
          <w:color w:val="222222"/>
        </w:rPr>
        <w:t>cinqüenta</w:t>
      </w:r>
      <w:proofErr w:type="spellEnd"/>
      <w:r w:rsidR="000B6778" w:rsidRPr="00544A0D">
        <w:rPr>
          <w:i/>
          <w:color w:val="222222"/>
        </w:rPr>
        <w:t xml:space="preserve"> por cento) do valor estipulado para a área total da construção </w:t>
      </w:r>
      <w:r w:rsidR="00E60930" w:rsidRPr="00544A0D">
        <w:rPr>
          <w:i/>
          <w:color w:val="222222"/>
        </w:rPr>
        <w:t xml:space="preserve">objeto da </w:t>
      </w:r>
      <w:r w:rsidR="000B6778" w:rsidRPr="00544A0D">
        <w:rPr>
          <w:i/>
          <w:color w:val="222222"/>
        </w:rPr>
        <w:t>adapt</w:t>
      </w:r>
      <w:r w:rsidR="00E60930" w:rsidRPr="00544A0D">
        <w:rPr>
          <w:i/>
          <w:color w:val="222222"/>
        </w:rPr>
        <w:t>ação</w:t>
      </w:r>
      <w:r w:rsidR="00136B69" w:rsidRPr="00544A0D">
        <w:rPr>
          <w:i/>
          <w:color w:val="222222"/>
        </w:rPr>
        <w:t>, segundo sua classificação</w:t>
      </w:r>
      <w:r w:rsidR="000B6778" w:rsidRPr="00544A0D">
        <w:rPr>
          <w:i/>
          <w:color w:val="222222"/>
        </w:rPr>
        <w:t>.</w:t>
      </w:r>
    </w:p>
    <w:p w:rsidR="000372D0" w:rsidRPr="00544A0D" w:rsidRDefault="000372D0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0B6778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</w:t>
      </w:r>
      <w:r w:rsidR="00136B69" w:rsidRPr="00635D7E">
        <w:rPr>
          <w:b/>
          <w:i/>
          <w:color w:val="222222"/>
        </w:rPr>
        <w:t>5</w:t>
      </w:r>
      <w:r w:rsidRPr="00635D7E">
        <w:rPr>
          <w:b/>
          <w:i/>
          <w:color w:val="222222"/>
        </w:rPr>
        <w:t xml:space="preserve">º </w:t>
      </w:r>
      <w:r w:rsidR="000372D0" w:rsidRPr="00635D7E">
        <w:rPr>
          <w:b/>
          <w:i/>
          <w:color w:val="222222"/>
        </w:rPr>
        <w:t>-</w:t>
      </w:r>
      <w:r w:rsidR="000372D0" w:rsidRPr="00544A0D">
        <w:rPr>
          <w:i/>
          <w:color w:val="222222"/>
        </w:rPr>
        <w:t xml:space="preserve"> </w:t>
      </w:r>
      <w:r w:rsidRPr="00544A0D">
        <w:rPr>
          <w:i/>
          <w:color w:val="222222"/>
        </w:rPr>
        <w:t>Quando</w:t>
      </w:r>
      <w:r w:rsidR="000372D0" w:rsidRPr="00544A0D">
        <w:rPr>
          <w:i/>
          <w:color w:val="222222"/>
        </w:rPr>
        <w:t xml:space="preserve"> </w:t>
      </w:r>
      <w:r w:rsidRPr="00544A0D">
        <w:rPr>
          <w:i/>
          <w:color w:val="222222"/>
        </w:rPr>
        <w:t>se tratar de d</w:t>
      </w:r>
      <w:r w:rsidR="00E60930" w:rsidRPr="00544A0D">
        <w:rPr>
          <w:i/>
          <w:color w:val="222222"/>
        </w:rPr>
        <w:t>emolição, sobre a área demolida</w:t>
      </w:r>
      <w:r w:rsidRPr="00544A0D">
        <w:rPr>
          <w:i/>
          <w:color w:val="222222"/>
        </w:rPr>
        <w:t xml:space="preserve"> será aplicada a base de cálculo do imposto corresponderá a 30% (trinta por cento) do valor fixado por tipo de construção ao qual o imóvel encontra-se cadastrado.</w:t>
      </w:r>
    </w:p>
    <w:p w:rsidR="000372D0" w:rsidRPr="00544A0D" w:rsidRDefault="000372D0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0B6778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</w:t>
      </w:r>
      <w:r w:rsidR="00873BAA" w:rsidRPr="00635D7E">
        <w:rPr>
          <w:b/>
          <w:i/>
          <w:color w:val="222222"/>
        </w:rPr>
        <w:t>6</w:t>
      </w:r>
      <w:r w:rsidRPr="00635D7E">
        <w:rPr>
          <w:b/>
          <w:i/>
          <w:color w:val="222222"/>
        </w:rPr>
        <w:t>º</w:t>
      </w:r>
      <w:r w:rsidR="000372D0" w:rsidRPr="00635D7E">
        <w:rPr>
          <w:b/>
          <w:i/>
          <w:color w:val="222222"/>
        </w:rPr>
        <w:t xml:space="preserve"> -</w:t>
      </w:r>
      <w:r w:rsidRPr="00544A0D">
        <w:rPr>
          <w:i/>
          <w:color w:val="222222"/>
        </w:rPr>
        <w:t xml:space="preserve"> Serão</w:t>
      </w:r>
      <w:r w:rsidR="000372D0" w:rsidRPr="00544A0D">
        <w:rPr>
          <w:i/>
          <w:color w:val="222222"/>
        </w:rPr>
        <w:t xml:space="preserve"> </w:t>
      </w:r>
      <w:r w:rsidRPr="00544A0D">
        <w:rPr>
          <w:i/>
          <w:color w:val="222222"/>
        </w:rPr>
        <w:t>considerados, para fins de composição do preço da obra, os valores dos serviços de mão-de-obra objeto das notas fiscais, faturas e os valores pagos aos empregados registrados na obra, incluindo-se, em relação aos empregados, os valores pagos em decorrência de cumprimento de legislação aplicável ao vínculo e com a devida comprovação de recolhimento aos órgãos previdenciários.</w:t>
      </w:r>
    </w:p>
    <w:p w:rsidR="000372D0" w:rsidRPr="00544A0D" w:rsidRDefault="000372D0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893C22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§7º</w:t>
      </w:r>
      <w:r w:rsidR="000372D0" w:rsidRPr="00635D7E">
        <w:rPr>
          <w:b/>
          <w:i/>
          <w:color w:val="222222"/>
        </w:rPr>
        <w:t xml:space="preserve"> -</w:t>
      </w:r>
      <w:r w:rsidR="000B6778" w:rsidRPr="00544A0D">
        <w:rPr>
          <w:i/>
          <w:color w:val="222222"/>
        </w:rPr>
        <w:t xml:space="preserve"> Aplicam-se</w:t>
      </w:r>
      <w:r w:rsidR="000372D0" w:rsidRPr="00544A0D">
        <w:rPr>
          <w:i/>
          <w:color w:val="222222"/>
        </w:rPr>
        <w:t xml:space="preserve"> </w:t>
      </w:r>
      <w:r w:rsidR="000B6778" w:rsidRPr="00544A0D">
        <w:rPr>
          <w:i/>
          <w:color w:val="222222"/>
        </w:rPr>
        <w:t>as normas previstas neste artigo às construções ou obras identificadas pela fiscalização já concluídas, que ainda dependam de regularização nos termos da legislação aplicável.</w:t>
      </w:r>
    </w:p>
    <w:p w:rsidR="000372D0" w:rsidRPr="00544A0D" w:rsidRDefault="000372D0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FA6A2C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</w:t>
      </w:r>
      <w:r w:rsidR="00893C22" w:rsidRPr="00635D7E">
        <w:rPr>
          <w:b/>
          <w:i/>
          <w:color w:val="222222"/>
        </w:rPr>
        <w:t>8º</w:t>
      </w:r>
      <w:r w:rsidR="000372D0" w:rsidRPr="00635D7E">
        <w:rPr>
          <w:b/>
          <w:i/>
          <w:color w:val="222222"/>
        </w:rPr>
        <w:t xml:space="preserve"> –</w:t>
      </w:r>
      <w:r w:rsidR="000B6778" w:rsidRPr="00544A0D">
        <w:rPr>
          <w:i/>
          <w:color w:val="222222"/>
        </w:rPr>
        <w:t xml:space="preserve"> O</w:t>
      </w:r>
      <w:r w:rsidR="000372D0" w:rsidRPr="00544A0D">
        <w:rPr>
          <w:i/>
          <w:color w:val="222222"/>
        </w:rPr>
        <w:t xml:space="preserve"> </w:t>
      </w:r>
      <w:r w:rsidR="000B6778" w:rsidRPr="00544A0D">
        <w:rPr>
          <w:i/>
          <w:color w:val="222222"/>
        </w:rPr>
        <w:t>imposto de que trata este artigo será recolhido na data e forma previstas na notificação de lançamento.</w:t>
      </w:r>
    </w:p>
    <w:p w:rsidR="000372D0" w:rsidRPr="00544A0D" w:rsidRDefault="000372D0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893C22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</w:t>
      </w:r>
      <w:r w:rsidR="000C61FE">
        <w:rPr>
          <w:b/>
          <w:i/>
          <w:color w:val="222222"/>
        </w:rPr>
        <w:t>9º</w:t>
      </w:r>
      <w:r w:rsidR="000372D0" w:rsidRPr="00635D7E">
        <w:rPr>
          <w:b/>
          <w:i/>
          <w:color w:val="222222"/>
        </w:rPr>
        <w:t xml:space="preserve"> –</w:t>
      </w:r>
      <w:r w:rsidR="000B6778" w:rsidRPr="00544A0D">
        <w:rPr>
          <w:i/>
          <w:color w:val="222222"/>
        </w:rPr>
        <w:t xml:space="preserve"> Só</w:t>
      </w:r>
      <w:r w:rsidR="000372D0" w:rsidRPr="00544A0D">
        <w:rPr>
          <w:i/>
          <w:color w:val="222222"/>
        </w:rPr>
        <w:t xml:space="preserve"> </w:t>
      </w:r>
      <w:r w:rsidR="000B6778" w:rsidRPr="00544A0D">
        <w:rPr>
          <w:i/>
          <w:color w:val="222222"/>
        </w:rPr>
        <w:t>será reconhecida a não incidência do tribu</w:t>
      </w:r>
      <w:r w:rsidR="00BE7BA1" w:rsidRPr="00544A0D">
        <w:rPr>
          <w:i/>
          <w:color w:val="222222"/>
        </w:rPr>
        <w:t>to</w:t>
      </w:r>
      <w:r w:rsidR="000B6778" w:rsidRPr="00544A0D">
        <w:rPr>
          <w:i/>
          <w:color w:val="222222"/>
        </w:rPr>
        <w:t xml:space="preserve"> pelo serviço descrito nos subitens 7.02, 7.04 e 7.05</w:t>
      </w:r>
      <w:r w:rsidR="00AD77F6" w:rsidRPr="00544A0D">
        <w:rPr>
          <w:i/>
          <w:color w:val="00B050"/>
        </w:rPr>
        <w:t xml:space="preserve"> </w:t>
      </w:r>
      <w:r w:rsidR="00AD77F6" w:rsidRPr="00544A0D">
        <w:rPr>
          <w:i/>
        </w:rPr>
        <w:t xml:space="preserve">da lista </w:t>
      </w:r>
      <w:r w:rsidR="00493182" w:rsidRPr="00544A0D">
        <w:rPr>
          <w:i/>
        </w:rPr>
        <w:t xml:space="preserve">constante </w:t>
      </w:r>
      <w:r w:rsidR="00AD77F6" w:rsidRPr="00544A0D">
        <w:rPr>
          <w:i/>
        </w:rPr>
        <w:t xml:space="preserve">do </w:t>
      </w:r>
      <w:r w:rsidR="00493182" w:rsidRPr="00544A0D">
        <w:rPr>
          <w:i/>
        </w:rPr>
        <w:t>Anexo I</w:t>
      </w:r>
      <w:r w:rsidR="000B6778" w:rsidRPr="00544A0D">
        <w:rPr>
          <w:i/>
          <w:color w:val="222222"/>
        </w:rPr>
        <w:t xml:space="preserve">, </w:t>
      </w:r>
      <w:r w:rsidR="00BE7BA1" w:rsidRPr="00544A0D">
        <w:rPr>
          <w:i/>
          <w:color w:val="222222"/>
        </w:rPr>
        <w:t xml:space="preserve">se </w:t>
      </w:r>
      <w:r w:rsidR="000B6778" w:rsidRPr="00544A0D">
        <w:rPr>
          <w:i/>
          <w:color w:val="222222"/>
        </w:rPr>
        <w:t xml:space="preserve">realizado pelo sistema de mutirão comunitário ou pelo próprio proprietário da obra, se esta circunstância constar expressamente no projeto </w:t>
      </w:r>
      <w:r w:rsidR="00493182" w:rsidRPr="00544A0D">
        <w:rPr>
          <w:i/>
          <w:color w:val="222222"/>
        </w:rPr>
        <w:t>apresentado para aprovação da Municipalidade</w:t>
      </w:r>
      <w:r w:rsidR="000B6778" w:rsidRPr="00544A0D">
        <w:rPr>
          <w:i/>
          <w:color w:val="222222"/>
        </w:rPr>
        <w:t>, a qual se sujeitará ao acompa</w:t>
      </w:r>
      <w:r w:rsidR="00BE7BA1" w:rsidRPr="00544A0D">
        <w:rPr>
          <w:i/>
          <w:color w:val="222222"/>
        </w:rPr>
        <w:t>nhamento de todas as suas fases</w:t>
      </w:r>
      <w:r w:rsidR="000B6778" w:rsidRPr="00544A0D">
        <w:rPr>
          <w:i/>
          <w:color w:val="222222"/>
        </w:rPr>
        <w:t xml:space="preserve"> pela fiscalização </w:t>
      </w:r>
      <w:r w:rsidR="00BE7BA1" w:rsidRPr="00544A0D">
        <w:rPr>
          <w:i/>
          <w:color w:val="222222"/>
        </w:rPr>
        <w:t>do</w:t>
      </w:r>
      <w:r w:rsidR="000B6778" w:rsidRPr="00544A0D">
        <w:rPr>
          <w:i/>
          <w:color w:val="222222"/>
        </w:rPr>
        <w:t xml:space="preserve"> </w:t>
      </w:r>
      <w:r w:rsidR="00BE7BA1" w:rsidRPr="00544A0D">
        <w:rPr>
          <w:i/>
          <w:color w:val="222222"/>
        </w:rPr>
        <w:t>Departamento de Obras e Urbanismo</w:t>
      </w:r>
      <w:r w:rsidR="000B6778" w:rsidRPr="00544A0D">
        <w:rPr>
          <w:i/>
          <w:color w:val="222222"/>
        </w:rPr>
        <w:t>, que certificará o cumprimento deste dispositivo.</w:t>
      </w:r>
    </w:p>
    <w:p w:rsidR="000372D0" w:rsidRPr="00544A0D" w:rsidRDefault="000372D0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</w:p>
    <w:p w:rsidR="000B6778" w:rsidRPr="00544A0D" w:rsidRDefault="00893C22" w:rsidP="00635D7E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  <w:color w:val="222222"/>
        </w:rPr>
      </w:pPr>
      <w:r w:rsidRPr="00635D7E">
        <w:rPr>
          <w:b/>
          <w:i/>
          <w:color w:val="222222"/>
        </w:rPr>
        <w:t>§1</w:t>
      </w:r>
      <w:r w:rsidR="000C61FE">
        <w:rPr>
          <w:b/>
          <w:i/>
          <w:color w:val="222222"/>
        </w:rPr>
        <w:t>0</w:t>
      </w:r>
      <w:r w:rsidR="000372D0" w:rsidRPr="00635D7E">
        <w:rPr>
          <w:b/>
          <w:i/>
          <w:color w:val="222222"/>
        </w:rPr>
        <w:t xml:space="preserve"> –</w:t>
      </w:r>
      <w:r w:rsidR="000B6778" w:rsidRPr="00544A0D">
        <w:rPr>
          <w:i/>
          <w:color w:val="222222"/>
        </w:rPr>
        <w:t xml:space="preserve"> O</w:t>
      </w:r>
      <w:r w:rsidR="000372D0" w:rsidRPr="00544A0D">
        <w:rPr>
          <w:i/>
          <w:color w:val="222222"/>
        </w:rPr>
        <w:t xml:space="preserve"> </w:t>
      </w:r>
      <w:r w:rsidR="000B6778" w:rsidRPr="00544A0D">
        <w:rPr>
          <w:i/>
          <w:color w:val="222222"/>
        </w:rPr>
        <w:t>não atendimento do</w:t>
      </w:r>
      <w:r w:rsidR="00BE7BA1" w:rsidRPr="00544A0D">
        <w:rPr>
          <w:i/>
          <w:color w:val="222222"/>
        </w:rPr>
        <w:t xml:space="preserve"> disposto no parágrafo anterior</w:t>
      </w:r>
      <w:r w:rsidR="000B6778" w:rsidRPr="00544A0D">
        <w:rPr>
          <w:i/>
          <w:color w:val="222222"/>
        </w:rPr>
        <w:t xml:space="preserve"> sujeitará o contribuinte ou responsável ao recolhimento do tributo calculado nos termos deste artigo.</w:t>
      </w:r>
      <w:r w:rsidR="000C61FE">
        <w:rPr>
          <w:i/>
          <w:color w:val="222222"/>
        </w:rPr>
        <w:t xml:space="preserve">  </w:t>
      </w:r>
    </w:p>
    <w:p w:rsidR="000372D0" w:rsidRDefault="000372D0" w:rsidP="00CB6D0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</w:p>
    <w:p w:rsidR="00635D7E" w:rsidRDefault="00635D7E" w:rsidP="00CB6D0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</w:p>
    <w:p w:rsidR="00635D7E" w:rsidRPr="00544A0D" w:rsidRDefault="00635D7E" w:rsidP="00CB6D0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>
        <w:rPr>
          <w:i/>
          <w:color w:val="222222"/>
        </w:rPr>
        <w:tab/>
      </w:r>
      <w:r>
        <w:rPr>
          <w:i/>
          <w:color w:val="222222"/>
        </w:rPr>
        <w:tab/>
      </w:r>
      <w:r>
        <w:rPr>
          <w:i/>
          <w:color w:val="222222"/>
        </w:rPr>
        <w:tab/>
        <w:t>Morungaba, 2</w:t>
      </w:r>
      <w:r w:rsidR="00927C3E">
        <w:rPr>
          <w:i/>
          <w:color w:val="222222"/>
        </w:rPr>
        <w:t>7</w:t>
      </w:r>
      <w:r>
        <w:rPr>
          <w:i/>
          <w:color w:val="222222"/>
        </w:rPr>
        <w:t xml:space="preserve"> de setembro de 2017.</w:t>
      </w:r>
    </w:p>
    <w:p w:rsidR="003240F5" w:rsidRPr="00544A0D" w:rsidRDefault="003240F5" w:rsidP="001123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</w:rPr>
      </w:pPr>
    </w:p>
    <w:sectPr w:rsidR="003240F5" w:rsidRPr="00544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0D" w:rsidRDefault="00544A0D" w:rsidP="00544A0D">
      <w:pPr>
        <w:spacing w:after="0" w:line="240" w:lineRule="auto"/>
      </w:pPr>
      <w:r>
        <w:separator/>
      </w:r>
    </w:p>
  </w:endnote>
  <w:endnote w:type="continuationSeparator" w:id="0">
    <w:p w:rsidR="00544A0D" w:rsidRDefault="00544A0D" w:rsidP="005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E" w:rsidRDefault="00D015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D" w:rsidRDefault="00544A0D" w:rsidP="00544A0D">
    <w:pPr>
      <w:pStyle w:val="Rodap"/>
      <w:ind w:right="360"/>
      <w:jc w:val="both"/>
      <w:rPr>
        <w:rFonts w:ascii="Footlight MT Light" w:hAnsi="Footlight MT Light"/>
        <w:b/>
        <w:bCs/>
        <w:sz w:val="18"/>
        <w:szCs w:val="18"/>
        <w:shd w:val="clear" w:color="auto" w:fill="FFFFFF"/>
      </w:rPr>
    </w:pPr>
  </w:p>
  <w:p w:rsidR="00544A0D" w:rsidRDefault="00544A0D" w:rsidP="00544A0D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3E9BB" wp14:editId="4F5A80CE">
              <wp:simplePos x="0" y="0"/>
              <wp:positionH relativeFrom="column">
                <wp:posOffset>40005</wp:posOffset>
              </wp:positionH>
              <wp:positionV relativeFrom="paragraph">
                <wp:posOffset>-77470</wp:posOffset>
              </wp:positionV>
              <wp:extent cx="52578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6.1pt" to="417.1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6GgIAADI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" strokeweight="2.25pt"/>
          </w:pict>
        </mc:Fallback>
      </mc:AlternateContent>
    </w: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544A0D" w:rsidRDefault="00544A0D" w:rsidP="00544A0D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544A0D" w:rsidRDefault="00544A0D" w:rsidP="00544A0D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544A0D" w:rsidRDefault="00544A0D" w:rsidP="00544A0D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544A0D" w:rsidRDefault="00544A0D" w:rsidP="00544A0D">
    <w:pPr>
      <w:pStyle w:val="Rodap"/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e-mail</w:t>
    </w:r>
    <w:proofErr w:type="gramEnd"/>
    <w:r>
      <w:rPr>
        <w:rFonts w:ascii="Footlight MT Light" w:hAnsi="Footlight MT Light" w:cs="Tahoma"/>
        <w:sz w:val="18"/>
      </w:rPr>
      <w:t xml:space="preserve"> : </w:t>
    </w:r>
    <w:hyperlink r:id="rId1" w:history="1">
      <w:r w:rsidRPr="004E79E3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4E79E3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544A0D" w:rsidRDefault="00544A0D">
    <w:pPr>
      <w:pStyle w:val="Rodap"/>
    </w:pPr>
  </w:p>
  <w:p w:rsidR="00544A0D" w:rsidRDefault="00544A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E" w:rsidRDefault="00D01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0D" w:rsidRDefault="00544A0D" w:rsidP="00544A0D">
      <w:pPr>
        <w:spacing w:after="0" w:line="240" w:lineRule="auto"/>
      </w:pPr>
      <w:r>
        <w:separator/>
      </w:r>
    </w:p>
  </w:footnote>
  <w:footnote w:type="continuationSeparator" w:id="0">
    <w:p w:rsidR="00544A0D" w:rsidRDefault="00544A0D" w:rsidP="0054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E" w:rsidRDefault="00D015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D" w:rsidRDefault="002C78A5" w:rsidP="00544A0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8.05pt;margin-top:-34.3pt;width:3in;height:139.65pt;z-index:251658240">
          <v:imagedata r:id="rId1" o:title="" grayscale="t"/>
        </v:shape>
        <o:OLEObject Type="Embed" ProgID="PBrush" ShapeID="_x0000_s2049" DrawAspect="Content" ObjectID="_1683989578" r:id="rId2"/>
      </w:pict>
    </w:r>
  </w:p>
  <w:p w:rsidR="00544A0D" w:rsidRDefault="00544A0D" w:rsidP="00544A0D">
    <w:pPr>
      <w:pStyle w:val="Cabealho"/>
    </w:pPr>
  </w:p>
  <w:p w:rsidR="00544A0D" w:rsidRDefault="00544A0D" w:rsidP="00544A0D">
    <w:pPr>
      <w:pStyle w:val="Cabealho"/>
    </w:pPr>
  </w:p>
  <w:p w:rsidR="00544A0D" w:rsidRDefault="00544A0D" w:rsidP="00544A0D">
    <w:pPr>
      <w:pStyle w:val="Cabealho"/>
    </w:pPr>
  </w:p>
  <w:p w:rsidR="00544A0D" w:rsidRDefault="00544A0D" w:rsidP="00544A0D">
    <w:pPr>
      <w:pStyle w:val="Cabealho"/>
    </w:pPr>
  </w:p>
  <w:p w:rsidR="00544A0D" w:rsidRPr="002C78A5" w:rsidRDefault="00544A0D" w:rsidP="00544A0D">
    <w:pPr>
      <w:pStyle w:val="Cabealho"/>
      <w:jc w:val="center"/>
      <w:rPr>
        <w:rFonts w:ascii="Times New Roman" w:hAnsi="Times New Roman" w:cs="Times New Roman"/>
        <w:b/>
        <w:i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color w:val="0000FF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</w:t>
    </w:r>
    <w:r w:rsidRPr="002C78A5">
      <w:rPr>
        <w:rFonts w:ascii="Times New Roman" w:hAnsi="Times New Roman" w:cs="Times New Roman"/>
        <w:b/>
        <w:i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544A0D" w:rsidRPr="002C78A5" w:rsidRDefault="00544A0D" w:rsidP="00544A0D">
    <w:pPr>
      <w:pStyle w:val="Cabealho"/>
      <w:jc w:val="center"/>
      <w:rPr>
        <w:b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544A0D" w:rsidRPr="002C78A5" w:rsidRDefault="00544A0D" w:rsidP="00544A0D">
    <w:pPr>
      <w:pStyle w:val="Cabealho"/>
      <w:rPr>
        <w:sz w:val="6"/>
        <w:szCs w:val="6"/>
      </w:rPr>
    </w:pPr>
    <w:r w:rsidRPr="002C78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D7410" wp14:editId="032A471C">
              <wp:simplePos x="0" y="0"/>
              <wp:positionH relativeFrom="column">
                <wp:posOffset>1777365</wp:posOffset>
              </wp:positionH>
              <wp:positionV relativeFrom="paragraph">
                <wp:posOffset>-1270</wp:posOffset>
              </wp:positionV>
              <wp:extent cx="2371725" cy="0"/>
              <wp:effectExtent l="0" t="19050" r="952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1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-.1pt" to="326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" strokecolor="black [3213]" strokeweight="2.25pt"/>
          </w:pict>
        </mc:Fallback>
      </mc:AlternateContent>
    </w:r>
    <w:r w:rsidRPr="002C78A5">
      <w:tab/>
    </w:r>
  </w:p>
  <w:p w:rsidR="00544A0D" w:rsidRPr="002C78A5" w:rsidRDefault="00544A0D" w:rsidP="00544A0D">
    <w:pPr>
      <w:pStyle w:val="Cabealho"/>
      <w:rPr>
        <w:sz w:val="6"/>
        <w:szCs w:val="6"/>
      </w:rPr>
    </w:pPr>
    <w:r w:rsidRPr="002C78A5">
      <w:t xml:space="preserve">                                                       </w:t>
    </w:r>
    <w:bookmarkStart w:id="0" w:name="_GoBack"/>
    <w:bookmarkEnd w:id="0"/>
  </w:p>
  <w:p w:rsidR="00544A0D" w:rsidRPr="002C78A5" w:rsidRDefault="002C78A5">
    <w:pPr>
      <w:pStyle w:val="Cabealho"/>
      <w:rPr>
        <w:b/>
        <w:i/>
      </w:rPr>
    </w:pPr>
    <w:r w:rsidRPr="002C78A5">
      <w:rPr>
        <w:b/>
        <w:i/>
      </w:rPr>
      <w:t xml:space="preserve">CTM – LEI 694 DE 30/12/1993          CTM – LEI 694 DE 30/12/1993          </w:t>
    </w:r>
  </w:p>
  <w:p w:rsidR="002C78A5" w:rsidRDefault="002C78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2E" w:rsidRDefault="00D01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FB"/>
    <w:rsid w:val="000372D0"/>
    <w:rsid w:val="00053A4D"/>
    <w:rsid w:val="000B6778"/>
    <w:rsid w:val="000C61FE"/>
    <w:rsid w:val="001123D9"/>
    <w:rsid w:val="00135AED"/>
    <w:rsid w:val="00136B69"/>
    <w:rsid w:val="001623F3"/>
    <w:rsid w:val="0017051B"/>
    <w:rsid w:val="001904EB"/>
    <w:rsid w:val="0019286B"/>
    <w:rsid w:val="001A74E0"/>
    <w:rsid w:val="001B26E4"/>
    <w:rsid w:val="001C46FB"/>
    <w:rsid w:val="00207C96"/>
    <w:rsid w:val="00231BB4"/>
    <w:rsid w:val="00243D72"/>
    <w:rsid w:val="00254329"/>
    <w:rsid w:val="00266A67"/>
    <w:rsid w:val="00270716"/>
    <w:rsid w:val="00287CAB"/>
    <w:rsid w:val="002A6D2B"/>
    <w:rsid w:val="002C78A5"/>
    <w:rsid w:val="002D78C3"/>
    <w:rsid w:val="002E0A34"/>
    <w:rsid w:val="002F2938"/>
    <w:rsid w:val="00300867"/>
    <w:rsid w:val="003240F5"/>
    <w:rsid w:val="00334253"/>
    <w:rsid w:val="00356BB0"/>
    <w:rsid w:val="003609FB"/>
    <w:rsid w:val="0037294D"/>
    <w:rsid w:val="00381ECE"/>
    <w:rsid w:val="0039790E"/>
    <w:rsid w:val="00400147"/>
    <w:rsid w:val="004162F5"/>
    <w:rsid w:val="004304C1"/>
    <w:rsid w:val="004511E4"/>
    <w:rsid w:val="004655B3"/>
    <w:rsid w:val="00493182"/>
    <w:rsid w:val="00515856"/>
    <w:rsid w:val="00544A0D"/>
    <w:rsid w:val="005606CD"/>
    <w:rsid w:val="0059488C"/>
    <w:rsid w:val="005A02DB"/>
    <w:rsid w:val="005E20E7"/>
    <w:rsid w:val="005F15FA"/>
    <w:rsid w:val="0061120C"/>
    <w:rsid w:val="0061275B"/>
    <w:rsid w:val="00635398"/>
    <w:rsid w:val="00635D7E"/>
    <w:rsid w:val="00686F30"/>
    <w:rsid w:val="006D47BB"/>
    <w:rsid w:val="006E2B4B"/>
    <w:rsid w:val="00700D81"/>
    <w:rsid w:val="007079E5"/>
    <w:rsid w:val="00724E3B"/>
    <w:rsid w:val="00751B6C"/>
    <w:rsid w:val="00777762"/>
    <w:rsid w:val="007A0487"/>
    <w:rsid w:val="007F41B1"/>
    <w:rsid w:val="00803B71"/>
    <w:rsid w:val="00813EA2"/>
    <w:rsid w:val="008211C7"/>
    <w:rsid w:val="0085016E"/>
    <w:rsid w:val="008704F7"/>
    <w:rsid w:val="00873BAA"/>
    <w:rsid w:val="00877E25"/>
    <w:rsid w:val="00880E35"/>
    <w:rsid w:val="00893AEE"/>
    <w:rsid w:val="00893C22"/>
    <w:rsid w:val="008A6E59"/>
    <w:rsid w:val="008B79C1"/>
    <w:rsid w:val="00923537"/>
    <w:rsid w:val="00927426"/>
    <w:rsid w:val="00927C3E"/>
    <w:rsid w:val="0095168F"/>
    <w:rsid w:val="00960ACB"/>
    <w:rsid w:val="00990ED8"/>
    <w:rsid w:val="009A4E37"/>
    <w:rsid w:val="00A0502D"/>
    <w:rsid w:val="00A203E2"/>
    <w:rsid w:val="00A340FB"/>
    <w:rsid w:val="00A605B8"/>
    <w:rsid w:val="00A91DFB"/>
    <w:rsid w:val="00A93D29"/>
    <w:rsid w:val="00AD77F6"/>
    <w:rsid w:val="00B079A2"/>
    <w:rsid w:val="00B40C8C"/>
    <w:rsid w:val="00B45E9A"/>
    <w:rsid w:val="00B71228"/>
    <w:rsid w:val="00B7218C"/>
    <w:rsid w:val="00B7291E"/>
    <w:rsid w:val="00B97391"/>
    <w:rsid w:val="00BA5148"/>
    <w:rsid w:val="00BB3F78"/>
    <w:rsid w:val="00BE7BA1"/>
    <w:rsid w:val="00C33131"/>
    <w:rsid w:val="00CB6D06"/>
    <w:rsid w:val="00CB6DEB"/>
    <w:rsid w:val="00D0152E"/>
    <w:rsid w:val="00D9198C"/>
    <w:rsid w:val="00D92A0A"/>
    <w:rsid w:val="00DA3EFE"/>
    <w:rsid w:val="00DC15D4"/>
    <w:rsid w:val="00DC66D9"/>
    <w:rsid w:val="00DD5AE3"/>
    <w:rsid w:val="00E3442F"/>
    <w:rsid w:val="00E44D55"/>
    <w:rsid w:val="00E57B64"/>
    <w:rsid w:val="00E60930"/>
    <w:rsid w:val="00E84333"/>
    <w:rsid w:val="00E975D4"/>
    <w:rsid w:val="00EC1CD1"/>
    <w:rsid w:val="00EC2A7F"/>
    <w:rsid w:val="00EE62D7"/>
    <w:rsid w:val="00F06106"/>
    <w:rsid w:val="00F10553"/>
    <w:rsid w:val="00F33020"/>
    <w:rsid w:val="00F53AC7"/>
    <w:rsid w:val="00F67BCF"/>
    <w:rsid w:val="00F81CEC"/>
    <w:rsid w:val="00F97A61"/>
    <w:rsid w:val="00FA14A1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09FB"/>
  </w:style>
  <w:style w:type="character" w:styleId="Hyperlink">
    <w:name w:val="Hyperlink"/>
    <w:basedOn w:val="Fontepargpadro"/>
    <w:uiPriority w:val="99"/>
    <w:semiHidden/>
    <w:unhideWhenUsed/>
    <w:rsid w:val="003609F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0D"/>
  </w:style>
  <w:style w:type="paragraph" w:styleId="Rodap">
    <w:name w:val="footer"/>
    <w:basedOn w:val="Normal"/>
    <w:link w:val="RodapChar"/>
    <w:unhideWhenUsed/>
    <w:rsid w:val="005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A0D"/>
  </w:style>
  <w:style w:type="paragraph" w:styleId="Textodebalo">
    <w:name w:val="Balloon Text"/>
    <w:basedOn w:val="Normal"/>
    <w:link w:val="TextodebaloChar"/>
    <w:uiPriority w:val="99"/>
    <w:semiHidden/>
    <w:unhideWhenUsed/>
    <w:rsid w:val="005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09FB"/>
  </w:style>
  <w:style w:type="character" w:styleId="Hyperlink">
    <w:name w:val="Hyperlink"/>
    <w:basedOn w:val="Fontepargpadro"/>
    <w:uiPriority w:val="99"/>
    <w:semiHidden/>
    <w:unhideWhenUsed/>
    <w:rsid w:val="003609F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0D"/>
  </w:style>
  <w:style w:type="paragraph" w:styleId="Rodap">
    <w:name w:val="footer"/>
    <w:basedOn w:val="Normal"/>
    <w:link w:val="RodapChar"/>
    <w:unhideWhenUsed/>
    <w:rsid w:val="005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A0D"/>
  </w:style>
  <w:style w:type="paragraph" w:styleId="Textodebalo">
    <w:name w:val="Balloon Text"/>
    <w:basedOn w:val="Normal"/>
    <w:link w:val="TextodebaloChar"/>
    <w:uiPriority w:val="99"/>
    <w:semiHidden/>
    <w:unhideWhenUsed/>
    <w:rsid w:val="005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6FC7-517C-463C-B749-6D9CA38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Marilia Leite Rodrigues Frederico</cp:lastModifiedBy>
  <cp:revision>5</cp:revision>
  <cp:lastPrinted>2017-09-22T20:27:00Z</cp:lastPrinted>
  <dcterms:created xsi:type="dcterms:W3CDTF">2017-09-27T20:23:00Z</dcterms:created>
  <dcterms:modified xsi:type="dcterms:W3CDTF">2021-05-31T21:06:00Z</dcterms:modified>
</cp:coreProperties>
</file>