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C699A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593901F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> </w:t>
      </w:r>
    </w:p>
    <w:p w14:paraId="5CD5E5E6">
      <w:pPr>
        <w:spacing w:after="280" w:line="240" w:lineRule="auto"/>
        <w:jc w:val="center"/>
        <w:rPr>
          <w:smallCaps/>
          <w:color w:val="000000"/>
          <w:sz w:val="24"/>
          <w:szCs w:val="24"/>
        </w:rPr>
      </w:pPr>
      <w:r>
        <w:rPr>
          <w:b/>
          <w:smallCaps/>
          <w:color w:val="000000"/>
          <w:sz w:val="24"/>
          <w:szCs w:val="24"/>
        </w:rPr>
        <w:t xml:space="preserve">ANEXO </w:t>
      </w:r>
      <w:sdt>
        <w:sdtPr>
          <w:tag w:val="goog_rdk_0"/>
          <w:id w:val="484361195"/>
        </w:sdtPr>
        <w:sdtContent>
          <w:r>
            <w:rPr>
              <w:b/>
              <w:smallCaps/>
              <w:color w:val="000000"/>
              <w:sz w:val="24"/>
              <w:szCs w:val="24"/>
            </w:rPr>
            <w:t>III</w:t>
          </w:r>
        </w:sdtContent>
      </w:sdt>
      <w:sdt>
        <w:sdtPr>
          <w:tag w:val="goog_rdk_1"/>
          <w:id w:val="1819845665"/>
          <w:showingPlcHdr/>
        </w:sdtPr>
        <w:sdtContent>
          <w:r>
            <w:t xml:space="preserve">     </w:t>
          </w:r>
        </w:sdtContent>
      </w:sdt>
    </w:p>
    <w:p w14:paraId="14E1A0D1">
      <w:pPr>
        <w:spacing w:before="280" w:after="280" w:line="240" w:lineRule="auto"/>
        <w:jc w:val="center"/>
        <w:rPr>
          <w:smallCaps/>
          <w:color w:val="000000"/>
          <w:sz w:val="24"/>
          <w:szCs w:val="24"/>
        </w:rPr>
      </w:pPr>
      <w:r>
        <w:rPr>
          <w:b/>
          <w:smallCaps/>
          <w:color w:val="000000"/>
          <w:sz w:val="24"/>
          <w:szCs w:val="24"/>
        </w:rPr>
        <w:t>CRITÉRIOS UTILIZADOS NA AVALIAÇÃO DE MÉRITO CULTURAL</w:t>
      </w:r>
    </w:p>
    <w:p w14:paraId="2EE339DC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A avaliação dos projetos será realizada mediante atribuição de notas aos critérios de seleção, conforme descrição a seguir: </w:t>
      </w:r>
    </w:p>
    <w:p w14:paraId="5E2F6EC8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• Grau pleno de atendimento do critério – até 10 pontos; </w:t>
      </w:r>
    </w:p>
    <w:p w14:paraId="5CB9E1E5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• Grau satisfatório de atendimento do critério – até 6 pontos; </w:t>
      </w:r>
    </w:p>
    <w:p w14:paraId="621BF5F7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• Grau insatisfatório de atendimento do critério – até 2 pontos; </w:t>
      </w:r>
    </w:p>
    <w:p w14:paraId="65B7F486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• Não atendimento do critério – 0 pontos. </w:t>
      </w:r>
    </w:p>
    <w:p w14:paraId="5D2C92D1">
      <w:pPr>
        <w:spacing w:before="120" w:after="120" w:line="240" w:lineRule="auto"/>
        <w:ind w:left="120" w:right="120"/>
        <w:jc w:val="both"/>
        <w:rPr>
          <w:color w:val="000000"/>
          <w:sz w:val="24"/>
          <w:szCs w:val="24"/>
        </w:rPr>
      </w:pPr>
    </w:p>
    <w:tbl>
      <w:tblPr>
        <w:tblStyle w:val="9"/>
        <w:tblW w:w="8488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35"/>
        <w:gridCol w:w="5103"/>
        <w:gridCol w:w="1550"/>
      </w:tblGrid>
      <w:tr w14:paraId="09546FD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88" w:type="dxa"/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094979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CRITÉRIOS OBRIGATÓRIOS</w:t>
            </w:r>
          </w:p>
        </w:tc>
      </w:tr>
      <w:tr w14:paraId="03A567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7544103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Identificação do Critério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64ECDC1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Descrição do Critério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83851C2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Pontuação Máxima</w:t>
            </w:r>
          </w:p>
        </w:tc>
      </w:tr>
      <w:tr w14:paraId="1BAB3F1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B8DF101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A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F63B943">
            <w:pPr>
              <w:spacing w:before="120" w:after="120" w:line="240" w:lineRule="auto"/>
              <w:ind w:left="120" w:right="12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Qualidade do Projeto - Coerência do objeto, objetivos, justificativa e metas do projeto </w:t>
            </w:r>
          </w:p>
          <w:p w14:paraId="7FC70997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A análise considerará, para fins de avaliação e valoração, se o conteúdo do projeto apresenta, como um todo</w:t>
            </w:r>
            <w:sdt>
              <w:sdtPr>
                <w:tag w:val="goog_rdk_4"/>
                <w:id w:val="1690179340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,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coerência, observando o objeto, a justificativa e as metas, sendo possível visualizar de forma </w:t>
            </w:r>
            <w:sdt>
              <w:sdtPr>
                <w:tag w:val="goog_rdk_6"/>
                <w:id w:val="-320274980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evidente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os resultados que serão obtidos.</w:t>
            </w:r>
          </w:p>
          <w:p w14:paraId="11C7E649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DA3EE2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14:paraId="452D34B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39F3649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B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F25074">
            <w:pPr>
              <w:spacing w:before="120" w:after="120" w:line="240" w:lineRule="auto"/>
              <w:ind w:left="120" w:right="12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Relevância da ação proposta para o cenário cultural de Pindamonhangaba</w:t>
            </w:r>
          </w:p>
          <w:p w14:paraId="34056C5A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 </w:t>
            </w:r>
            <w:r>
              <w:rPr>
                <w:color w:val="000000"/>
                <w:sz w:val="24"/>
                <w:szCs w:val="24"/>
              </w:rPr>
              <w:t>A análise considerará, para fins de avaliação e valoração, se a ação contribui para o enriquecimento e valorização da cultura do município de Pindamonhangaba. 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F1A75FC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14:paraId="3E8186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24C2718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C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E84C305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Aspectos de integração comunitária na ação proposta pelo projeto - </w:t>
            </w:r>
            <w:r>
              <w:rPr>
                <w:color w:val="000000"/>
                <w:sz w:val="24"/>
                <w:szCs w:val="24"/>
              </w:rPr>
              <w:t>considera-se, para fins de avaliação e valoração, se o projeto apresenta aspectos de integração comunitária, em relação ao impacto social para a inclusão de pessoas com deficiência, idosos e demais grupos em situação de histórica vulnerabilidade econômica/social. 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63A8808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14:paraId="3CF052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0EF69E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D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B17B7E7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Coerência da planilha orçamentária e do cronograma de execução</w:t>
            </w:r>
            <w:r>
              <w:t xml:space="preserve"> </w:t>
            </w:r>
            <w:sdt>
              <w:sdtPr>
                <w:tag w:val="goog_rdk_9"/>
                <w:id w:val="154423325"/>
              </w:sdtPr>
              <w:sdtContent>
                <w:r>
                  <w:rPr>
                    <w:b/>
                    <w:color w:val="000000"/>
                    <w:sz w:val="24"/>
                    <w:szCs w:val="24"/>
                  </w:rPr>
                  <w:t>na</w:t>
                </w:r>
              </w:sdtContent>
            </w:sdt>
            <w:r>
              <w:rPr>
                <w:b/>
                <w:color w:val="000000"/>
                <w:sz w:val="24"/>
                <w:szCs w:val="24"/>
              </w:rPr>
              <w:t>s metas, resultados e desdobramentos do projeto proposto - </w:t>
            </w:r>
            <w:r>
              <w:rPr>
                <w:color w:val="000000"/>
                <w:sz w:val="24"/>
                <w:szCs w:val="24"/>
              </w:rPr>
              <w:t>A análise deverá avaliar e valorar a viabilidade técnica do projeto sob o ponto de vista dos gastos previstos na planilha orçamentária, sua execução e a adequação ao objeto, metas e objetivos previstos. Também considerará</w:t>
            </w:r>
            <w:sdt>
              <w:sdtPr>
                <w:tag w:val="goog_rdk_10"/>
                <w:id w:val="-1099711836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,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para fins de avaliação</w:t>
            </w:r>
            <w:sdt>
              <w:sdtPr>
                <w:tag w:val="goog_rdk_11"/>
                <w:id w:val="-2135084570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,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a coerência e conformidade dos valores e quantidades dos itens relacionados na planilha orçamentária do projeto. 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F71513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14:paraId="1A8426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AACB2FC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E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E5B7025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Coerência do Plano de Divulgação</w:t>
            </w:r>
            <w:r>
              <w:t xml:space="preserve"> </w:t>
            </w:r>
            <w:sdt>
              <w:sdtPr>
                <w:tag w:val="goog_rdk_13"/>
                <w:id w:val="1526138761"/>
              </w:sdtPr>
              <w:sdtContent>
                <w:r>
                  <w:rPr>
                    <w:b/>
                    <w:color w:val="000000"/>
                    <w:sz w:val="24"/>
                    <w:szCs w:val="24"/>
                  </w:rPr>
                  <w:t>n</w:t>
                </w:r>
              </w:sdtContent>
            </w:sdt>
            <w:r>
              <w:rPr>
                <w:b/>
                <w:color w:val="000000"/>
                <w:sz w:val="24"/>
                <w:szCs w:val="24"/>
              </w:rPr>
              <w:t>o Cronograma, Objetivos e Metas do projeto proposto - </w:t>
            </w:r>
            <w:r>
              <w:rPr>
                <w:color w:val="000000"/>
                <w:sz w:val="24"/>
                <w:szCs w:val="24"/>
              </w:rPr>
              <w:t>A análise deverá avaliar e valorar a viabilidade técnica e comunicacional com o público alvo do projeto, mediante as estratégias, mídias e materiais apresentados, bem como a capacidade de executá-los.</w:t>
            </w:r>
          </w:p>
          <w:p w14:paraId="14EA2C49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6B1B546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14:paraId="07A931E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AC8E830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F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8804CE8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Compatibilidade da ficha técnica com as atividades desenvolvidas - </w:t>
            </w:r>
            <w:r>
              <w:rPr>
                <w:color w:val="000000"/>
                <w:sz w:val="24"/>
                <w:szCs w:val="24"/>
              </w:rPr>
              <w:t>A análise deverá considerar a carreira dos profissionais que compõem o corpo técnico e artístico, verificando a coerência ou não em relação às atribuições que serão executadas por eles no projeto (para esta avaliação serão considerados os currículos dos membros da ficha técnica).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134776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14:paraId="1E04188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ECB2C2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G</w:t>
            </w:r>
          </w:p>
        </w:tc>
        <w:tc>
          <w:tcPr>
            <w:tcW w:w="510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3925A4D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Trajetória artística e cultural do proponente - </w:t>
            </w:r>
            <w:r>
              <w:rPr>
                <w:color w:val="000000"/>
                <w:sz w:val="24"/>
                <w:szCs w:val="24"/>
              </w:rPr>
              <w:t>Será́ considerad</w:t>
            </w:r>
            <w:sdt>
              <w:sdtPr>
                <w:tag w:val="goog_rdk_14"/>
                <w:id w:val="1842655990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a,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para fins de análise</w:t>
            </w:r>
            <w:sdt>
              <w:sdtPr>
                <w:tag w:val="goog_rdk_16"/>
                <w:id w:val="-74911917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,</w:t>
                </w:r>
              </w:sdtContent>
            </w:sdt>
            <w:r>
              <w:rPr>
                <w:color w:val="000000"/>
                <w:sz w:val="24"/>
                <w:szCs w:val="24"/>
              </w:rPr>
              <w:t xml:space="preserve"> a carreira do proponente, com base no currículo e comprovações enviadas juntamente com a proposta</w:t>
            </w:r>
            <w:sdt>
              <w:sdtPr>
                <w:tag w:val="goog_rdk_17"/>
                <w:id w:val="-1116440027"/>
              </w:sdtPr>
              <w:sdtContent>
                <w:r>
                  <w:rPr>
                    <w:color w:val="000000"/>
                    <w:sz w:val="24"/>
                    <w:szCs w:val="24"/>
                  </w:rPr>
                  <w:t>.</w:t>
                </w:r>
              </w:sdtContent>
            </w:sdt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09EFAB0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14:paraId="47F08E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938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E2EBCF4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PONTUAÇÃO TOTAL:</w:t>
            </w:r>
          </w:p>
        </w:tc>
        <w:tc>
          <w:tcPr>
            <w:tcW w:w="15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13AD6B">
            <w:pPr>
              <w:spacing w:before="120" w:after="120" w:line="240" w:lineRule="auto"/>
              <w:ind w:left="120" w:right="1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</w:tr>
    </w:tbl>
    <w:p w14:paraId="4E6AFA24">
      <w:pPr>
        <w:spacing w:before="120" w:after="120" w:line="240" w:lineRule="auto"/>
        <w:ind w:right="120"/>
        <w:jc w:val="both"/>
        <w:rPr>
          <w:color w:val="FF0000"/>
          <w:sz w:val="24"/>
          <w:szCs w:val="24"/>
        </w:rPr>
      </w:pPr>
    </w:p>
    <w:p w14:paraId="790B27B2">
      <w:pPr>
        <w:numPr>
          <w:ilvl w:val="0"/>
          <w:numId w:val="1"/>
        </w:numPr>
        <w:spacing w:before="120" w:after="120" w:line="240" w:lineRule="auto"/>
        <w:ind w:left="840" w:right="12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Os critérios gerais são eliminatórios de modo que o agente cultural que receber pontuação 0 em algum dos critérios será desclassificado do Edital.</w:t>
      </w:r>
    </w:p>
    <w:p w14:paraId="2F137834">
      <w:pPr>
        <w:pStyle w:val="29"/>
        <w:numPr>
          <w:ilvl w:val="0"/>
          <w:numId w:val="1"/>
        </w:numPr>
        <w:spacing w:before="120" w:after="120" w:line="240" w:lineRule="auto"/>
        <w:ind w:left="1560" w:right="120" w:hanging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Em caso de empate, serão utilizados para fins de classificação dos projetos a maior nota nos critérios de acordo com a ordem abaixo definida: A, B, C, D, E, F, G, respectivamente. </w:t>
      </w:r>
    </w:p>
    <w:p w14:paraId="6DC19094">
      <w:pPr>
        <w:numPr>
          <w:ilvl w:val="0"/>
          <w:numId w:val="1"/>
        </w:numPr>
        <w:spacing w:before="120" w:after="120" w:line="240" w:lineRule="auto"/>
        <w:ind w:left="840" w:right="12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Serão considerados aptos os projetos que receberem nota final igual ou superior a 40 pontos.</w:t>
      </w:r>
    </w:p>
    <w:p w14:paraId="35D46671">
      <w:pPr>
        <w:numPr>
          <w:ilvl w:val="0"/>
          <w:numId w:val="1"/>
        </w:numPr>
        <w:spacing w:before="120" w:after="120" w:line="240" w:lineRule="auto"/>
        <w:ind w:left="840" w:right="12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Serão desclassificados os projetos que:</w:t>
      </w:r>
    </w:p>
    <w:p w14:paraId="306ACD73">
      <w:pPr>
        <w:spacing w:before="120" w:after="120" w:line="240" w:lineRule="auto"/>
        <w:ind w:left="1416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 - Receberam nota 0 em qualquer dos critérios obrigatórios; </w:t>
      </w:r>
    </w:p>
    <w:p w14:paraId="0C588ACC">
      <w:pPr>
        <w:spacing w:before="120" w:after="120" w:line="240" w:lineRule="auto"/>
        <w:ind w:left="1416" w:right="1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II - apresentem quaisquer formas de preconceito de origem, raça, etnia, gênero, cor, idade ou outras formas de discriminação, com fundamento no disposto no </w:t>
      </w:r>
      <w:r>
        <w:fldChar w:fldCharType="begin"/>
      </w:r>
      <w:r>
        <w:instrText xml:space="preserve"> HYPERLINK "http://www.planalto.gov.br/ccivil_03/Constituicao/Constituicao.htm" \l "art3iv" \h </w:instrText>
      </w:r>
      <w:r>
        <w:fldChar w:fldCharType="separate"/>
      </w:r>
      <w:r>
        <w:rPr>
          <w:color w:val="000000"/>
          <w:sz w:val="24"/>
          <w:szCs w:val="24"/>
        </w:rPr>
        <w:t>inciso IV do caput do art. 3º da Constituição,</w:t>
      </w:r>
      <w:r>
        <w:rPr>
          <w:color w:val="000000"/>
          <w:sz w:val="24"/>
          <w:szCs w:val="24"/>
        </w:rPr>
        <w:fldChar w:fldCharType="end"/>
      </w:r>
      <w:r>
        <w:rPr>
          <w:color w:val="000000"/>
          <w:sz w:val="24"/>
          <w:szCs w:val="24"/>
        </w:rPr>
        <w:t> garantidos o contraditório e a ampla defesa.</w:t>
      </w:r>
    </w:p>
    <w:p w14:paraId="3BD17BAB">
      <w:pPr>
        <w:numPr>
          <w:ilvl w:val="0"/>
          <w:numId w:val="2"/>
        </w:numPr>
        <w:spacing w:before="120" w:after="120" w:line="240" w:lineRule="auto"/>
        <w:ind w:left="840" w:right="12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 falsidade de informações acarretará desclassificação, podendo ensejar, ainda, a aplicação de sanções administrativas ou criminais.</w:t>
      </w:r>
    </w:p>
    <w:p w14:paraId="6E82148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</w:rPr>
      </w:pPr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4AD16712-1AC5-444A-88C5-E63089E8BB6E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9BAB7B5-0C94-44C4-A919-CE1647272CB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71E060A-66A2-4B46-8034-3E26A57B188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DF626AE2-802C-446E-8115-652059BA5C09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9DFD7383-848F-419C-A870-7766DB708F64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6" w:fontKey="{1970902B-32AF-4A45-8752-EDCBB1A36615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7" w:fontKey="{0797EB82-60CE-48E8-8FF4-2D7BAF0D7CFB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8" w:fontKey="{FDFE44EF-2677-49A4-B2E6-DF261E8E092C}"/>
  </w:font>
  <w:font w:name="Noto Sans Symbols">
    <w:altName w:val="Calibr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9" w:fontKey="{948F9D58-1228-47F6-A0A1-5A686006CBD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B44ACC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bookmarkStart w:id="0" w:name="_GoBack"/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4393565</wp:posOffset>
          </wp:positionH>
          <wp:positionV relativeFrom="paragraph">
            <wp:posOffset>129540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bookmarkEnd w:id="0"/>
  </w:p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2545080</wp:posOffset>
          </wp:positionH>
          <wp:positionV relativeFrom="paragraph">
            <wp:posOffset>16510</wp:posOffset>
          </wp:positionV>
          <wp:extent cx="1786255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4352"/>
                  <a:stretch>
                    <a:fillRect/>
                  </a:stretch>
                </pic:blipFill>
                <pic:spPr>
                  <a:xfrm>
                    <a:off x="0" y="0"/>
                    <a:ext cx="1786255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6422091"/>
    <w:multiLevelType w:val="multilevel"/>
    <w:tmpl w:val="16422091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  <w:sz w:val="20"/>
        <w:szCs w:val="20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3" w:tentative="0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4" w:tentative="0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6" w:tentative="0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7" w:tentative="0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  <w:sz w:val="20"/>
        <w:szCs w:val="20"/>
      </w:rPr>
    </w:lvl>
  </w:abstractNum>
  <w:abstractNum w:abstractNumId="1">
    <w:nsid w:val="43D75A67"/>
    <w:multiLevelType w:val="multilevel"/>
    <w:tmpl w:val="43D75A67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  <w:sz w:val="20"/>
        <w:szCs w:val="20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3" w:tentative="0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4" w:tentative="0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6" w:tentative="0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7" w:tentative="0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  <w:sz w:val="20"/>
        <w:szCs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409D2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B87"/>
    <w:rsid w:val="001231AB"/>
    <w:rsid w:val="00145428"/>
    <w:rsid w:val="00150213"/>
    <w:rsid w:val="0017230E"/>
    <w:rsid w:val="00194D3E"/>
    <w:rsid w:val="00194DE0"/>
    <w:rsid w:val="001A655C"/>
    <w:rsid w:val="001D5BB3"/>
    <w:rsid w:val="001E402F"/>
    <w:rsid w:val="00205BA0"/>
    <w:rsid w:val="0021783E"/>
    <w:rsid w:val="00253855"/>
    <w:rsid w:val="00266494"/>
    <w:rsid w:val="00270C2F"/>
    <w:rsid w:val="002904E5"/>
    <w:rsid w:val="002942F5"/>
    <w:rsid w:val="002A544A"/>
    <w:rsid w:val="002B7676"/>
    <w:rsid w:val="002D1296"/>
    <w:rsid w:val="002F2C07"/>
    <w:rsid w:val="003056AA"/>
    <w:rsid w:val="00305DF1"/>
    <w:rsid w:val="003121E5"/>
    <w:rsid w:val="003207BF"/>
    <w:rsid w:val="00324FFA"/>
    <w:rsid w:val="00350A37"/>
    <w:rsid w:val="003643E9"/>
    <w:rsid w:val="0037702A"/>
    <w:rsid w:val="00377828"/>
    <w:rsid w:val="003912B9"/>
    <w:rsid w:val="003A1EE4"/>
    <w:rsid w:val="003B14D8"/>
    <w:rsid w:val="003B3B1C"/>
    <w:rsid w:val="003B64C4"/>
    <w:rsid w:val="003C0279"/>
    <w:rsid w:val="003C78AE"/>
    <w:rsid w:val="003D1534"/>
    <w:rsid w:val="003F2B3D"/>
    <w:rsid w:val="003F7DEA"/>
    <w:rsid w:val="00400415"/>
    <w:rsid w:val="00431D70"/>
    <w:rsid w:val="004558E0"/>
    <w:rsid w:val="00467AB7"/>
    <w:rsid w:val="00474A24"/>
    <w:rsid w:val="004759D5"/>
    <w:rsid w:val="00493557"/>
    <w:rsid w:val="004936BD"/>
    <w:rsid w:val="004A4ABE"/>
    <w:rsid w:val="004A758D"/>
    <w:rsid w:val="00503BA7"/>
    <w:rsid w:val="0050545B"/>
    <w:rsid w:val="005171F1"/>
    <w:rsid w:val="00524FA9"/>
    <w:rsid w:val="00560C39"/>
    <w:rsid w:val="005854D5"/>
    <w:rsid w:val="0058795E"/>
    <w:rsid w:val="005A545C"/>
    <w:rsid w:val="005C74F1"/>
    <w:rsid w:val="005D55AC"/>
    <w:rsid w:val="005F04A6"/>
    <w:rsid w:val="005F2075"/>
    <w:rsid w:val="005F3227"/>
    <w:rsid w:val="005F7392"/>
    <w:rsid w:val="006022ED"/>
    <w:rsid w:val="00625840"/>
    <w:rsid w:val="0063192A"/>
    <w:rsid w:val="00663E7B"/>
    <w:rsid w:val="00670D2E"/>
    <w:rsid w:val="0067496D"/>
    <w:rsid w:val="00692307"/>
    <w:rsid w:val="006A641D"/>
    <w:rsid w:val="006B15F1"/>
    <w:rsid w:val="006C77D3"/>
    <w:rsid w:val="006D41FD"/>
    <w:rsid w:val="006E0ED0"/>
    <w:rsid w:val="006F09EE"/>
    <w:rsid w:val="006F4286"/>
    <w:rsid w:val="0070345D"/>
    <w:rsid w:val="007124E3"/>
    <w:rsid w:val="007270C0"/>
    <w:rsid w:val="007600E9"/>
    <w:rsid w:val="007716E6"/>
    <w:rsid w:val="007973D4"/>
    <w:rsid w:val="00797B30"/>
    <w:rsid w:val="007A5E1D"/>
    <w:rsid w:val="00806B07"/>
    <w:rsid w:val="00825602"/>
    <w:rsid w:val="00834CBC"/>
    <w:rsid w:val="00861A1C"/>
    <w:rsid w:val="008674B3"/>
    <w:rsid w:val="008677F8"/>
    <w:rsid w:val="00871B47"/>
    <w:rsid w:val="00885980"/>
    <w:rsid w:val="00891B96"/>
    <w:rsid w:val="00895353"/>
    <w:rsid w:val="008B02BF"/>
    <w:rsid w:val="008D20E2"/>
    <w:rsid w:val="008E2E82"/>
    <w:rsid w:val="008F448D"/>
    <w:rsid w:val="009207E3"/>
    <w:rsid w:val="009360D0"/>
    <w:rsid w:val="00942BF0"/>
    <w:rsid w:val="00950CF3"/>
    <w:rsid w:val="009B7AEB"/>
    <w:rsid w:val="009C53D0"/>
    <w:rsid w:val="009D61FB"/>
    <w:rsid w:val="009D7268"/>
    <w:rsid w:val="009E1170"/>
    <w:rsid w:val="00A071F2"/>
    <w:rsid w:val="00A078AA"/>
    <w:rsid w:val="00A34142"/>
    <w:rsid w:val="00A360EE"/>
    <w:rsid w:val="00A361A3"/>
    <w:rsid w:val="00A67FF3"/>
    <w:rsid w:val="00A7703E"/>
    <w:rsid w:val="00A81D70"/>
    <w:rsid w:val="00A901CA"/>
    <w:rsid w:val="00A92AE3"/>
    <w:rsid w:val="00A94DFD"/>
    <w:rsid w:val="00AB3F1F"/>
    <w:rsid w:val="00AB79EA"/>
    <w:rsid w:val="00AC5467"/>
    <w:rsid w:val="00AD5B37"/>
    <w:rsid w:val="00AE03ED"/>
    <w:rsid w:val="00AE335E"/>
    <w:rsid w:val="00B348C1"/>
    <w:rsid w:val="00B64B95"/>
    <w:rsid w:val="00B70241"/>
    <w:rsid w:val="00B828E2"/>
    <w:rsid w:val="00B85E9B"/>
    <w:rsid w:val="00BD3B62"/>
    <w:rsid w:val="00BD5438"/>
    <w:rsid w:val="00BE5FEC"/>
    <w:rsid w:val="00BF57D0"/>
    <w:rsid w:val="00BF6D15"/>
    <w:rsid w:val="00C04ED6"/>
    <w:rsid w:val="00C1404D"/>
    <w:rsid w:val="00C201BD"/>
    <w:rsid w:val="00C3319B"/>
    <w:rsid w:val="00C41C18"/>
    <w:rsid w:val="00CB5E3B"/>
    <w:rsid w:val="00CC6149"/>
    <w:rsid w:val="00CE610E"/>
    <w:rsid w:val="00CE7356"/>
    <w:rsid w:val="00CE737C"/>
    <w:rsid w:val="00CF1FDC"/>
    <w:rsid w:val="00CF1FE6"/>
    <w:rsid w:val="00CF6719"/>
    <w:rsid w:val="00D27628"/>
    <w:rsid w:val="00D4613E"/>
    <w:rsid w:val="00D53260"/>
    <w:rsid w:val="00D64F2D"/>
    <w:rsid w:val="00D96EED"/>
    <w:rsid w:val="00DA04C3"/>
    <w:rsid w:val="00DA4804"/>
    <w:rsid w:val="00DC0201"/>
    <w:rsid w:val="00DC774C"/>
    <w:rsid w:val="00DE3FCA"/>
    <w:rsid w:val="00E105F7"/>
    <w:rsid w:val="00E628C5"/>
    <w:rsid w:val="00E83404"/>
    <w:rsid w:val="00E96E12"/>
    <w:rsid w:val="00EA20F3"/>
    <w:rsid w:val="00EB67B0"/>
    <w:rsid w:val="00EC1DB1"/>
    <w:rsid w:val="00EC20EE"/>
    <w:rsid w:val="00EC581D"/>
    <w:rsid w:val="00ED1D2F"/>
    <w:rsid w:val="00F23AE0"/>
    <w:rsid w:val="00F37F83"/>
    <w:rsid w:val="00F4190E"/>
    <w:rsid w:val="00F50853"/>
    <w:rsid w:val="00F61174"/>
    <w:rsid w:val="00F70EA9"/>
    <w:rsid w:val="00F73676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CBEC66F"/>
    <w:rsid w:val="3DEBED04"/>
    <w:rsid w:val="45C8FB71"/>
    <w:rsid w:val="48BF399D"/>
    <w:rsid w:val="4D094D5A"/>
    <w:rsid w:val="5AC22398"/>
    <w:rsid w:val="5E0485DD"/>
    <w:rsid w:val="695090AF"/>
    <w:rsid w:val="6987C4D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qFormat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qFormat/>
    <w:uiPriority w:val="39"/>
    <w:pPr>
      <w:spacing w:after="100"/>
    </w:pPr>
  </w:style>
  <w:style w:type="table" w:styleId="23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qFormat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qFormat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qFormat/>
    <w:uiPriority w:val="0"/>
  </w:style>
  <w:style w:type="character" w:customStyle="1" w:styleId="41">
    <w:name w:val="eop"/>
    <w:basedOn w:val="8"/>
    <w:uiPriority w:val="0"/>
  </w:style>
  <w:style w:type="table" w:customStyle="1" w:styleId="42">
    <w:name w:val="_Style 3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uiPriority w:val="99"/>
  </w:style>
  <w:style w:type="character" w:customStyle="1" w:styleId="58">
    <w:name w:val="Rodapé Char"/>
    <w:basedOn w:val="8"/>
    <w:link w:val="20"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5.xml"/><Relationship Id="rId12" Type="http://schemas.openxmlformats.org/officeDocument/2006/relationships/customXml" Target="../customXml/item4.xml"/><Relationship Id="rId11" Type="http://schemas.openxmlformats.org/officeDocument/2006/relationships/customXml" Target="../customXml/item3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FD0C71-5F47-4A00-B39F-A3FB7D7C532F}">
  <ds:schemaRefs/>
</ds:datastoreItem>
</file>

<file path=customXml/itemProps2.xml><?xml version="1.0" encoding="utf-8"?>
<ds:datastoreItem xmlns:ds="http://schemas.openxmlformats.org/officeDocument/2006/customXml" ds:itemID="{B25FE33E-8902-4DE1-9E87-995AA10FA801}">
  <ds:schemaRefs/>
</ds:datastoreItem>
</file>

<file path=customXml/itemProps3.xml><?xml version="1.0" encoding="utf-8"?>
<ds:datastoreItem xmlns:ds="http://schemas.openxmlformats.org/officeDocument/2006/customXml" ds:itemID="{15EF90B5-28B7-4B15-BF00-CB360B83112A}">
  <ds:schemaRefs/>
</ds:datastoreItem>
</file>

<file path=customXml/itemProps4.xml><?xml version="1.0" encoding="utf-8"?>
<ds:datastoreItem xmlns:ds="http://schemas.openxmlformats.org/officeDocument/2006/customXml" ds:itemID="{11111111-1234-1234-1234-123412341234}">
  <ds:schemaRefs/>
</ds:datastoreItem>
</file>

<file path=customXml/itemProps5.xml><?xml version="1.0" encoding="utf-8"?>
<ds:datastoreItem xmlns:ds="http://schemas.openxmlformats.org/officeDocument/2006/customXml" ds:itemID="{C2FB4CDD-41E5-4382-992A-60770992FB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619</Words>
  <Characters>3347</Characters>
  <Lines>27</Lines>
  <Paragraphs>7</Paragraphs>
  <TotalTime>0</TotalTime>
  <ScaleCrop>false</ScaleCrop>
  <LinksUpToDate>false</LinksUpToDate>
  <CharactersWithSpaces>3959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2025-09-19T17:26:00Z</dcterms:created>
  <dc:creator>Laís Alves Valente</dc:creator>
  <cp:lastModifiedBy>Depto de Cultura</cp:lastModifiedBy>
  <cp:lastPrinted>2024-05-20T18:15:00Z</cp:lastPrinted>
  <dcterms:modified xsi:type="dcterms:W3CDTF">2025-10-06T18:35:13Z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2C013D98C4064BF78DCC0884D68D7EBD_12</vt:lpwstr>
  </property>
</Properties>
</file>