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7DEEFD6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52412D">
        <w:rPr>
          <w:rFonts w:ascii="Century Gothic" w:hAnsi="Century Gothic"/>
          <w:sz w:val="22"/>
          <w:szCs w:val="22"/>
        </w:rPr>
        <w:t>Professor PEB-I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13D20A58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FD3BCA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52412D">
        <w:rPr>
          <w:rFonts w:ascii="Century Gothic" w:hAnsi="Century Gothic" w:cs="Arial"/>
          <w:sz w:val="22"/>
          <w:szCs w:val="22"/>
        </w:rPr>
        <w:t>02</w:t>
      </w:r>
      <w:r w:rsidR="00FD3BCA">
        <w:rPr>
          <w:rFonts w:ascii="Century Gothic" w:hAnsi="Century Gothic" w:cs="Arial"/>
          <w:sz w:val="22"/>
          <w:szCs w:val="22"/>
        </w:rPr>
        <w:t xml:space="preserve"> de fevereiro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52412D">
        <w:rPr>
          <w:rFonts w:ascii="Century Gothic" w:hAnsi="Century Gothic" w:cs="Arial"/>
          <w:sz w:val="22"/>
          <w:szCs w:val="22"/>
        </w:rPr>
        <w:t>Lucineia Teixeira Mata França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52412D">
        <w:rPr>
          <w:rFonts w:ascii="Century Gothic" w:hAnsi="Century Gothic" w:cs="Arial"/>
          <w:sz w:val="22"/>
          <w:szCs w:val="22"/>
        </w:rPr>
        <w:t>54.000.062-0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52412D">
        <w:rPr>
          <w:rFonts w:ascii="Century Gothic" w:hAnsi="Century Gothic" w:cs="Arial"/>
          <w:sz w:val="22"/>
          <w:szCs w:val="22"/>
        </w:rPr>
        <w:t>Professor PEB-I</w:t>
      </w:r>
      <w:r>
        <w:rPr>
          <w:rFonts w:ascii="Century Gothic" w:hAnsi="Century Gothic" w:cs="Arial"/>
          <w:sz w:val="22"/>
          <w:szCs w:val="22"/>
        </w:rPr>
        <w:t xml:space="preserve">, nomeada pela Portaria nº. </w:t>
      </w:r>
      <w:r w:rsidR="0052412D">
        <w:rPr>
          <w:rFonts w:ascii="Century Gothic" w:hAnsi="Century Gothic" w:cs="Arial"/>
          <w:sz w:val="22"/>
          <w:szCs w:val="22"/>
        </w:rPr>
        <w:t>9.409/2012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34B369F6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52412D">
        <w:rPr>
          <w:rFonts w:ascii="Century Gothic" w:hAnsi="Century Gothic" w:cs="Arial"/>
          <w:sz w:val="22"/>
          <w:szCs w:val="22"/>
        </w:rPr>
        <w:t>, retroagindo seus efeitos a 02 de fevereiro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CDCD27D" w14:textId="60CDBE3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6064F">
        <w:rPr>
          <w:rFonts w:ascii="Century Gothic" w:hAnsi="Century Gothic" w:cs="Arial"/>
          <w:sz w:val="22"/>
          <w:szCs w:val="22"/>
        </w:rPr>
        <w:t>1</w:t>
      </w:r>
      <w:r w:rsidR="004E29D0">
        <w:rPr>
          <w:rFonts w:ascii="Century Gothic" w:hAnsi="Century Gothic" w:cs="Arial"/>
          <w:sz w:val="22"/>
          <w:szCs w:val="22"/>
        </w:rPr>
        <w:t>8</w:t>
      </w:r>
      <w:r w:rsidR="0096064F">
        <w:rPr>
          <w:rFonts w:ascii="Century Gothic" w:hAnsi="Century Gothic" w:cs="Arial"/>
          <w:sz w:val="22"/>
          <w:szCs w:val="22"/>
        </w:rPr>
        <w:t xml:space="preserve"> de fevereiro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5F51AF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43</w:t>
    </w:r>
    <w:r w:rsidR="00C41E4F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6064F">
      <w:rPr>
        <w:rFonts w:ascii="Century Gothic" w:hAnsi="Century Gothic" w:cs="Arial"/>
        <w:b/>
        <w:sz w:val="22"/>
        <w:szCs w:val="22"/>
        <w:u w:val="single"/>
      </w:rPr>
      <w:t>1</w:t>
    </w:r>
    <w:r w:rsidR="004E29D0">
      <w:rPr>
        <w:rFonts w:ascii="Century Gothic" w:hAnsi="Century Gothic" w:cs="Arial"/>
        <w:b/>
        <w:sz w:val="22"/>
        <w:szCs w:val="22"/>
        <w:u w:val="single"/>
      </w:rPr>
      <w:t>8</w:t>
    </w:r>
    <w:r w:rsidR="0096064F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122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2022-02-21T17:43:00Z</dcterms:created>
  <dcterms:modified xsi:type="dcterms:W3CDTF">2022-02-21T17:47:00Z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