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D886AA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3485E2B4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972B85">
        <w:rPr>
          <w:rFonts w:ascii="Century Gothic" w:hAnsi="Century Gothic" w:cs="Arial"/>
          <w:sz w:val="22"/>
          <w:szCs w:val="22"/>
        </w:rPr>
        <w:t>Idade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1C0DFE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74154F">
        <w:rPr>
          <w:rFonts w:ascii="Century Gothic" w:hAnsi="Century Gothic" w:cs="Arial"/>
          <w:sz w:val="22"/>
          <w:szCs w:val="22"/>
        </w:rPr>
        <w:t>Jairo Jorge Neves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74154F">
        <w:rPr>
          <w:rFonts w:ascii="Century Gothic" w:hAnsi="Century Gothic" w:cs="Arial"/>
          <w:sz w:val="22"/>
          <w:szCs w:val="22"/>
        </w:rPr>
        <w:t>3797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74154F">
        <w:rPr>
          <w:rFonts w:ascii="Century Gothic" w:hAnsi="Century Gothic" w:cs="Arial"/>
          <w:sz w:val="22"/>
          <w:szCs w:val="22"/>
        </w:rPr>
        <w:t>8.655.616-2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74154F">
        <w:rPr>
          <w:rFonts w:ascii="Century Gothic" w:hAnsi="Century Gothic" w:cs="Arial"/>
          <w:sz w:val="22"/>
          <w:szCs w:val="22"/>
        </w:rPr>
        <w:t>787.277.708-08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74154F">
        <w:rPr>
          <w:rFonts w:ascii="Century Gothic" w:hAnsi="Century Gothic" w:cs="Arial"/>
          <w:sz w:val="22"/>
          <w:szCs w:val="22"/>
        </w:rPr>
        <w:t>10676746095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74154F">
        <w:rPr>
          <w:rFonts w:ascii="Century Gothic" w:hAnsi="Century Gothic" w:cs="Arial"/>
          <w:sz w:val="22"/>
          <w:szCs w:val="22"/>
        </w:rPr>
        <w:t>MOTORISTA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74154F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74154F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843C8B">
        <w:rPr>
          <w:rFonts w:ascii="Century Gothic" w:hAnsi="Century Gothic" w:cs="Arial"/>
          <w:sz w:val="22"/>
          <w:szCs w:val="22"/>
        </w:rPr>
        <w:t>I 3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269E78E" w14:textId="77777777" w:rsidR="00972B85" w:rsidRDefault="00BD2681" w:rsidP="00972B85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972B85" w:rsidRPr="00B6046A">
        <w:rPr>
          <w:rFonts w:ascii="Century Gothic" w:hAnsi="Century Gothic" w:cs="Arial"/>
          <w:sz w:val="22"/>
          <w:szCs w:val="22"/>
        </w:rPr>
        <w:t xml:space="preserve">O ato encontra fundamentado no artigo </w:t>
      </w:r>
      <w:r w:rsidR="00972B85">
        <w:rPr>
          <w:rFonts w:ascii="Century Gothic" w:hAnsi="Century Gothic" w:cs="Arial"/>
          <w:sz w:val="22"/>
          <w:szCs w:val="22"/>
        </w:rPr>
        <w:t>50 da Lei Complementar Municipal n°. 0066, de 16 de novembro de 2016.</w:t>
      </w:r>
    </w:p>
    <w:p w14:paraId="47C95F12" w14:textId="53E4EFCD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DF01AF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DF01AF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247F7B98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>01 de abril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89A2EA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74154F">
      <w:rPr>
        <w:rFonts w:ascii="Century Gothic" w:hAnsi="Century Gothic" w:cs="Arial"/>
        <w:b/>
        <w:sz w:val="22"/>
        <w:szCs w:val="22"/>
        <w:u w:val="single"/>
      </w:rPr>
      <w:t>88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>01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72B85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162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2022-04-01T10:04:00Z</dcterms:created>
  <dcterms:modified xsi:type="dcterms:W3CDTF">2022-04-05T12:47:00Z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