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F33136A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4C54CE">
        <w:rPr>
          <w:rFonts w:ascii="Century Gothic" w:hAnsi="Century Gothic"/>
          <w:sz w:val="22"/>
          <w:szCs w:val="22"/>
        </w:rPr>
        <w:t>Operador de Máquinas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24C9158A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4C54CE">
        <w:rPr>
          <w:rFonts w:ascii="Century Gothic" w:hAnsi="Century Gothic" w:cs="Arial"/>
          <w:sz w:val="22"/>
          <w:szCs w:val="22"/>
        </w:rPr>
        <w:t>01 de julho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C54CE">
        <w:rPr>
          <w:rFonts w:ascii="Century Gothic" w:hAnsi="Century Gothic" w:cs="Arial"/>
          <w:sz w:val="22"/>
          <w:szCs w:val="22"/>
        </w:rPr>
        <w:t>Alexandre Getúlio dos Santos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4C54CE" w:rsidRPr="004C54CE">
        <w:rPr>
          <w:rFonts w:ascii="Century Gothic" w:hAnsi="Century Gothic" w:cs="Arial"/>
          <w:sz w:val="22"/>
          <w:szCs w:val="22"/>
        </w:rPr>
        <w:t>24.752.531-5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4C54CE">
        <w:rPr>
          <w:rFonts w:ascii="Century Gothic" w:hAnsi="Century Gothic" w:cs="Arial"/>
          <w:sz w:val="22"/>
          <w:szCs w:val="22"/>
        </w:rPr>
        <w:t>Operador de Máquinas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4C54CE">
        <w:rPr>
          <w:rFonts w:ascii="Century Gothic" w:hAnsi="Century Gothic" w:cs="Arial"/>
          <w:sz w:val="22"/>
          <w:szCs w:val="22"/>
        </w:rPr>
        <w:t>o</w:t>
      </w:r>
      <w:r w:rsidR="00112504">
        <w:rPr>
          <w:rFonts w:ascii="Century Gothic" w:hAnsi="Century Gothic" w:cs="Arial"/>
          <w:sz w:val="22"/>
          <w:szCs w:val="22"/>
        </w:rPr>
        <w:t xml:space="preserve"> pela Portaria nº </w:t>
      </w:r>
      <w:r w:rsidR="00896DF6">
        <w:rPr>
          <w:rFonts w:ascii="Century Gothic" w:hAnsi="Century Gothic" w:cs="Arial"/>
          <w:sz w:val="22"/>
          <w:szCs w:val="22"/>
        </w:rPr>
        <w:t>13.</w:t>
      </w:r>
      <w:r w:rsidR="00794755">
        <w:rPr>
          <w:rFonts w:ascii="Century Gothic" w:hAnsi="Century Gothic" w:cs="Arial"/>
          <w:sz w:val="22"/>
          <w:szCs w:val="22"/>
        </w:rPr>
        <w:t>4</w:t>
      </w:r>
      <w:r w:rsidR="000B7152">
        <w:rPr>
          <w:rFonts w:ascii="Century Gothic" w:hAnsi="Century Gothic" w:cs="Arial"/>
          <w:sz w:val="22"/>
          <w:szCs w:val="22"/>
        </w:rPr>
        <w:t>61</w:t>
      </w:r>
      <w:r w:rsidR="00896DF6">
        <w:rPr>
          <w:rFonts w:ascii="Century Gothic" w:hAnsi="Century Gothic" w:cs="Arial"/>
          <w:sz w:val="22"/>
          <w:szCs w:val="22"/>
        </w:rPr>
        <w:t>/2022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419B9E38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4C54CE">
        <w:rPr>
          <w:rFonts w:ascii="Century Gothic" w:hAnsi="Century Gothic" w:cs="Arial"/>
          <w:sz w:val="22"/>
          <w:szCs w:val="22"/>
        </w:rPr>
        <w:t>, retroagindo seus efeitos a 01 de julho de 2022.</w:t>
      </w:r>
    </w:p>
    <w:p w14:paraId="0CDCD27D" w14:textId="7BE9DEF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C54CE">
        <w:rPr>
          <w:rFonts w:ascii="Century Gothic" w:hAnsi="Century Gothic" w:cs="Arial"/>
          <w:sz w:val="22"/>
          <w:szCs w:val="22"/>
        </w:rPr>
        <w:t>15 de julho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11FCD5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94755">
      <w:rPr>
        <w:rFonts w:ascii="Century Gothic" w:hAnsi="Century Gothic" w:cs="Arial"/>
        <w:b/>
        <w:sz w:val="22"/>
        <w:szCs w:val="22"/>
        <w:u w:val="single"/>
      </w:rPr>
      <w:t>6</w:t>
    </w:r>
    <w:r w:rsidR="004C54CE">
      <w:rPr>
        <w:rFonts w:ascii="Century Gothic" w:hAnsi="Century Gothic" w:cs="Arial"/>
        <w:b/>
        <w:sz w:val="22"/>
        <w:szCs w:val="22"/>
        <w:u w:val="single"/>
      </w:rPr>
      <w:t>59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C54CE">
      <w:rPr>
        <w:rFonts w:ascii="Century Gothic" w:hAnsi="Century Gothic" w:cs="Arial"/>
        <w:b/>
        <w:sz w:val="22"/>
        <w:szCs w:val="22"/>
        <w:u w:val="single"/>
      </w:rPr>
      <w:t>15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122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2022-07-15T11:34:00Z</dcterms:created>
  <dcterms:modified xsi:type="dcterms:W3CDTF">2022-07-15T11:39:00Z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