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54573CFF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2141F8">
        <w:rPr>
          <w:rFonts w:ascii="Century Gothic" w:hAnsi="Century Gothic"/>
          <w:sz w:val="22"/>
          <w:szCs w:val="22"/>
        </w:rPr>
        <w:t>Fiscal Sanitário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2564E21B" w:rsidR="00F632D6" w:rsidRDefault="00F632D6" w:rsidP="00F632D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a partir </w:t>
      </w:r>
      <w:r w:rsidR="002141F8">
        <w:rPr>
          <w:rFonts w:ascii="Century Gothic" w:hAnsi="Century Gothic" w:cs="Arial"/>
          <w:sz w:val="22"/>
          <w:szCs w:val="22"/>
        </w:rPr>
        <w:t>de 04 de abril de 2022</w:t>
      </w:r>
      <w:r>
        <w:rPr>
          <w:rFonts w:ascii="Century Gothic" w:hAnsi="Century Gothic" w:cs="Arial"/>
          <w:sz w:val="22"/>
          <w:szCs w:val="22"/>
        </w:rPr>
        <w:t xml:space="preserve">, com amparo no artigo 49, inciso I, da Lei Complementar nº. 0024, de 04 de janeiro de 2011, </w:t>
      </w:r>
      <w:r w:rsidR="002141F8">
        <w:rPr>
          <w:rFonts w:ascii="Century Gothic" w:hAnsi="Century Gothic" w:cs="Arial"/>
          <w:sz w:val="22"/>
          <w:szCs w:val="22"/>
        </w:rPr>
        <w:t>Luziara de Lima Santos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2141F8">
        <w:rPr>
          <w:rFonts w:ascii="Century Gothic" w:hAnsi="Century Gothic" w:cs="Arial"/>
          <w:sz w:val="22"/>
          <w:szCs w:val="22"/>
        </w:rPr>
        <w:t>25.855.218-9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2141F8">
        <w:rPr>
          <w:rFonts w:ascii="Century Gothic" w:hAnsi="Century Gothic" w:cs="Arial"/>
          <w:sz w:val="22"/>
          <w:szCs w:val="22"/>
        </w:rPr>
        <w:t>Fiscal Sanitário.</w:t>
      </w:r>
    </w:p>
    <w:p w14:paraId="7574F3DC" w14:textId="1B529E08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2141F8">
        <w:rPr>
          <w:rFonts w:ascii="Century Gothic" w:hAnsi="Century Gothic" w:cs="Arial"/>
          <w:sz w:val="22"/>
          <w:szCs w:val="22"/>
        </w:rPr>
        <w:t>, retroagindo seus efeitos a 04 de abril de 2022.</w:t>
      </w:r>
    </w:p>
    <w:p w14:paraId="0CDCD27D" w14:textId="57BE3002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A0556">
        <w:rPr>
          <w:rFonts w:ascii="Century Gothic" w:hAnsi="Century Gothic" w:cs="Arial"/>
          <w:sz w:val="22"/>
          <w:szCs w:val="22"/>
        </w:rPr>
        <w:t>2</w:t>
      </w:r>
      <w:r w:rsidR="002141F8">
        <w:rPr>
          <w:rFonts w:ascii="Century Gothic" w:hAnsi="Century Gothic" w:cs="Arial"/>
          <w:sz w:val="22"/>
          <w:szCs w:val="22"/>
        </w:rPr>
        <w:t>6</w:t>
      </w:r>
      <w:r w:rsidR="00FD15E9">
        <w:rPr>
          <w:rFonts w:ascii="Century Gothic" w:hAnsi="Century Gothic" w:cs="Arial"/>
          <w:sz w:val="22"/>
          <w:szCs w:val="22"/>
        </w:rPr>
        <w:t xml:space="preserve"> de abril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90F7B2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15E9">
      <w:rPr>
        <w:rFonts w:ascii="Century Gothic" w:hAnsi="Century Gothic" w:cs="Arial"/>
        <w:b/>
        <w:sz w:val="22"/>
        <w:szCs w:val="22"/>
        <w:u w:val="single"/>
      </w:rPr>
      <w:t>51</w:t>
    </w:r>
    <w:r w:rsidR="002141F8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A0556">
      <w:rPr>
        <w:rFonts w:ascii="Century Gothic" w:hAnsi="Century Gothic" w:cs="Arial"/>
        <w:b/>
        <w:sz w:val="22"/>
        <w:szCs w:val="22"/>
        <w:u w:val="single"/>
      </w:rPr>
      <w:t>2</w:t>
    </w:r>
    <w:r w:rsidR="002141F8">
      <w:rPr>
        <w:rFonts w:ascii="Century Gothic" w:hAnsi="Century Gothic" w:cs="Arial"/>
        <w:b/>
        <w:sz w:val="22"/>
        <w:szCs w:val="22"/>
        <w:u w:val="single"/>
      </w:rPr>
      <w:t>6</w:t>
    </w:r>
    <w:r w:rsidR="00FD15E9">
      <w:rPr>
        <w:rFonts w:ascii="Century Gothic" w:hAnsi="Century Gothic" w:cs="Arial"/>
        <w:b/>
        <w:sz w:val="22"/>
        <w:szCs w:val="22"/>
        <w:u w:val="single"/>
      </w:rPr>
      <w:t xml:space="preserve">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72FB7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449F5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5654"/>
    <w:rsid w:val="00C704C2"/>
    <w:rsid w:val="00C91A18"/>
    <w:rsid w:val="00CA61FD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119</Words>
  <Characters>614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2022-04-26T12:24:00Z</dcterms:created>
  <dcterms:modified xsi:type="dcterms:W3CDTF">2022-04-26T12:25:00Z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