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65CE5A7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C12FC4">
        <w:rPr>
          <w:rFonts w:ascii="Century Gothic" w:hAnsi="Century Gothic" w:cs="Arial"/>
          <w:sz w:val="22"/>
          <w:szCs w:val="22"/>
        </w:rPr>
        <w:t>Gabriela Cristina Maciel Garcia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>41.319.347-0-SSP/SP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>360.471.548-24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C12FC4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86C580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12FC4">
        <w:rPr>
          <w:rFonts w:ascii="Century Gothic" w:hAnsi="Century Gothic" w:cs="Arial"/>
          <w:sz w:val="22"/>
          <w:szCs w:val="22"/>
        </w:rPr>
        <w:t>08 de fevereiro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BD9111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165FE">
      <w:rPr>
        <w:rFonts w:ascii="Century Gothic" w:hAnsi="Century Gothic" w:cs="Arial"/>
        <w:b/>
        <w:sz w:val="22"/>
        <w:szCs w:val="22"/>
        <w:u w:val="single"/>
      </w:rPr>
      <w:t>419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165FE">
      <w:rPr>
        <w:rFonts w:ascii="Century Gothic" w:hAnsi="Century Gothic" w:cs="Arial"/>
        <w:b/>
        <w:sz w:val="22"/>
        <w:szCs w:val="22"/>
        <w:u w:val="single"/>
      </w:rPr>
      <w:t>08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190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2022-02-08T14:28:00Z</dcterms:created>
  <dcterms:modified xsi:type="dcterms:W3CDTF">2022-02-08T14:33:00Z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