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49355DA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570BD">
        <w:rPr>
          <w:rFonts w:ascii="Century Gothic" w:hAnsi="Century Gothic" w:cs="Arial"/>
          <w:sz w:val="22"/>
          <w:szCs w:val="22"/>
        </w:rPr>
        <w:t>Neusa Filomena de Sousa Oliveira Petzold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570BD">
        <w:rPr>
          <w:rFonts w:ascii="Century Gothic" w:hAnsi="Century Gothic" w:cs="Arial"/>
          <w:sz w:val="22"/>
          <w:szCs w:val="22"/>
        </w:rPr>
        <w:t>18.223.063-6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570BD">
        <w:rPr>
          <w:rFonts w:ascii="Century Gothic" w:hAnsi="Century Gothic" w:cs="Arial"/>
          <w:sz w:val="22"/>
          <w:szCs w:val="22"/>
        </w:rPr>
        <w:t>634.166.280-7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6570BD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A2FAE1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E14B40">
      <w:rPr>
        <w:rFonts w:ascii="Century Gothic" w:hAnsi="Century Gothic" w:cs="Arial"/>
        <w:b/>
        <w:sz w:val="22"/>
        <w:szCs w:val="22"/>
        <w:u w:val="single"/>
      </w:rPr>
      <w:t>2</w:t>
    </w:r>
    <w:r w:rsidR="006570BD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191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2022-06-28T16:24:00Z</dcterms:created>
  <dcterms:modified xsi:type="dcterms:W3CDTF">2022-06-28T16:25:00Z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