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3CFC2DA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A53A9">
        <w:rPr>
          <w:rFonts w:ascii="Century Gothic" w:hAnsi="Century Gothic" w:cs="Arial"/>
          <w:sz w:val="22"/>
          <w:szCs w:val="22"/>
        </w:rPr>
        <w:t>Laura Siqueira Santos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A53A9">
        <w:rPr>
          <w:rFonts w:ascii="Century Gothic" w:hAnsi="Century Gothic" w:cs="Arial"/>
          <w:sz w:val="22"/>
          <w:szCs w:val="22"/>
        </w:rPr>
        <w:t>53.492.860-2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A53A9">
        <w:rPr>
          <w:rFonts w:ascii="Century Gothic" w:hAnsi="Century Gothic" w:cs="Arial"/>
          <w:sz w:val="22"/>
          <w:szCs w:val="22"/>
        </w:rPr>
        <w:t>476.900.048-06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2E2BFE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A53A9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340FF7AB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E2BFE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nomead</w:t>
      </w:r>
      <w:r w:rsidR="002E2BF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91F8F9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97465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A583DB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</w:t>
    </w:r>
    <w:r w:rsidR="006A53A9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A53A9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2022-01-06T14:28:00Z</dcterms:created>
  <dcterms:modified xsi:type="dcterms:W3CDTF">2022-01-06T14:29:00Z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