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D756288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B247A3">
        <w:rPr>
          <w:rFonts w:ascii="Century Gothic" w:hAnsi="Century Gothic" w:cs="Arial"/>
          <w:sz w:val="22"/>
          <w:szCs w:val="22"/>
        </w:rPr>
        <w:t>Anna Laura Nogueira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B247A3">
        <w:rPr>
          <w:rFonts w:ascii="Century Gothic" w:hAnsi="Century Gothic" w:cs="Arial"/>
          <w:sz w:val="22"/>
          <w:szCs w:val="22"/>
        </w:rPr>
        <w:t>39.466.790-6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B247A3">
        <w:rPr>
          <w:rFonts w:ascii="Century Gothic" w:hAnsi="Century Gothic" w:cs="Arial"/>
          <w:sz w:val="22"/>
          <w:szCs w:val="22"/>
        </w:rPr>
        <w:t>456.484.288-98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2E2BFE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4071C0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340FF7AB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E2BFE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2E2BF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50B10D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217A38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186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2022-01-06T14:24:00Z</dcterms:created>
  <dcterms:modified xsi:type="dcterms:W3CDTF">2022-01-06T14:25:00Z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