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4F153" w14:textId="77777777" w:rsidR="003E7C30" w:rsidRDefault="003E7C30" w:rsidP="003E7C30">
      <w:pPr>
        <w:spacing w:after="240" w:line="360" w:lineRule="auto"/>
        <w:ind w:left="1843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Vacância por falecimento.</w:t>
      </w:r>
    </w:p>
    <w:p w14:paraId="1ACAFE42" w14:textId="73535729" w:rsidR="003E7C30" w:rsidRDefault="003E7C30" w:rsidP="003E7C30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D714F9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7888DC2D" w14:textId="77777777" w:rsidR="003E7C30" w:rsidRDefault="003E7C30" w:rsidP="003E7C30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DECLARA:</w:t>
      </w:r>
    </w:p>
    <w:p w14:paraId="35739F03" w14:textId="4C6F7B81" w:rsidR="003E7C30" w:rsidRDefault="003E7C30" w:rsidP="003E7C30">
      <w:pPr>
        <w:spacing w:after="120" w:line="360" w:lineRule="auto"/>
        <w:ind w:right="108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Vago, um cargo de </w:t>
      </w:r>
      <w:r w:rsidR="00D714F9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, a partir </w:t>
      </w:r>
      <w:r w:rsidR="00D714F9">
        <w:rPr>
          <w:rFonts w:ascii="Century Gothic" w:hAnsi="Century Gothic" w:cs="Arial"/>
          <w:sz w:val="22"/>
          <w:szCs w:val="22"/>
        </w:rPr>
        <w:t>de 29 de janeiro de 2022</w:t>
      </w:r>
      <w:r>
        <w:rPr>
          <w:rFonts w:ascii="Century Gothic" w:hAnsi="Century Gothic" w:cs="Arial"/>
          <w:sz w:val="22"/>
          <w:szCs w:val="22"/>
        </w:rPr>
        <w:t xml:space="preserve">, em decorrência do passamento do servidor </w:t>
      </w:r>
      <w:r w:rsidR="00D714F9">
        <w:rPr>
          <w:rFonts w:ascii="Century Gothic" w:hAnsi="Century Gothic" w:cs="Arial"/>
          <w:sz w:val="22"/>
          <w:szCs w:val="22"/>
        </w:rPr>
        <w:t>ERNESTO MAIA DE MIRANDA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D714F9">
        <w:rPr>
          <w:rFonts w:ascii="Century Gothic" w:hAnsi="Century Gothic" w:cs="Arial"/>
          <w:sz w:val="22"/>
          <w:szCs w:val="22"/>
        </w:rPr>
        <w:t>4.454.447</w:t>
      </w:r>
      <w:r>
        <w:rPr>
          <w:rFonts w:ascii="Century Gothic" w:hAnsi="Century Gothic" w:cs="Arial"/>
          <w:sz w:val="22"/>
          <w:szCs w:val="22"/>
        </w:rPr>
        <w:t>, de acordo com o artigo 158, inciso IV, da Lei Complementar nº 75, de 31 de julho de 2021.</w:t>
      </w:r>
    </w:p>
    <w:p w14:paraId="2FA808E3" w14:textId="3F9BD3E4" w:rsidR="003E7C30" w:rsidRDefault="003E7C30" w:rsidP="003E7C30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D714F9">
        <w:rPr>
          <w:rFonts w:ascii="Century Gothic" w:hAnsi="Century Gothic" w:cs="Arial"/>
          <w:sz w:val="22"/>
          <w:szCs w:val="22"/>
        </w:rPr>
        <w:t>, retroagindo seus efeitos a 29 de janeiro de 2022.</w:t>
      </w:r>
    </w:p>
    <w:p w14:paraId="0CDCD27D" w14:textId="60CDBE3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6064F">
        <w:rPr>
          <w:rFonts w:ascii="Century Gothic" w:hAnsi="Century Gothic" w:cs="Arial"/>
          <w:sz w:val="22"/>
          <w:szCs w:val="22"/>
        </w:rPr>
        <w:t>1</w:t>
      </w:r>
      <w:r w:rsidR="004E29D0">
        <w:rPr>
          <w:rFonts w:ascii="Century Gothic" w:hAnsi="Century Gothic" w:cs="Arial"/>
          <w:sz w:val="22"/>
          <w:szCs w:val="22"/>
        </w:rPr>
        <w:t>8</w:t>
      </w:r>
      <w:r w:rsidR="0096064F">
        <w:rPr>
          <w:rFonts w:ascii="Century Gothic" w:hAnsi="Century Gothic" w:cs="Arial"/>
          <w:sz w:val="22"/>
          <w:szCs w:val="22"/>
        </w:rPr>
        <w:t xml:space="preserve"> de fevereiro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E4B3CB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43</w:t>
    </w:r>
    <w:r w:rsidR="00153B18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6064F">
      <w:rPr>
        <w:rFonts w:ascii="Century Gothic" w:hAnsi="Century Gothic" w:cs="Arial"/>
        <w:b/>
        <w:sz w:val="22"/>
        <w:szCs w:val="22"/>
        <w:u w:val="single"/>
      </w:rPr>
      <w:t>1</w:t>
    </w:r>
    <w:r w:rsidR="004E29D0">
      <w:rPr>
        <w:rFonts w:ascii="Century Gothic" w:hAnsi="Century Gothic" w:cs="Arial"/>
        <w:b/>
        <w:sz w:val="22"/>
        <w:szCs w:val="22"/>
        <w:u w:val="single"/>
      </w:rPr>
      <w:t>8</w:t>
    </w:r>
    <w:r w:rsidR="0096064F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125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2022-02-21T17:47:00Z</dcterms:created>
  <dcterms:modified xsi:type="dcterms:W3CDTF">2022-02-21T17:50:00Z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