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0BC923A1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0406EB">
        <w:rPr>
          <w:rFonts w:ascii="Century Gothic" w:hAnsi="Century Gothic"/>
          <w:sz w:val="22"/>
          <w:szCs w:val="22"/>
        </w:rPr>
        <w:t>Supervisor de Ensino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48E19E0C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</w:t>
      </w:r>
      <w:r w:rsidR="000406EB">
        <w:rPr>
          <w:rFonts w:ascii="Century Gothic" w:hAnsi="Century Gothic" w:cs="Arial"/>
          <w:sz w:val="22"/>
          <w:szCs w:val="22"/>
        </w:rPr>
        <w:t>, com amparo no artigo 41, parágrafo 1º, inciso II, da Lei Complementar nº 10, de 23 de julho de 2004, Mara Lúcia Pereira de Carvalho,</w:t>
      </w:r>
      <w:r w:rsidR="00B03047">
        <w:rPr>
          <w:rFonts w:ascii="Century Gothic" w:hAnsi="Century Gothic" w:cs="Arial"/>
          <w:sz w:val="22"/>
          <w:szCs w:val="22"/>
        </w:rPr>
        <w:t xml:space="preserve"> Professor PEB-I, para exercer, a partir de 18 de abril de 2022, o cargo de Supervisor de Ensino, com acréscimo em seus vencimentos, conforme parágrafo 6º do artigo 41, da Lei Complementar nº 10, de 23 de julho de 2004.</w:t>
      </w:r>
    </w:p>
    <w:p w14:paraId="27D97546" w14:textId="20149214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0406EB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 xml:space="preserve">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B03047">
        <w:rPr>
          <w:rFonts w:ascii="Century Gothic" w:hAnsi="Century Gothic" w:cs="Arial"/>
          <w:sz w:val="22"/>
          <w:szCs w:val="22"/>
        </w:rPr>
        <w:t>, retroagindo seus efeitos a 18 de abril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C74C72F" w14:textId="1882DDD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>2</w:t>
      </w:r>
      <w:r w:rsidR="00A12C46">
        <w:rPr>
          <w:rFonts w:ascii="Century Gothic" w:hAnsi="Century Gothic" w:cs="Arial"/>
          <w:sz w:val="22"/>
          <w:szCs w:val="22"/>
        </w:rPr>
        <w:t>6</w:t>
      </w:r>
      <w:r w:rsidR="00600A03">
        <w:rPr>
          <w:rFonts w:ascii="Century Gothic" w:hAnsi="Century Gothic" w:cs="Arial"/>
          <w:sz w:val="22"/>
          <w:szCs w:val="22"/>
        </w:rPr>
        <w:t xml:space="preserve"> de abril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F043A9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A12C46">
      <w:rPr>
        <w:rFonts w:ascii="Century Gothic" w:hAnsi="Century Gothic" w:cs="Arial"/>
        <w:b/>
        <w:sz w:val="22"/>
        <w:szCs w:val="22"/>
        <w:u w:val="single"/>
      </w:rPr>
      <w:t>2</w:t>
    </w:r>
    <w:r w:rsidR="000406EB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>2</w:t>
    </w:r>
    <w:r w:rsidR="00A12C46">
      <w:rPr>
        <w:rFonts w:ascii="Century Gothic" w:hAnsi="Century Gothic" w:cs="Arial"/>
        <w:b/>
        <w:sz w:val="22"/>
        <w:szCs w:val="22"/>
        <w:u w:val="single"/>
      </w:rPr>
      <w:t>6</w:t>
    </w:r>
    <w:r w:rsidR="00600A03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6EB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2E4ECE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24675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B7EE7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03047"/>
    <w:rsid w:val="00B22EC4"/>
    <w:rsid w:val="00B46077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146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2022-04-26T14:27:00Z</dcterms:created>
  <dcterms:modified xsi:type="dcterms:W3CDTF">2022-04-26T14:32:00Z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