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5501B" w14:textId="66764158" w:rsidR="00D37EDE" w:rsidRDefault="00D37EDE" w:rsidP="00D37EDE">
      <w:pPr>
        <w:spacing w:after="240" w:line="360" w:lineRule="auto"/>
        <w:ind w:left="1418" w:firstLine="28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8B615F">
        <w:rPr>
          <w:rFonts w:ascii="Century Gothic" w:hAnsi="Century Gothic"/>
          <w:sz w:val="22"/>
          <w:szCs w:val="22"/>
        </w:rPr>
        <w:t>Assessor d</w:t>
      </w:r>
      <w:r w:rsidR="00807036">
        <w:rPr>
          <w:rFonts w:ascii="Century Gothic" w:hAnsi="Century Gothic"/>
          <w:sz w:val="22"/>
          <w:szCs w:val="22"/>
        </w:rPr>
        <w:t>e</w:t>
      </w:r>
      <w:r w:rsidR="008B615F">
        <w:rPr>
          <w:rFonts w:ascii="Century Gothic" w:hAnsi="Century Gothic"/>
          <w:sz w:val="22"/>
          <w:szCs w:val="22"/>
        </w:rPr>
        <w:t xml:space="preserve"> Departamento</w:t>
      </w:r>
      <w:r>
        <w:rPr>
          <w:rFonts w:ascii="Century Gothic" w:hAnsi="Century Gothic"/>
          <w:sz w:val="22"/>
          <w:szCs w:val="22"/>
        </w:rPr>
        <w:t>.</w:t>
      </w:r>
    </w:p>
    <w:p w14:paraId="5F9F05FB" w14:textId="60DD3891" w:rsidR="00D37EDE" w:rsidRDefault="00D37EDE" w:rsidP="00D37EDE">
      <w:pPr>
        <w:spacing w:after="240" w:line="360" w:lineRule="auto"/>
        <w:ind w:left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Municipal da Estância Turística de                                            Paraibuna, Estado de São Paulo, usando das atribuições que lhe são conferidas por Lei,</w:t>
      </w:r>
    </w:p>
    <w:p w14:paraId="72B556C8" w14:textId="77777777" w:rsidR="00D37EDE" w:rsidRDefault="00D37EDE" w:rsidP="00D37EDE">
      <w:pPr>
        <w:keepNext/>
        <w:spacing w:after="240" w:line="360" w:lineRule="auto"/>
        <w:ind w:firstLine="1701"/>
        <w:outlineLvl w:val="0"/>
        <w:rPr>
          <w:rFonts w:ascii="Century Gothic" w:hAnsi="Century Gothic" w:cs="Trebuchet MS"/>
          <w:b/>
          <w:bCs/>
          <w:sz w:val="22"/>
          <w:szCs w:val="22"/>
        </w:rPr>
      </w:pPr>
      <w:r>
        <w:rPr>
          <w:rFonts w:ascii="Century Gothic" w:hAnsi="Century Gothic" w:cs="Trebuchet MS"/>
          <w:b/>
          <w:bCs/>
          <w:sz w:val="22"/>
          <w:szCs w:val="22"/>
        </w:rPr>
        <w:t>RESOLVE:</w:t>
      </w:r>
    </w:p>
    <w:p w14:paraId="31CF2660" w14:textId="25F26A7D" w:rsidR="00D37EDE" w:rsidRDefault="00D37EDE" w:rsidP="00D37EDE">
      <w:pPr>
        <w:spacing w:after="240" w:line="360" w:lineRule="auto"/>
        <w:ind w:firstLine="1701"/>
        <w:jc w:val="both"/>
        <w:rPr>
          <w:rFonts w:ascii="Century Gothic" w:hAnsi="Century Gothic" w:cs="Trebuchet MS"/>
          <w:sz w:val="22"/>
          <w:szCs w:val="22"/>
        </w:rPr>
      </w:pPr>
      <w:r>
        <w:rPr>
          <w:rFonts w:ascii="Century Gothic" w:hAnsi="Century Gothic" w:cs="Trebuchet MS"/>
          <w:b/>
          <w:sz w:val="22"/>
          <w:szCs w:val="22"/>
        </w:rPr>
        <w:t xml:space="preserve">ART. 1º - </w:t>
      </w:r>
      <w:r>
        <w:rPr>
          <w:rFonts w:ascii="Century Gothic" w:hAnsi="Century Gothic" w:cs="Trebuchet MS"/>
          <w:sz w:val="22"/>
          <w:szCs w:val="22"/>
        </w:rPr>
        <w:t xml:space="preserve">Nomear </w:t>
      </w:r>
      <w:r>
        <w:rPr>
          <w:rFonts w:ascii="Century Gothic" w:hAnsi="Century Gothic" w:cs="Trebuchet MS"/>
          <w:bCs/>
          <w:sz w:val="22"/>
          <w:szCs w:val="22"/>
        </w:rPr>
        <w:t>a partir desta data</w:t>
      </w:r>
      <w:r>
        <w:rPr>
          <w:rFonts w:ascii="Century Gothic" w:hAnsi="Century Gothic" w:cs="Trebuchet MS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 xml:space="preserve">com amparo na Lei Complementar nº. 75, de 31 de julho de 2018, artigo 20, inciso “II”, combinada com a Lei n.º 3125, de 31 de julho de 2018, </w:t>
      </w:r>
      <w:r w:rsidR="00807036">
        <w:rPr>
          <w:rFonts w:ascii="Century Gothic" w:hAnsi="Century Gothic" w:cs="Arial"/>
          <w:sz w:val="22"/>
          <w:szCs w:val="22"/>
        </w:rPr>
        <w:t>Jônatas Oliveira de Almeida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807036" w:rsidRPr="00807036">
        <w:rPr>
          <w:rFonts w:ascii="Century Gothic" w:hAnsi="Century Gothic" w:cs="Arial"/>
          <w:sz w:val="22"/>
          <w:szCs w:val="22"/>
        </w:rPr>
        <w:t>41.139.159-8</w:t>
      </w:r>
      <w:r>
        <w:rPr>
          <w:rFonts w:ascii="Century Gothic" w:hAnsi="Century Gothic" w:cs="Arial"/>
          <w:sz w:val="22"/>
          <w:szCs w:val="22"/>
        </w:rPr>
        <w:t xml:space="preserve">, CPF </w:t>
      </w:r>
      <w:r w:rsidR="00807036">
        <w:rPr>
          <w:rFonts w:ascii="Century Gothic" w:hAnsi="Century Gothic" w:cs="Arial"/>
          <w:sz w:val="22"/>
          <w:szCs w:val="22"/>
        </w:rPr>
        <w:t>359.925.188-60</w:t>
      </w:r>
      <w:r>
        <w:rPr>
          <w:rFonts w:ascii="Century Gothic" w:hAnsi="Century Gothic" w:cs="Arial"/>
          <w:sz w:val="22"/>
          <w:szCs w:val="22"/>
        </w:rPr>
        <w:t xml:space="preserve">, para exercer em Comissão o cargo de </w:t>
      </w:r>
      <w:r w:rsidR="00714736">
        <w:rPr>
          <w:rFonts w:ascii="Century Gothic" w:hAnsi="Century Gothic" w:cs="Arial"/>
          <w:sz w:val="22"/>
          <w:szCs w:val="22"/>
        </w:rPr>
        <w:t xml:space="preserve">Assessor </w:t>
      </w:r>
      <w:r w:rsidR="00807036">
        <w:rPr>
          <w:rFonts w:ascii="Century Gothic" w:hAnsi="Century Gothic" w:cs="Arial"/>
          <w:sz w:val="22"/>
          <w:szCs w:val="22"/>
        </w:rPr>
        <w:t>de Departamento</w:t>
      </w:r>
      <w:r>
        <w:rPr>
          <w:rFonts w:ascii="Century Gothic" w:hAnsi="Century Gothic" w:cs="Arial"/>
          <w:sz w:val="22"/>
          <w:szCs w:val="22"/>
        </w:rPr>
        <w:t>, símbolo CC-</w:t>
      </w:r>
      <w:r w:rsidR="00807036">
        <w:rPr>
          <w:rFonts w:ascii="Century Gothic" w:hAnsi="Century Gothic" w:cs="Arial"/>
          <w:sz w:val="22"/>
          <w:szCs w:val="22"/>
        </w:rPr>
        <w:t>2</w:t>
      </w:r>
      <w:r>
        <w:rPr>
          <w:rFonts w:ascii="Century Gothic" w:hAnsi="Century Gothic" w:cs="Arial"/>
          <w:sz w:val="22"/>
          <w:szCs w:val="22"/>
        </w:rPr>
        <w:t>.</w:t>
      </w:r>
    </w:p>
    <w:p w14:paraId="7300041E" w14:textId="77777777" w:rsidR="00D37EDE" w:rsidRDefault="00D37EDE" w:rsidP="00D37EDE">
      <w:pPr>
        <w:spacing w:after="240" w:line="360" w:lineRule="auto"/>
        <w:ind w:firstLine="1701"/>
        <w:jc w:val="both"/>
        <w:rPr>
          <w:rFonts w:ascii="Century Gothic" w:hAnsi="Century Gothic" w:cs="Trebuchet MS"/>
          <w:sz w:val="22"/>
          <w:szCs w:val="22"/>
        </w:rPr>
      </w:pPr>
      <w:r>
        <w:rPr>
          <w:rFonts w:ascii="Century Gothic" w:hAnsi="Century Gothic" w:cs="Trebuchet MS"/>
          <w:b/>
          <w:sz w:val="22"/>
          <w:szCs w:val="22"/>
        </w:rPr>
        <w:t xml:space="preserve">ART. 2° - </w:t>
      </w:r>
      <w:r>
        <w:rPr>
          <w:rFonts w:ascii="Century Gothic" w:hAnsi="Century Gothic" w:cs="Trebuchet MS"/>
          <w:sz w:val="22"/>
          <w:szCs w:val="22"/>
        </w:rPr>
        <w:t>Esta Portaria entrará em vigor na data de sua publicação.</w:t>
      </w:r>
    </w:p>
    <w:p w14:paraId="0CDCD27D" w14:textId="02BEC54B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807036">
        <w:rPr>
          <w:rFonts w:ascii="Century Gothic" w:hAnsi="Century Gothic" w:cs="Arial"/>
          <w:sz w:val="22"/>
          <w:szCs w:val="22"/>
        </w:rPr>
        <w:t>01 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A9C43AC" w:rsidR="005C2D39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7DD2A33" w14:textId="77777777" w:rsidR="0084745B" w:rsidRPr="00ED56A2" w:rsidRDefault="0084745B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4CDEE213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D93BE82" w14:textId="48003F44" w:rsidR="0084745B" w:rsidRDefault="0084745B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C87FCD4" w14:textId="17FB24CA" w:rsidR="0084745B" w:rsidRDefault="0084745B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15D18845" w:rsidR="005C2D39" w:rsidRDefault="00714736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714736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34AF830C" w:rsidR="005C2D39" w:rsidRDefault="00714736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C61BE64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8B615F">
      <w:rPr>
        <w:rFonts w:ascii="Century Gothic" w:hAnsi="Century Gothic" w:cs="Arial"/>
        <w:b/>
        <w:sz w:val="22"/>
        <w:szCs w:val="22"/>
        <w:u w:val="single"/>
      </w:rPr>
      <w:t>7</w:t>
    </w:r>
    <w:r w:rsidR="00807036">
      <w:rPr>
        <w:rFonts w:ascii="Century Gothic" w:hAnsi="Century Gothic" w:cs="Arial"/>
        <w:b/>
        <w:sz w:val="22"/>
        <w:szCs w:val="22"/>
        <w:u w:val="single"/>
      </w:rPr>
      <w:t>56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807036">
      <w:rPr>
        <w:rFonts w:ascii="Century Gothic" w:hAnsi="Century Gothic" w:cs="Arial"/>
        <w:b/>
        <w:sz w:val="22"/>
        <w:szCs w:val="22"/>
        <w:u w:val="single"/>
      </w:rPr>
      <w:t>01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5127924">
    <w:abstractNumId w:val="9"/>
  </w:num>
  <w:num w:numId="2" w16cid:durableId="718935528">
    <w:abstractNumId w:val="7"/>
  </w:num>
  <w:num w:numId="3" w16cid:durableId="2042784899">
    <w:abstractNumId w:val="6"/>
  </w:num>
  <w:num w:numId="4" w16cid:durableId="774835477">
    <w:abstractNumId w:val="5"/>
  </w:num>
  <w:num w:numId="5" w16cid:durableId="1803573858">
    <w:abstractNumId w:val="4"/>
  </w:num>
  <w:num w:numId="6" w16cid:durableId="1161234930">
    <w:abstractNumId w:val="8"/>
  </w:num>
  <w:num w:numId="7" w16cid:durableId="1552614881">
    <w:abstractNumId w:val="3"/>
  </w:num>
  <w:num w:numId="8" w16cid:durableId="1795245463">
    <w:abstractNumId w:val="2"/>
  </w:num>
  <w:num w:numId="9" w16cid:durableId="157549584">
    <w:abstractNumId w:val="1"/>
  </w:num>
  <w:num w:numId="10" w16cid:durableId="11556802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53B18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62B54"/>
    <w:rsid w:val="004A17D8"/>
    <w:rsid w:val="004C595E"/>
    <w:rsid w:val="004E29D0"/>
    <w:rsid w:val="0052412D"/>
    <w:rsid w:val="00535A9A"/>
    <w:rsid w:val="00576382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14736"/>
    <w:rsid w:val="00783C39"/>
    <w:rsid w:val="00786657"/>
    <w:rsid w:val="007C4A68"/>
    <w:rsid w:val="007E0D6E"/>
    <w:rsid w:val="007E3A99"/>
    <w:rsid w:val="00807036"/>
    <w:rsid w:val="0084745B"/>
    <w:rsid w:val="008658F6"/>
    <w:rsid w:val="008945AC"/>
    <w:rsid w:val="008B615F"/>
    <w:rsid w:val="009439AA"/>
    <w:rsid w:val="0096064F"/>
    <w:rsid w:val="00A07AE1"/>
    <w:rsid w:val="00A45E55"/>
    <w:rsid w:val="00A719D7"/>
    <w:rsid w:val="00AF417A"/>
    <w:rsid w:val="00AF6E02"/>
    <w:rsid w:val="00B22EC4"/>
    <w:rsid w:val="00B27E65"/>
    <w:rsid w:val="00B54EAE"/>
    <w:rsid w:val="00B552FE"/>
    <w:rsid w:val="00B63B69"/>
    <w:rsid w:val="00BA5A05"/>
    <w:rsid w:val="00BC06ED"/>
    <w:rsid w:val="00BF2A9F"/>
    <w:rsid w:val="00C55654"/>
    <w:rsid w:val="00C704C2"/>
    <w:rsid w:val="00C91A18"/>
    <w:rsid w:val="00CE2CAB"/>
    <w:rsid w:val="00D37EDE"/>
    <w:rsid w:val="00D714F9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632D6"/>
    <w:rsid w:val="00F83039"/>
    <w:rsid w:val="00F87567"/>
    <w:rsid w:val="00FA5F92"/>
    <w:rsid w:val="00FC105D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129</Words>
  <Characters>723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2022-09-01T18:24:00Z</dcterms:created>
  <dcterms:modified xsi:type="dcterms:W3CDTF">2022-09-01T18:25:00Z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