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6761C00">
      <w:pPr>
        <w:pStyle w:val="807"/>
        <w:pBdr/>
        <w:spacing w:before="80"/>
        <w:ind w:right="2431" w:left="2596"/>
        <w:jc w:val="center"/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</w:pP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  <w:t xml:space="preserve">ANEXO I</w:t>
        <w:br/>
      </w: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  <w:t xml:space="preserve">CATEGORIAS</w:t>
      </w: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-BR"/>
        </w:rPr>
        <w:t xml:space="preserve"> DE APOIO</w:t>
      </w:r>
      <w:r>
        <w:rPr>
          <w:rFonts w:ascii="Times New Roman" w:hAnsi="Times New Roman" w:eastAsia="Arial Nova" w:cs="Times New Roman"/>
          <w:b/>
          <w:bCs/>
          <w:color w:val="auto"/>
          <w:sz w:val="24"/>
          <w:szCs w:val="24"/>
          <w:lang w:val="pt"/>
        </w:rPr>
        <w:t xml:space="preserve"> </w:t>
      </w: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</w: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</w:r>
    </w:p>
    <w:p w14:paraId="79A07DB5">
      <w:pPr>
        <w:pBdr/>
        <w:spacing w:after="0" w:before="9"/>
        <w:ind/>
        <w:rPr>
          <w:rFonts w:ascii="Times New Roman" w:hAnsi="Times New Roman" w:eastAsia="Arial Nova" w:cs="Times New Roman"/>
          <w:b/>
          <w:bCs/>
          <w:sz w:val="24"/>
          <w:szCs w:val="24"/>
          <w:lang w:val="pt"/>
        </w:rPr>
      </w:pPr>
      <w:r>
        <w:rPr>
          <w:rFonts w:ascii="Times New Roman" w:hAnsi="Times New Roman" w:eastAsia="Arial Nova" w:cs="Times New Roman"/>
          <w:b/>
          <w:bCs/>
          <w:sz w:val="24"/>
          <w:szCs w:val="24"/>
          <w:lang w:val="pt"/>
        </w:rPr>
      </w:r>
      <w:r>
        <w:rPr>
          <w:rFonts w:ascii="Times New Roman" w:hAnsi="Times New Roman" w:eastAsia="Arial Nova" w:cs="Times New Roman"/>
          <w:b/>
          <w:bCs/>
          <w:sz w:val="24"/>
          <w:szCs w:val="24"/>
          <w:lang w:val="pt"/>
        </w:rPr>
      </w:r>
      <w:r>
        <w:rPr>
          <w:rFonts w:ascii="Times New Roman" w:hAnsi="Times New Roman" w:eastAsia="Arial Nova" w:cs="Times New Roman"/>
          <w:b/>
          <w:bCs/>
          <w:sz w:val="24"/>
          <w:szCs w:val="24"/>
          <w:lang w:val="pt"/>
        </w:rPr>
      </w:r>
    </w:p>
    <w:p w14:paraId="061FFE1F">
      <w:pPr>
        <w:pStyle w:val="807"/>
        <w:numPr>
          <w:ilvl w:val="0"/>
          <w:numId w:val="1"/>
        </w:numPr>
        <w:pBdr/>
        <w:tabs>
          <w:tab w:val="left" w:leader="none" w:pos="665"/>
        </w:tabs>
        <w:spacing w:before="1"/>
        <w:ind w:right="0" w:hanging="360" w:left="283"/>
        <w:rPr>
          <w:rFonts w:hint="default" w:eastAsia="Arial Nova" w:cs="Times New Roman" w:asciiTheme="minorAscii" w:hAnsiTheme="minorAscii"/>
          <w:b/>
          <w:bCs/>
          <w:color w:val="auto"/>
          <w:sz w:val="26"/>
          <w:szCs w:val="26"/>
          <w:lang w:val="pt"/>
        </w:rPr>
      </w:pPr>
      <w:r>
        <w:rPr>
          <w:rFonts w:hint="default" w:eastAsia="Arial Nova" w:cs="Times New Roman" w:asciiTheme="minorAscii" w:hAnsiTheme="minorAscii"/>
          <w:b/>
          <w:bCs/>
          <w:color w:val="auto"/>
          <w:sz w:val="26"/>
          <w:szCs w:val="26"/>
          <w:lang w:val="pt"/>
        </w:rPr>
        <w:t xml:space="preserve">RECURSOS DO EDITAL</w:t>
      </w:r>
      <w:r>
        <w:rPr>
          <w:rFonts w:hint="default" w:eastAsia="Arial Nova" w:cs="Times New Roman" w:asciiTheme="minorAscii" w:hAnsiTheme="minorAscii"/>
          <w:b/>
          <w:bCs/>
          <w:color w:val="auto"/>
          <w:sz w:val="26"/>
          <w:szCs w:val="26"/>
          <w:lang w:val="pt"/>
        </w:rPr>
      </w:r>
      <w:bookmarkStart w:id="1" w:name="_GoBack"/>
      <w:r/>
      <w:bookmarkEnd w:id="1"/>
      <w:r>
        <w:rPr>
          <w:rFonts w:hint="default" w:eastAsia="Arial Nova" w:cs="Times New Roman" w:asciiTheme="minorAscii" w:hAnsiTheme="minorAscii"/>
          <w:b/>
          <w:bCs/>
          <w:color w:val="auto"/>
          <w:sz w:val="26"/>
          <w:szCs w:val="26"/>
          <w:lang w:val="pt"/>
        </w:rPr>
      </w:r>
      <w:r>
        <w:rPr>
          <w:rFonts w:hint="default" w:eastAsia="Arial Nova" w:cs="Times New Roman" w:asciiTheme="minorAscii" w:hAnsiTheme="minorAscii"/>
          <w:b/>
          <w:bCs/>
          <w:color w:val="auto"/>
          <w:sz w:val="26"/>
          <w:szCs w:val="26"/>
          <w:lang w:val="pt"/>
        </w:rPr>
      </w:r>
    </w:p>
    <w:p w14:paraId="6885774A">
      <w:pPr>
        <w:pBdr/>
        <w:spacing w:after="240" w:before="240"/>
        <w:ind w:right="0" w:firstLine="0" w:left="142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O presente edital possui valor total de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R$ 866.587,70 (oitocentos e sessenta e seis mil e quinhentos e oitenta e sete reais e setenta centavos).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09D034D">
      <w:p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Serão disponibilizadas 33 (trinta e três) vagas conforme discriminado abaixo:</w:t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</w:p>
    <w:p w14:paraId="4045E767">
      <w:pPr>
        <w:pStyle w:val="1004"/>
        <w:numPr>
          <w:ilvl w:val="0"/>
          <w:numId w:val="2"/>
        </w:num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5 (cinco) vagas para projetos de circulação inédita, com no mínimo 2 (duas) apresentações no valor de R$ 40.000,00 (quarenta mil reais) cada, em áreas periféricas;</w:t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</w:p>
    <w:p w14:paraId="379AC263">
      <w:pPr>
        <w:pStyle w:val="1004"/>
        <w:numPr>
          <w:ilvl w:val="0"/>
          <w:numId w:val="2"/>
        </w:num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6 (seis) projetos de novas obras e espetáculos inéditos, no valor de R$ 40.000,00 (quarenta mil reais) cada;</w:t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</w:p>
    <w:p w14:paraId="20612502">
      <w:pPr>
        <w:pStyle w:val="1004"/>
        <w:numPr>
          <w:ilvl w:val="0"/>
          <w:numId w:val="2"/>
        </w:num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3 (três) projetos voltados para a cultura tradicional, no valor de R$ 40.000,00 (quarenta mil reais) cada;</w:t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</w:p>
    <w:p w14:paraId="3FBF7463">
      <w:pPr>
        <w:pStyle w:val="1004"/>
        <w:numPr>
          <w:ilvl w:val="0"/>
          <w:numId w:val="2"/>
        </w:num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4 (quatro) projetos de Artesanato, sendo, 2 vagas no valor de R$ 20.000,00 (vinte mil reais), 1 vaga no valor de R$ 15.000,00 (quinze mil reais) e 1 vaga no valor de R$ 10.000,00 (dez mil reais);</w:t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</w:p>
    <w:p w14:paraId="5B593F42">
      <w:pPr>
        <w:pStyle w:val="1004"/>
        <w:numPr>
          <w:ilvl w:val="0"/>
          <w:numId w:val="2"/>
        </w:num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  8 (oito) vagas destinadas a Formação Cultural, sendo 4 vagas no valor de R$ 15.000,00 (quinze mil reais) e 4 vagas no valor de R$ 10.000,00 (dez mil reais);</w:t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</w:r>
    </w:p>
    <w:p w14:paraId="20ED26AD">
      <w:pPr>
        <w:pStyle w:val="1004"/>
        <w:numPr>
          <w:ilvl w:val="0"/>
          <w:numId w:val="2"/>
        </w:numPr>
        <w:pBdr/>
        <w:spacing w:after="240" w:before="240"/>
        <w:ind w:right="0" w:firstLine="0" w:left="142"/>
        <w:jc w:val="both"/>
        <w:rPr>
          <w:rFonts w:hint="default" w:ascii="Calibri" w:hAnsi="Calibri" w:eastAsia="Arial Nova" w:cs="Calibri"/>
          <w:sz w:val="26"/>
          <w:szCs w:val="26"/>
          <w:lang w:val="pt"/>
        </w:rPr>
      </w:pPr>
      <w:r>
        <w:rPr>
          <w:rFonts w:hint="default" w:ascii="Calibri" w:hAnsi="Calibri" w:eastAsia="Arial Nova" w:cs="Calibri"/>
          <w:color w:val="000000" w:themeColor="text1"/>
          <w:sz w:val="26"/>
          <w:szCs w:val="26"/>
          <w:lang w:val="pt"/>
          <w14:textFill>
            <w14:solidFill>
              <w14:schemeClr w14:val="tx1"/>
            </w14:solidFill>
          </w14:textFill>
        </w:rPr>
        <w:t xml:space="preserve">7 (sete projetos) de Produção Cultural, Espetáculos, Mostras e Shows, no valor de R$ 20.000,00 (vinte mil reais) cada.</w:t>
      </w:r>
      <w:r>
        <w:rPr>
          <w:rFonts w:hint="default" w:ascii="Calibri" w:hAnsi="Calibri" w:eastAsia="Arial Nova" w:cs="Calibri"/>
          <w:sz w:val="26"/>
          <w:szCs w:val="26"/>
          <w:lang w:val="pt"/>
        </w:rPr>
      </w:r>
      <w:r>
        <w:rPr>
          <w:rFonts w:hint="default" w:ascii="Calibri" w:hAnsi="Calibri" w:eastAsia="Arial Nova" w:cs="Calibri"/>
          <w:sz w:val="26"/>
          <w:szCs w:val="26"/>
          <w:lang w:val="pt"/>
        </w:rPr>
      </w:r>
    </w:p>
    <w:tbl>
      <w:tblPr>
        <w:tblStyle w:val="846"/>
        <w:tblInd w:w="0" w:type="dxa"/>
        <w:tblW w:w="1065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pPr w:horzAnchor="page" w:tblpX="616" w:vertAnchor="text" w:tblpY="894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1285"/>
        <w:gridCol w:w="1496"/>
        <w:gridCol w:w="974"/>
        <w:gridCol w:w="892"/>
        <w:gridCol w:w="760"/>
        <w:gridCol w:w="941"/>
        <w:gridCol w:w="1090"/>
        <w:gridCol w:w="1553"/>
        <w:gridCol w:w="1666"/>
      </w:tblGrid>
      <w:tr>
        <w:trPr>
          <w:trHeight w:val="996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257DEA8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Categoria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6DBCF6B9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Vagas ampla concorrência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1804F592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Cotas pessoas negras</w:t>
            </w:r>
            <w:r>
              <w:rPr>
                <w:rFonts w:ascii="Times New Roman" w:hAnsi="Times New Roman" w:eastAsia="Arial Nova" w:cs="Times New Roman"/>
                <w:sz w:val="24"/>
                <w:szCs w:val="24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57C99589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Cotas PCD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3FFD1D1D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Cota Idoso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295AA89E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Cota LGBTQIAP+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431D30D3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Total de vagas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03E698C5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Valor do prêmio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20CC133D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Valor total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</w:tr>
      <w:tr>
        <w:trPr>
          <w:trHeight w:val="121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08477492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Projetos de circulação inédita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2A6867F6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2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166857B5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74BB5F5F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272D5D5B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79920CCA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2B9B99BC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5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6ADFD2E3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R$ 40.000,00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2C9CF081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  <w:t xml:space="preserve">R$ 200.000,00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</w:tr>
      <w:tr>
        <w:trPr>
          <w:trHeight w:val="151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6880F855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Novas obras e espetáculos inéditos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505E9A79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2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7439D42A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6CCA19BB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19A2C5E6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3FA06207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53E68686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6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769E6B8A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R$ 40.000,00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345E1052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  <w:t xml:space="preserve">R$ 240.000,00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</w:tr>
      <w:tr>
        <w:trPr>
          <w:trHeight w:val="100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3B8F4A53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Cultura tradicional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75BA5F20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55E0CEA7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16897CB9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5931009A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6F68EFF2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02A47E5C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3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561EE577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R$ 40.000,00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774F33D7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  <w:t xml:space="preserve">R$ 120.000,00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</w:tr>
      <w:tr>
        <w:trPr>
          <w:trHeight w:val="1056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699B20A0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Artesanato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43D2DE43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2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38127ED1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60643C50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6F079D51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6739C195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179A9DE5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4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2F71B0D1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-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41FEBA95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  <w:t xml:space="preserve">R$ 65.000,00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</w:tr>
      <w:tr>
        <w:trPr>
          <w:trHeight w:val="100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0831B8AA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Formação Cultural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10436D94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3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2B7092AC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2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009897FD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3CC1516D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309AAEBB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02457E57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8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31AE5D54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-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2C76FC5C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  <w:t xml:space="preserve">R$ 100.000,00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</w:tr>
      <w:tr>
        <w:trPr>
          <w:trHeight w:val="108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85" w:type="dxa"/>
          </w:tcPr>
          <w:p w14:paraId="54F7363F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Produção Cultural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4"/>
                <w:szCs w:val="24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496" w:type="dxa"/>
          </w:tcPr>
          <w:p w14:paraId="1CDD4369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5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4" w:type="dxa"/>
          </w:tcPr>
          <w:p w14:paraId="312D93F0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1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92" w:type="dxa"/>
          </w:tcPr>
          <w:p w14:paraId="66A7470A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760" w:type="dxa"/>
          </w:tcPr>
          <w:p w14:paraId="6E57107D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-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941" w:type="dxa"/>
          </w:tcPr>
          <w:p w14:paraId="3DD884D6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2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090" w:type="dxa"/>
          </w:tcPr>
          <w:p w14:paraId="02A129B2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  <w:t xml:space="preserve">7</w:t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4"/>
                <w:szCs w:val="24"/>
                <w:lang w:val="pt"/>
              </w:rPr>
            </w:r>
          </w:p>
        </w:tc>
        <w:tc>
          <w:tcPr>
            <w:tcBorders/>
            <w:tcW w:w="1553" w:type="dxa"/>
          </w:tcPr>
          <w:p w14:paraId="1D559684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  <w:t xml:space="preserve">R$ 20.000,00</w:t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Arial Nova" w:cs="Times New Roman"/>
                <w:color w:val="000000" w:themeColor="text1"/>
                <w:sz w:val="22"/>
                <w:szCs w:val="22"/>
                <w:lang w:val="pt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666" w:type="dxa"/>
          </w:tcPr>
          <w:p w14:paraId="46BC4B8C">
            <w:pPr>
              <w:pBdr/>
              <w:spacing w:after="0" w:line="240" w:lineRule="auto"/>
              <w:ind/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pP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  <w:t xml:space="preserve">R$ 140.000,00</w:t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  <w:r>
              <w:rPr>
                <w:rFonts w:ascii="Times New Roman" w:hAnsi="Times New Roman" w:eastAsia="Arial Nova" w:cs="Times New Roman"/>
                <w:sz w:val="22"/>
                <w:szCs w:val="22"/>
                <w:lang w:val="pt"/>
              </w:rPr>
            </w:r>
          </w:p>
        </w:tc>
      </w:tr>
    </w:tbl>
    <w:p w14:paraId="2D599602">
      <w:pPr>
        <w:pStyle w:val="807"/>
        <w:pBdr/>
        <w:tabs>
          <w:tab w:val="left" w:leader="none" w:pos="665"/>
        </w:tabs>
        <w:spacing w:before="0"/>
        <w:ind w:hanging="245" w:left="670"/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pPr>
      <w:r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r>
      <w:r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r>
      <w:r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r>
    </w:p>
    <w:p w14:paraId="0DE797B1">
      <w:pPr>
        <w:pStyle w:val="807"/>
        <w:pBdr/>
        <w:tabs>
          <w:tab w:val="left" w:leader="none" w:pos="665"/>
        </w:tabs>
        <w:spacing w:before="0"/>
        <w:ind w:hanging="245" w:left="670"/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pPr>
      <w:r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r>
      <w:r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r>
      <w:r>
        <w:rPr>
          <w:rFonts w:ascii="Times New Roman" w:hAnsi="Times New Roman" w:eastAsia="Arial Nova" w:cs="Times New Roman"/>
          <w:color w:val="auto"/>
          <w:sz w:val="24"/>
          <w:szCs w:val="24"/>
          <w:lang w:val="pt"/>
        </w:rPr>
      </w:r>
    </w:p>
    <w:p w14:paraId="7932A8B1">
      <w:pPr>
        <w:pStyle w:val="807"/>
        <w:pBdr/>
        <w:spacing w:before="0"/>
        <w:ind w:right="0" w:hanging="670" w:left="670"/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</w:pP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  <w:t xml:space="preserve">2.  DISTRIBUIÇÃO DE VAGAS E VALORES</w:t>
      </w: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</w:r>
      <w:r>
        <w:rPr>
          <w:rFonts w:hint="default" w:ascii="Calibri" w:hAnsi="Calibri" w:eastAsia="Arial Nova" w:cs="Calibri"/>
          <w:b/>
          <w:bCs/>
          <w:color w:val="auto"/>
          <w:sz w:val="26"/>
          <w:szCs w:val="26"/>
          <w:lang w:val="pt"/>
        </w:rPr>
      </w:r>
    </w:p>
    <w:p w14:paraId="3CB28983">
      <w:pPr>
        <w:pBdr/>
        <w:spacing w:after="0" w:before="2"/>
        <w:ind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Arial Nova" w:cs="Calibri"/>
          <w:sz w:val="26"/>
          <w:szCs w:val="26"/>
          <w:lang w:val="pt"/>
        </w:rPr>
        <w:t xml:space="preserve">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5F03D1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2.1. Para fins deste edital, consideram-se pro</w:t>
      </w:r>
      <w:r>
        <w:rPr>
          <w:rFonts w:hint="default" w:ascii="Calibri" w:hAnsi="Calibri" w:eastAsia="Calibri" w:cs="Calibri"/>
          <w:sz w:val="26"/>
          <w:szCs w:val="26"/>
        </w:rPr>
        <w:t xml:space="preserve">jetos de circulação inédita as propostas artísticas ou culturais que prevejam, no mínimo, 2 (duas) apresentações públicas, em locais distintos, com caráter inédito no âmbito territorial do Município e sem execução anterior com a mesma finalidade e formato.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4881FB2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919BCF3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2.2. Poderão ser inscritos projetos culturais de fomento destinados à criação, produção, difusão, circulação, formação, preservação e fortalecimento das manifestações culturais, observadas as diretrizes deste edital.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B729D02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Serão admitidas propostas nas seguintes áreas e linguagens culturais, de forma exemplificativa: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71EBB1E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6FE0A54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 – música, incluindo produção de shows, gravações, apresentações musicais, rodas de viola, coral e projetos autorais;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ADEFFA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 – teatro e artes cênicas, compreendendo montagem de espetáculos, performances, intervenções urbanas, contação de histórias e circulação teatral;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8015F1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III – dança, tais como criação coreográfica, apresentações, oficinas, circulação e pesquisa em dança;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7A8BCA7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IV – artes visuais, abrangendo exposições, fotografia, pintura, grafite, escultura, muralismo, artes digitais e instalações;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F5A5CB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 – literatura, incluindo publicação de livros, saraus, clubes de leitura, feiras literárias e oficinas de escrita;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8A295E4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 – audiovisual, como produção de curtas, documentários, webséries, mostras e cinema itinerante;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05D3062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VII – cultura popular e tradicional, incluindo folia de reis, congada, capoeira, artesanato, culinária tradicional, manifestações religiosas e saberes populares;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215F04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VIII – patrimônio cultural e memória, compreendendo inventários, ações de valorização histórica, exposições de memória e registro de tradições locais;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EB0858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IX – formação cultural, tais como oficinas, cursos, capacitações, palestras e ações educativas;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4FE5CF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X – projetos de circulação inédita.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1A2C676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FE65C6E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Parágrafo único: O rol acima possui caráter exemplificativo, admitindo-se outras áreas e expressões culturais compatíveis com os objetivos da PNAB e com as diretrizes da política cultural municipal.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21DEE53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74AEF1B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2.3. Serão admitidos </w:t>
      </w:r>
      <w:r>
        <w:rPr>
          <w:rFonts w:hint="default" w:ascii="Calibri" w:hAnsi="Calibri" w:eastAsia="Calibri" w:cs="Calibri"/>
          <w:sz w:val="26"/>
          <w:szCs w:val="26"/>
        </w:rPr>
        <w:t xml:space="preserve">projetos voltados à criação, produção, montagem e estreia de novas obras e espetáculos inéditos, entendidos como aqueles ainda não apresentados publicamente, publicados, exibidos ou executados anteriormente, no mesmo formato, conteúdo e proposta artística.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0C3C024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Enquadram-se, de forma exemplificativa, nesta categoria: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42BEB75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0AEFD0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 – novos espetáculos teatrais, incluindo peças, monólogos, intervenções cênicas, performances e teatro de rua;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42E7246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 – novos espetáculos de dança, tais como montagens coreográficas, mostras e apresentações inéditas;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4E2DB2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III – novas obras musicais, incluindo shows autorais, concertos, gravação e lançamento de álbum, EP ou singles inéditos;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DFD0495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IV – novas obras audiovisuais, como curtas-metragens, documentários, videoclipes, webséries e filmes experimentais;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EA5BD8A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 – novas exposições de artes visuais, compreendendo coleções inéditas de fotografia, pintura, escultura, grafite e instalações;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765492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 – novas obras literárias, tais como livros, coletâneas, cordéis, revistas culturais e publicações digitais;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3B5085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VII – novos espetáculos de cultura popular, incluindo apresentações inéditas de grupos folclóricos, congada, capoeira, manifestações afro-brasileiras e tradicionais.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29AF173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FE9F00F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Parágrafo único: Não serão considerados inéditos projetos já apresentados, executados, publicados ou financiados anteriormente com o mesmo objeto, salvo se houver comprovada reformulação substancial da obra ou espetáculo.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7B4338D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8AAA9EB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2.4. Para fins deste edital, consideram-se projetos voltados para a cultura tradicional aqueles destinados</w:t>
      </w:r>
      <w:r>
        <w:rPr>
          <w:rFonts w:hint="default" w:ascii="Calibri" w:hAnsi="Calibri" w:eastAsia="Calibri" w:cs="Calibri"/>
          <w:sz w:val="26"/>
          <w:szCs w:val="26"/>
        </w:rPr>
        <w:t xml:space="preserve"> à preservação, valorização, promoção, difusão, transmissão e fortalecimento dos saberes, práticas, expressões e manifestações culturais transmitidas entre gerações, que integrem a identidade histórica, social e cultural do Município e de suas comunidades.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6457E75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Enquadram-se nesta categoria, de forma exemplificativa: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FB98BF5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310F91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 – manifestações populares e folclóricas, tais como folia de reis, congada, reisado, catira, quadrilha, festas religiosas e celebrações comunitárias;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D2FBB3F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 – saberes e fazeres tradicionais, incluindo artesanato, bordado, cerâmica, culinária típica, medicina popular e ofícios tradicionais;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B2F30F6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III – manifestações afro-brasileiras, indígenas e de comunidades tradicionais, abrangendo rituais, música, dança, oralidade, memória e práticas ancestrais;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C76155F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IV – expressões culturais rurais e comunitárias, como festas do campo, tradições sertanejas, cavalgadas, moda de viola e encontros culturais locais;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91ECCB4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 – projetos de memória e salvaguarda, voltados ao registro, documentação, pesquisa e difusão do patrimônio imaterial e das tradições locais;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DA00483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 – ações formativas e intergeracionais, destinadas à transmissão de conhecimentos tradicionais para novas gerações, por meio de oficinas, vivências, rodas de conversa e apresentações.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4EB0844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5D58BC2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Parágrafo único: Serão priorizados projetos que promovam a continuidade das tradições culturais locais, a participação comunitária e a preservação do patrimônio cultural imaterial.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938FE9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D21D3B7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2.5. Serão admitidos projetos voltados à criação, produção, exposição, comercialização, difusão e valorização do artesanato local, incluindo peças manuais, objetos artísticos, arte utilitária e saberes tradicionais relacionados ao fazer artesanal.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5C3F5D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Enquadram-se, de forma exemplificativa: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59F58CD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9BBE5B7">
      <w:pPr>
        <w:numPr>
          <w:ilvl w:val="0"/>
          <w:numId w:val="3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produção de peças artesanais;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86893CC">
      <w:pPr>
        <w:numPr>
          <w:ilvl w:val="0"/>
          <w:numId w:val="3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exposições e feiras de artesanato;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EFAA550">
      <w:pPr>
        <w:numPr>
          <w:ilvl w:val="0"/>
          <w:numId w:val="3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oficinas de técnicas artesanais;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0A4F4B5">
      <w:pPr>
        <w:numPr>
          <w:ilvl w:val="0"/>
          <w:numId w:val="3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valorização de mestres artesãos;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34CAD55">
      <w:pPr>
        <w:numPr>
          <w:ilvl w:val="0"/>
          <w:numId w:val="3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projetos de inovação e design aplicado ao artesanato.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66DA254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05A586E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2.6. Serão disponibilizadas 4 (quatro) vagas destinadas a Projetos de formação cultural, compreendendo ações educativas e formativas voltadas ao desenvolvimento artístico, técnico e cultural da comunidade.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4FF42F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Incluem-se, exemplificativamente: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C413050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FB7B5E6">
      <w:pPr>
        <w:numPr>
          <w:ilvl w:val="0"/>
          <w:numId w:val="4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oficinas culturais;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5CA01B0">
      <w:pPr>
        <w:numPr>
          <w:ilvl w:val="0"/>
          <w:numId w:val="4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cursos livres;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1AF7B34">
      <w:pPr>
        <w:numPr>
          <w:ilvl w:val="0"/>
          <w:numId w:val="4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capacitações técnicas;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416518F">
      <w:pPr>
        <w:numPr>
          <w:ilvl w:val="0"/>
          <w:numId w:val="4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palestras e seminários;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743A25B">
      <w:pPr>
        <w:numPr>
          <w:ilvl w:val="0"/>
          <w:numId w:val="4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vivências artísticas;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8B85ADE">
      <w:pPr>
        <w:numPr>
          <w:ilvl w:val="0"/>
          <w:numId w:val="4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formação de agentes culturais.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EE681AA">
      <w:pPr>
        <w:numPr>
          <w:ilvl w:val="0"/>
          <w:numId w:val="5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oficina de teatro para jovens;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C0938D7">
      <w:pPr>
        <w:numPr>
          <w:ilvl w:val="0"/>
          <w:numId w:val="5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curso de audiovisual;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8D66106">
      <w:pPr>
        <w:numPr>
          <w:ilvl w:val="0"/>
          <w:numId w:val="5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capacitação em elaboração de projetos culturais;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35529FA">
      <w:pPr>
        <w:numPr>
          <w:ilvl w:val="0"/>
          <w:numId w:val="5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oficina de música e canto.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E82A0B6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36655EF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2.8. Projetos destinados à produção cultural, realização de espetáculos, mostras e shows, abrangendo a criação, montagem, circulação e apresentação pública de atividades artísticas e culturais.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2986577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7FB81E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Enquadram-se, de forma exemplificativa: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9D522FD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6B41B3F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shows musicais;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685F191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espetáculos teatrais;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B910B90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apresentações de dança;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6755C84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mostras audiovisuais;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F6B1F8E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exposições culturais;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BA637C5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festivais e eventos artísticos; 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2B64859">
      <w:pPr>
        <w:numPr>
          <w:ilvl w:val="0"/>
          <w:numId w:val="6"/>
        </w:num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performances e intervenções culturais.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4C8A635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FC7544F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Parágrafo único: O quantitativo de vagas poderá ser remanejado entre as categorias, em caso de ausência de propostas habilitadas, observada a conveniência administrativa e a finalidade pública do edital.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6AABF1B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439665C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29.9. Em observância aos princípios da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igualdade material, inclusão, diversidade cultural e democratização do acesso às políticas públicas de cultura</w:t>
      </w:r>
      <w:r>
        <w:rPr>
          <w:rFonts w:hint="default" w:ascii="Calibri" w:hAnsi="Calibri" w:eastAsia="Calibri" w:cs="Calibri"/>
          <w:sz w:val="26"/>
          <w:szCs w:val="26"/>
        </w:rPr>
        <w:t xml:space="preserve">, ficam disponibilizadas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15 (quinze) vagas destinadas às ações afirmativas</w:t>
      </w:r>
      <w:r>
        <w:rPr>
          <w:rFonts w:hint="default" w:ascii="Calibri" w:hAnsi="Calibri" w:eastAsia="Calibri" w:cs="Calibri"/>
          <w:sz w:val="26"/>
          <w:szCs w:val="26"/>
        </w:rPr>
        <w:t xml:space="preserve">, do total de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33 (trinta e três) vagas previstas neste edital</w:t>
      </w:r>
      <w:r>
        <w:rPr>
          <w:rFonts w:hint="default" w:ascii="Calibri" w:hAnsi="Calibri" w:eastAsia="Calibri" w:cs="Calibri"/>
          <w:sz w:val="26"/>
          <w:szCs w:val="26"/>
        </w:rPr>
        <w:t xml:space="preserve">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918C39E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As vagas reservadas serão destinadas aos seguintes públicos historicamente sub-representados: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104E3638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8419D11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 – pessoas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LGBTQIAP+, 3 vagas</w:t>
      </w:r>
      <w:r>
        <w:rPr>
          <w:rFonts w:hint="default" w:ascii="Calibri" w:hAnsi="Calibri" w:eastAsia="Calibri" w:cs="Calibri"/>
          <w:sz w:val="26"/>
          <w:szCs w:val="26"/>
        </w:rPr>
        <w:t xml:space="preserve">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A221E38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 – pessoas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idosas, 3 vagas</w:t>
      </w:r>
      <w:r>
        <w:rPr>
          <w:rFonts w:hint="default" w:ascii="Calibri" w:hAnsi="Calibri" w:eastAsia="Calibri" w:cs="Calibri"/>
          <w:sz w:val="26"/>
          <w:szCs w:val="26"/>
        </w:rPr>
        <w:t xml:space="preserve">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33609FAB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III – pessoas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negras (pretas e pardas), 7 vagas</w:t>
      </w:r>
      <w:r>
        <w:rPr>
          <w:rFonts w:hint="default" w:ascii="Calibri" w:hAnsi="Calibri" w:eastAsia="Calibri" w:cs="Calibri"/>
          <w:sz w:val="26"/>
          <w:szCs w:val="26"/>
        </w:rPr>
        <w:t xml:space="preserve">;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76156953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IV – </w:t>
      </w:r>
      <w:r>
        <w:rPr>
          <w:rFonts w:hint="default" w:ascii="Calibri" w:hAnsi="Calibri" w:eastAsia="Calibri" w:cs="Calibri"/>
          <w:b/>
          <w:bCs/>
          <w:sz w:val="26"/>
          <w:szCs w:val="26"/>
        </w:rPr>
        <w:t xml:space="preserve">pessoas com deficiência (PCD), 2 vagas</w:t>
      </w:r>
      <w:r>
        <w:rPr>
          <w:rFonts w:hint="default" w:ascii="Calibri" w:hAnsi="Calibri" w:eastAsia="Calibri" w:cs="Calibri"/>
          <w:sz w:val="26"/>
          <w:szCs w:val="26"/>
        </w:rPr>
        <w:t xml:space="preserve">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5BDA3C61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2E7688B1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§1º A distribuição das vagas observará os critérios de proporcionalidade, equidade e promoção do acesso às políticas culturais, nos termos da legislação aplicável e das diretrizes da Política Nacional Aldir Blanc – PNAB.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4F2FED1E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6ED77AC7">
      <w:pPr>
        <w:pBdr/>
        <w:spacing w:after="0" w:line="276" w:lineRule="auto"/>
        <w:ind w:right="259" w:firstLine="0" w:left="0"/>
        <w:jc w:val="both"/>
        <w:rPr>
          <w:rFonts w:hint="default" w:ascii="Calibri" w:hAnsi="Calibri" w:eastAsia="Calibri" w:cs="Calibri"/>
          <w:sz w:val="26"/>
          <w:szCs w:val="26"/>
        </w:rPr>
      </w:pPr>
      <w:r>
        <w:rPr>
          <w:rFonts w:hint="default" w:ascii="Calibri" w:hAnsi="Calibri" w:eastAsia="Calibri" w:cs="Calibri"/>
          <w:sz w:val="26"/>
          <w:szCs w:val="26"/>
        </w:rPr>
        <w:t xml:space="preserve">§2º. Na hipótese de não preenchimento integral </w:t>
      </w:r>
      <w:r>
        <w:rPr>
          <w:rFonts w:hint="default" w:ascii="Calibri" w:hAnsi="Calibri" w:eastAsia="Calibri" w:cs="Calibri"/>
          <w:sz w:val="26"/>
          <w:szCs w:val="26"/>
        </w:rPr>
        <w:t xml:space="preserve">das vagas reservadas, as remanescentes poderão ser destinadas à ampla concorrência ou redistribuídas entre as demais categorias de cotas, conforme a ordem de classificação e a conveniência administrativa, assegurada a transparência e a isonomia do certame.</w:t>
      </w:r>
      <w:r>
        <w:rPr>
          <w:rFonts w:hint="default" w:ascii="Calibri" w:hAnsi="Calibri" w:eastAsia="Calibri" w:cs="Calibri"/>
          <w:sz w:val="26"/>
          <w:szCs w:val="26"/>
        </w:rPr>
      </w:r>
      <w:r>
        <w:rPr>
          <w:rFonts w:hint="default" w:ascii="Calibri" w:hAnsi="Calibri" w:eastAsia="Calibri" w:cs="Calibri"/>
          <w:sz w:val="26"/>
          <w:szCs w:val="26"/>
        </w:rPr>
      </w:r>
    </w:p>
    <w:p w14:paraId="0A5EC5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right="259" w:firstLine="0" w:left="0"/>
        <w:rPr>
          <w:b/>
          <w:bCs/>
          <w:smallCaps/>
          <w:color w:val="000000"/>
          <w:sz w:val="26"/>
          <w:szCs w:val="26"/>
        </w:rPr>
      </w:pPr>
      <w:r>
        <w:rPr>
          <w:b/>
          <w:bCs/>
          <w:smallCaps/>
          <w:color w:val="000000"/>
          <w:sz w:val="26"/>
          <w:szCs w:val="26"/>
        </w:rPr>
      </w:r>
      <w:r>
        <w:rPr>
          <w:b/>
          <w:bCs/>
          <w:smallCaps/>
          <w:color w:val="000000"/>
          <w:sz w:val="26"/>
          <w:szCs w:val="26"/>
        </w:rPr>
      </w:r>
      <w:r>
        <w:rPr>
          <w:b/>
          <w:bCs/>
          <w:smallCaps/>
          <w:color w:val="000000"/>
          <w:sz w:val="26"/>
          <w:szCs w:val="26"/>
        </w:rPr>
      </w:r>
    </w:p>
    <w:p w14:paraId="4D90B8A8">
      <w:pPr>
        <w:pBdr/>
        <w:spacing/>
        <w:ind/>
        <w:jc w:val="center"/>
        <w:rPr>
          <w:rFonts w:ascii="Calibri" w:hAnsi="Calibri" w:cs="Calibri"/>
          <w:color w:val="000000"/>
          <w:sz w:val="26"/>
          <w:szCs w:val="26"/>
        </w:rPr>
      </w:pPr>
      <w:r/>
      <w:bookmarkStart w:id="0" w:name="_heading=h.gjdgxs"/>
      <w:r/>
      <w:bookmarkEnd w:id="0"/>
      <w:r>
        <w:rPr>
          <w:rFonts w:ascii="Calibri" w:hAnsi="Calibri" w:cs="Calibri"/>
          <w:color w:val="000000"/>
          <w:sz w:val="26"/>
          <w:szCs w:val="26"/>
        </w:rPr>
      </w:r>
      <w:r>
        <w:rPr>
          <w:rFonts w:ascii="Calibri" w:hAnsi="Calibri" w:cs="Calibri"/>
          <w:color w:val="000000"/>
          <w:sz w:val="26"/>
          <w:szCs w:val="26"/>
        </w:rPr>
      </w:r>
    </w:p>
    <w:sectPr>
      <w:headerReference w:type="default" r:id="rId9"/>
      <w:footerReference w:type="default" r:id="rId10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ova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650A"/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215D144D"/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27F354BC"/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41115BA6"/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544E0628"/>
    <w:lvl w:ilvl="0">
      <w:isLgl w:val="false"/>
      <w:lvlJc w:val="left"/>
      <w:lvlText w:val="%1."/>
      <w:numFmt w:val="decimal"/>
      <w:pPr>
        <w:pBdr/>
        <w:spacing/>
        <w:ind w:hanging="360" w:left="7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5"/>
      </w:pPr>
      <w:rPr/>
      <w:start w:val="1"/>
      <w:suff w:val="tab"/>
    </w:lvl>
  </w:abstractNum>
  <w:abstractNum w:abstractNumId="5">
    <w:nsid w:val="6D0E779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805" w:default="1">
    <w:name w:val="No List"/>
    <w:uiPriority w:val="99"/>
    <w:semiHidden/>
    <w:unhideWhenUsed/>
    <w:pPr>
      <w:pBdr/>
      <w:spacing/>
      <w:ind/>
    </w:pPr>
  </w:style>
  <w:style w:type="paragraph" w:styleId="806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807">
    <w:name w:val="Heading 1"/>
    <w:basedOn w:val="806"/>
    <w:next w:val="806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808">
    <w:name w:val="Heading 2"/>
    <w:basedOn w:val="806"/>
    <w:next w:val="806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809">
    <w:name w:val="Heading 3"/>
    <w:basedOn w:val="806"/>
    <w:next w:val="80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810">
    <w:name w:val="Heading 4"/>
    <w:basedOn w:val="806"/>
    <w:next w:val="806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811">
    <w:name w:val="Heading 5"/>
    <w:basedOn w:val="806"/>
    <w:next w:val="80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812">
    <w:name w:val="Heading 6"/>
    <w:basedOn w:val="806"/>
    <w:next w:val="806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813">
    <w:name w:val="Heading 7"/>
    <w:basedOn w:val="806"/>
    <w:next w:val="806"/>
    <w:link w:val="9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14">
    <w:name w:val="Heading 8"/>
    <w:basedOn w:val="806"/>
    <w:next w:val="806"/>
    <w:link w:val="9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15">
    <w:name w:val="Heading 9"/>
    <w:basedOn w:val="806"/>
    <w:next w:val="806"/>
    <w:link w:val="9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16" w:default="1">
    <w:name w:val="Default Paragraph Font"/>
    <w:uiPriority w:val="1"/>
    <w:unhideWhenUsed/>
    <w:qFormat/>
    <w:pPr>
      <w:pBdr/>
      <w:spacing/>
      <w:ind/>
    </w:pPr>
  </w:style>
  <w:style w:type="table" w:styleId="81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endnote reference"/>
    <w:basedOn w:val="81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9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820">
    <w:name w:val="annotation reference"/>
    <w:basedOn w:val="816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21">
    <w:name w:val="FollowedHyperlink"/>
    <w:basedOn w:val="816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22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823">
    <w:name w:val="footnote reference"/>
    <w:basedOn w:val="81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24">
    <w:name w:val="Hyperlink"/>
    <w:basedOn w:val="816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25">
    <w:name w:val="toc 2"/>
    <w:basedOn w:val="806"/>
    <w:next w:val="806"/>
    <w:uiPriority w:val="39"/>
    <w:unhideWhenUsed/>
    <w:qFormat/>
    <w:pPr>
      <w:pBdr/>
      <w:spacing w:after="100"/>
      <w:ind w:left="220"/>
    </w:pPr>
  </w:style>
  <w:style w:type="paragraph" w:styleId="826">
    <w:name w:val="toc 9"/>
    <w:basedOn w:val="806"/>
    <w:next w:val="806"/>
    <w:uiPriority w:val="39"/>
    <w:unhideWhenUsed/>
    <w:qFormat/>
    <w:pPr>
      <w:pBdr/>
      <w:spacing w:after="100"/>
      <w:ind w:left="1760"/>
    </w:pPr>
  </w:style>
  <w:style w:type="paragraph" w:styleId="827">
    <w:name w:val="Body Text"/>
    <w:basedOn w:val="806"/>
    <w:link w:val="1013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28">
    <w:name w:val="toc 6"/>
    <w:basedOn w:val="806"/>
    <w:next w:val="806"/>
    <w:uiPriority w:val="39"/>
    <w:unhideWhenUsed/>
    <w:qFormat/>
    <w:pPr>
      <w:pBdr/>
      <w:spacing w:after="100"/>
      <w:ind w:left="1100"/>
    </w:pPr>
  </w:style>
  <w:style w:type="paragraph" w:styleId="829">
    <w:name w:val="annotation text"/>
    <w:basedOn w:val="806"/>
    <w:link w:val="1007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30">
    <w:name w:val="toc 5"/>
    <w:basedOn w:val="806"/>
    <w:next w:val="806"/>
    <w:uiPriority w:val="39"/>
    <w:unhideWhenUsed/>
    <w:qFormat/>
    <w:pPr>
      <w:pBdr/>
      <w:spacing w:after="100"/>
      <w:ind w:left="880"/>
    </w:pPr>
  </w:style>
  <w:style w:type="paragraph" w:styleId="831">
    <w:name w:val="table of figures"/>
    <w:basedOn w:val="806"/>
    <w:next w:val="806"/>
    <w:uiPriority w:val="99"/>
    <w:unhideWhenUsed/>
    <w:qFormat/>
    <w:pPr>
      <w:pBdr/>
      <w:spacing w:after="0" w:afterAutospacing="0"/>
      <w:ind/>
    </w:pPr>
  </w:style>
  <w:style w:type="paragraph" w:styleId="832">
    <w:name w:val="Title"/>
    <w:basedOn w:val="806"/>
    <w:next w:val="806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33">
    <w:name w:val="endnote text"/>
    <w:basedOn w:val="806"/>
    <w:link w:val="996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34">
    <w:name w:val="Normal (Web)"/>
    <w:basedOn w:val="806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35">
    <w:name w:val="toc 4"/>
    <w:basedOn w:val="806"/>
    <w:next w:val="806"/>
    <w:uiPriority w:val="39"/>
    <w:unhideWhenUsed/>
    <w:qFormat/>
    <w:pPr>
      <w:pBdr/>
      <w:spacing w:after="100"/>
      <w:ind w:left="660"/>
    </w:pPr>
  </w:style>
  <w:style w:type="paragraph" w:styleId="836">
    <w:name w:val="toc 8"/>
    <w:basedOn w:val="806"/>
    <w:next w:val="806"/>
    <w:uiPriority w:val="39"/>
    <w:unhideWhenUsed/>
    <w:qFormat/>
    <w:pPr>
      <w:pBdr/>
      <w:spacing w:after="100"/>
      <w:ind w:left="1540"/>
    </w:pPr>
  </w:style>
  <w:style w:type="paragraph" w:styleId="837">
    <w:name w:val="Header"/>
    <w:basedOn w:val="806"/>
    <w:link w:val="1032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38">
    <w:name w:val="annotation subject"/>
    <w:basedOn w:val="829"/>
    <w:next w:val="829"/>
    <w:link w:val="1008"/>
    <w:uiPriority w:val="99"/>
    <w:semiHidden/>
    <w:unhideWhenUsed/>
    <w:qFormat/>
    <w:pPr>
      <w:pBdr/>
      <w:spacing/>
      <w:ind/>
    </w:pPr>
    <w:rPr>
      <w:b/>
      <w:bCs/>
    </w:rPr>
  </w:style>
  <w:style w:type="paragraph" w:styleId="839">
    <w:name w:val="Footer"/>
    <w:basedOn w:val="806"/>
    <w:link w:val="1033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40">
    <w:name w:val="Caption"/>
    <w:basedOn w:val="806"/>
    <w:next w:val="806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41">
    <w:name w:val="toc 7"/>
    <w:basedOn w:val="806"/>
    <w:next w:val="806"/>
    <w:uiPriority w:val="39"/>
    <w:unhideWhenUsed/>
    <w:qFormat/>
    <w:pPr>
      <w:pBdr/>
      <w:spacing w:after="100"/>
      <w:ind w:left="1320"/>
    </w:pPr>
  </w:style>
  <w:style w:type="paragraph" w:styleId="842">
    <w:name w:val="toc 3"/>
    <w:basedOn w:val="806"/>
    <w:next w:val="806"/>
    <w:uiPriority w:val="39"/>
    <w:unhideWhenUsed/>
    <w:qFormat/>
    <w:pPr>
      <w:pBdr/>
      <w:spacing w:after="100"/>
      <w:ind w:left="440"/>
    </w:pPr>
  </w:style>
  <w:style w:type="paragraph" w:styleId="843">
    <w:name w:val="Subtitle"/>
    <w:basedOn w:val="806"/>
    <w:next w:val="806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44">
    <w:name w:val="footnote text"/>
    <w:basedOn w:val="806"/>
    <w:link w:val="995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45">
    <w:name w:val="toc 1"/>
    <w:basedOn w:val="806"/>
    <w:next w:val="806"/>
    <w:uiPriority w:val="39"/>
    <w:unhideWhenUsed/>
    <w:pPr>
      <w:pBdr/>
      <w:spacing w:after="100"/>
      <w:ind/>
    </w:pPr>
  </w:style>
  <w:style w:type="table" w:styleId="846">
    <w:name w:val="Table Grid"/>
    <w:basedOn w:val="817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Table Grid Light"/>
    <w:basedOn w:val="817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Plain Table 1"/>
    <w:basedOn w:val="817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Plain Table 2"/>
    <w:basedOn w:val="817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Plain Table 3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Plain Table 4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Plain Table 5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"/>
    <w:basedOn w:val="817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basedOn w:val="817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basedOn w:val="817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"/>
    <w:basedOn w:val="817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basedOn w:val="817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basedOn w:val="817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basedOn w:val="817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basedOn w:val="817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basedOn w:val="817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basedOn w:val="817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"/>
    <w:basedOn w:val="817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basedOn w:val="817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basedOn w:val="817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basedOn w:val="817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basedOn w:val="817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basedOn w:val="817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basedOn w:val="817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"/>
    <w:basedOn w:val="817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basedOn w:val="817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basedOn w:val="817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basedOn w:val="817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basedOn w:val="817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basedOn w:val="817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basedOn w:val="817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"/>
    <w:basedOn w:val="817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basedOn w:val="817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basedOn w:val="817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"/>
    <w:basedOn w:val="817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basedOn w:val="817"/>
    <w:uiPriority w:val="99"/>
    <w:qFormat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basedOn w:val="817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basedOn w:val="817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basedOn w:val="817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basedOn w:val="817"/>
    <w:uiPriority w:val="99"/>
    <w:qFormat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basedOn w:val="817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basedOn w:val="81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basedOn w:val="81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"/>
    <w:basedOn w:val="817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basedOn w:val="817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basedOn w:val="817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basedOn w:val="817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basedOn w:val="817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"/>
    <w:basedOn w:val="817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basedOn w:val="817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basedOn w:val="81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basedOn w:val="81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basedOn w:val="81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"/>
    <w:basedOn w:val="817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basedOn w:val="817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basedOn w:val="817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basedOn w:val="817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"/>
    <w:basedOn w:val="817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basedOn w:val="817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basedOn w:val="817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"/>
    <w:basedOn w:val="817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basedOn w:val="817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basedOn w:val="81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basedOn w:val="81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basedOn w:val="817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"/>
    <w:basedOn w:val="817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basedOn w:val="817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817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basedOn w:val="817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basedOn w:val="817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basedOn w:val="817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basedOn w:val="817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basedOn w:val="817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basedOn w:val="81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basedOn w:val="817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basedOn w:val="817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basedOn w:val="817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basedOn w:val="817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basedOn w:val="817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basedOn w:val="817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basedOn w:val="817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 w:customStyle="1">
    <w:name w:val="Heading 1 Char"/>
    <w:basedOn w:val="816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73" w:customStyle="1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74" w:customStyle="1">
    <w:name w:val="Heading 3 Char"/>
    <w:basedOn w:val="816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75" w:customStyle="1">
    <w:name w:val="Heading 4 Char"/>
    <w:basedOn w:val="816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76" w:customStyle="1">
    <w:name w:val="Heading 5 Char"/>
    <w:basedOn w:val="816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77" w:customStyle="1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8" w:customStyle="1">
    <w:name w:val="Heading 7 Char"/>
    <w:basedOn w:val="816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9" w:customStyle="1">
    <w:name w:val="Heading 8 Char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80" w:customStyle="1">
    <w:name w:val="Heading 9 Char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81" w:customStyle="1">
    <w:name w:val="Title Char"/>
    <w:basedOn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2" w:customStyle="1">
    <w:name w:val="Subtitle Char"/>
    <w:basedOn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83">
    <w:name w:val="Quote"/>
    <w:basedOn w:val="806"/>
    <w:next w:val="806"/>
    <w:link w:val="9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84" w:customStyle="1">
    <w:name w:val="Quote Char"/>
    <w:basedOn w:val="816"/>
    <w:link w:val="983"/>
    <w:uiPriority w:val="2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85" w:customStyle="1">
    <w:name w:val="Intense Emphasis"/>
    <w:basedOn w:val="816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86">
    <w:name w:val="Intense Quote"/>
    <w:basedOn w:val="806"/>
    <w:next w:val="806"/>
    <w:link w:val="98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87" w:customStyle="1">
    <w:name w:val="Intense Quote Char"/>
    <w:basedOn w:val="816"/>
    <w:link w:val="986"/>
    <w:uiPriority w:val="30"/>
    <w:qFormat/>
    <w:pPr>
      <w:pBdr/>
      <w:spacing/>
      <w:ind/>
    </w:pPr>
    <w:rPr>
      <w:i/>
      <w:iCs/>
      <w:color w:val="2f5597" w:themeColor="accent1" w:themeShade="BF"/>
    </w:rPr>
  </w:style>
  <w:style w:type="character" w:styleId="988" w:customStyle="1">
    <w:name w:val="Intense Reference"/>
    <w:basedOn w:val="816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89">
    <w:name w:val="No Spacing"/>
    <w:basedOn w:val="806"/>
    <w:uiPriority w:val="1"/>
    <w:qFormat/>
    <w:pPr>
      <w:pBdr/>
      <w:spacing w:after="0" w:line="240" w:lineRule="auto"/>
      <w:ind/>
    </w:pPr>
  </w:style>
  <w:style w:type="character" w:styleId="990" w:customStyle="1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91" w:customStyle="1">
    <w:name w:val="Subtle Reference"/>
    <w:basedOn w:val="816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92" w:customStyle="1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3" w:customStyle="1">
    <w:name w:val="Header Char"/>
    <w:basedOn w:val="816"/>
    <w:uiPriority w:val="99"/>
    <w:qFormat/>
    <w:pPr>
      <w:pBdr/>
      <w:spacing/>
      <w:ind/>
    </w:pPr>
  </w:style>
  <w:style w:type="character" w:styleId="994" w:customStyle="1">
    <w:name w:val="Footer Char"/>
    <w:basedOn w:val="816"/>
    <w:uiPriority w:val="99"/>
    <w:qFormat/>
    <w:pPr>
      <w:pBdr/>
      <w:spacing/>
      <w:ind/>
    </w:pPr>
  </w:style>
  <w:style w:type="character" w:styleId="995" w:customStyle="1">
    <w:name w:val="Footnote Text Char"/>
    <w:basedOn w:val="816"/>
    <w:link w:val="844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6" w:customStyle="1">
    <w:name w:val="Endnote Text Char"/>
    <w:basedOn w:val="816"/>
    <w:link w:val="83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7">
    <w:name w:val="Placeholder Text"/>
    <w:basedOn w:val="816"/>
    <w:uiPriority w:val="99"/>
    <w:semiHidden/>
    <w:qFormat/>
    <w:pPr>
      <w:pBdr/>
      <w:spacing/>
      <w:ind/>
    </w:pPr>
    <w:rPr>
      <w:color w:val="666666"/>
    </w:rPr>
  </w:style>
  <w:style w:type="table" w:styleId="998" w:customStyle="1">
    <w:name w:val="TableNormal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Normal Table0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0" w:customStyle="1">
    <w:name w:val="texto_centralizado_maiusculas"/>
    <w:basedOn w:val="806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01" w:customStyle="1">
    <w:name w:val="texto_justificado"/>
    <w:basedOn w:val="806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02" w:customStyle="1">
    <w:name w:val="texto_centralizado"/>
    <w:basedOn w:val="806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03" w:customStyle="1">
    <w:name w:val="texto1"/>
    <w:basedOn w:val="806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04">
    <w:name w:val="List Paragraph"/>
    <w:basedOn w:val="806"/>
    <w:uiPriority w:val="34"/>
    <w:qFormat/>
    <w:pPr>
      <w:pBdr/>
      <w:spacing/>
      <w:ind w:left="720"/>
      <w:contextualSpacing w:val="true"/>
    </w:pPr>
  </w:style>
  <w:style w:type="character" w:styleId="1005" w:customStyle="1">
    <w:name w:val="Menção Pendente1"/>
    <w:basedOn w:val="816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1006" w:customStyle="1">
    <w:name w:val="dou-paragraph"/>
    <w:basedOn w:val="806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07" w:customStyle="1">
    <w:name w:val="Texto de comentário Char"/>
    <w:basedOn w:val="816"/>
    <w:link w:val="829"/>
    <w:uiPriority w:val="99"/>
    <w:qFormat/>
    <w:pPr>
      <w:pBdr/>
      <w:spacing/>
      <w:ind/>
    </w:pPr>
    <w:rPr>
      <w:sz w:val="20"/>
      <w:szCs w:val="20"/>
    </w:rPr>
  </w:style>
  <w:style w:type="character" w:styleId="1008" w:customStyle="1">
    <w:name w:val="Assunto do comentário Char"/>
    <w:basedOn w:val="1007"/>
    <w:link w:val="838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1009" w:customStyle="1">
    <w:name w:val="Menção1"/>
    <w:basedOn w:val="816"/>
    <w:uiPriority w:val="99"/>
    <w:unhideWhenUsed/>
    <w:qFormat/>
    <w:pPr>
      <w:pBdr/>
      <w:spacing/>
      <w:ind/>
    </w:pPr>
    <w:rPr>
      <w:color w:val="2b579a"/>
      <w:shd w:val="clear" w:color="auto" w:fill="e6e6e6"/>
    </w:rPr>
  </w:style>
  <w:style w:type="character" w:styleId="1010" w:customStyle="1">
    <w:name w:val="Título 1 Char"/>
    <w:basedOn w:val="816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011" w:customStyle="1">
    <w:name w:val="TOC Heading"/>
    <w:next w:val="806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1012" w:customStyle="1">
    <w:name w:val="Revision"/>
    <w:hidden/>
    <w:uiPriority w:val="99"/>
    <w:semiHidden/>
    <w:qFormat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1013" w:customStyle="1">
    <w:name w:val="Corpo de texto Char"/>
    <w:basedOn w:val="816"/>
    <w:link w:val="827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14" w:customStyle="1">
    <w:name w:val="paragraph"/>
    <w:basedOn w:val="806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15" w:customStyle="1">
    <w:name w:val="normaltextrun"/>
    <w:basedOn w:val="816"/>
    <w:uiPriority w:val="0"/>
    <w:qFormat/>
    <w:pPr>
      <w:pBdr/>
      <w:spacing/>
      <w:ind/>
    </w:pPr>
  </w:style>
  <w:style w:type="character" w:styleId="1016" w:customStyle="1">
    <w:name w:val="eop"/>
    <w:basedOn w:val="816"/>
    <w:uiPriority w:val="0"/>
    <w:qFormat/>
    <w:pPr>
      <w:pBdr/>
      <w:spacing/>
      <w:ind/>
    </w:pPr>
  </w:style>
  <w:style w:type="table" w:styleId="1017" w:customStyle="1">
    <w:name w:val="StGen0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2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3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4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5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StGen6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StGen7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8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StGen9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StGen10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StGen11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StGen12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StGen13"/>
    <w:basedOn w:val="999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StGen14"/>
    <w:basedOn w:val="999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2" w:customStyle="1">
    <w:name w:val="Cabeçalho Char"/>
    <w:basedOn w:val="816"/>
    <w:link w:val="837"/>
    <w:uiPriority w:val="99"/>
    <w:pPr>
      <w:pBdr/>
      <w:spacing/>
      <w:ind/>
    </w:pPr>
  </w:style>
  <w:style w:type="character" w:styleId="1033" w:customStyle="1">
    <w:name w:val="Rodapé Char"/>
    <w:basedOn w:val="816"/>
    <w:link w:val="839"/>
    <w:uiPriority w:val="99"/>
    <w:pPr>
      <w:pBdr/>
      <w:spacing/>
      <w:ind/>
    </w:pPr>
  </w:style>
  <w:style w:type="table" w:styleId="1034" w:customStyle="1">
    <w:name w:val="StGen15"/>
    <w:basedOn w:val="998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StGen16"/>
    <w:basedOn w:val="998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StGen17"/>
    <w:basedOn w:val="998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StGen18"/>
    <w:basedOn w:val="998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StGen19"/>
    <w:basedOn w:val="998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StGen20"/>
    <w:basedOn w:val="998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StGen21"/>
    <w:basedOn w:val="998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1" w:customStyle="1">
    <w:name w:val="Menção Pendente2"/>
    <w:basedOn w:val="81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42" w:customStyle="1">
    <w:name w:val="StGen22"/>
    <w:basedOn w:val="998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StGen23"/>
    <w:basedOn w:val="998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5</cp:revision>
  <dcterms:created xsi:type="dcterms:W3CDTF">2025-09-19T12:46:00Z</dcterms:created>
  <dcterms:modified xsi:type="dcterms:W3CDTF">2026-04-17T20:21:20Z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6848F85C81904DE4BB2154245C027F55_12</vt:lpwstr>
  </property>
</Properties>
</file>