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D0DC4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XI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–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Declaraç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ão de V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ínculo Cultural com o Munic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ípio de Bragança Paulista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CB0B1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</w:p>
    <w:p w14:paraId="77DFF3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Eu, ______________________________________________, RG nº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____________, CPF nº ______________________, </w:t>
      </w:r>
      <w:r>
        <w:rPr>
          <w:rFonts w:ascii="Arial" w:hAnsi="Arial" w:eastAsia="Arial" w:cs="Arial"/>
        </w:rPr>
        <w:t xml:space="preserve">DECLARO, SOB AS PENAS DA LEI, para os devidos fins, que possuo vínculo cultural com o Município de Bragança Paulista há, no mínimo, 12 (doze) me</w:t>
      </w:r>
      <w:r>
        <w:rPr>
          <w:rFonts w:ascii="Arial" w:hAnsi="Arial" w:eastAsia="Arial" w:cs="Arial"/>
        </w:rPr>
        <w:t xml:space="preserve">ses, atendendo integralmente às exigências do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Edital de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Fomento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nº 01/202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5,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da Lei Municipal de Incentivo à Cultura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 w14:paraId="16ECF5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Declaro que este vínculo se estabelece por meio de (assinalar uma ou mais opções):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6B6595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) Residência no Município de Bragança Paulista;</w:t>
      </w:r>
      <w:r>
        <w:rPr>
          <w:rFonts w:ascii="Arial" w:hAnsi="Arial" w:cs="Arial"/>
          <w:sz w:val="24"/>
        </w:rPr>
      </w:r>
      <w:r>
        <w:rPr>
          <w:rFonts w:ascii="Arial" w:hAnsi="Arial" w:eastAsia="Arial" w:cs="Arial"/>
        </w:rPr>
      </w:r>
    </w:p>
    <w:p w14:paraId="2DC1AB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</w:t>
      </w:r>
      <w:r>
        <w:rPr>
          <w:rFonts w:ascii="Arial" w:hAnsi="Arial" w:eastAsia="Arial" w:cs="Arial"/>
          <w:lang w:val="pt-BR"/>
        </w:rPr>
        <w:t xml:space="preserve"> </w:t>
      </w:r>
      <w:r>
        <w:rPr>
          <w:rFonts w:ascii="Arial" w:hAnsi="Arial" w:eastAsia="Arial" w:cs="Arial"/>
        </w:rPr>
        <w:t xml:space="preserve">  ) Atuação cultural contínua no Município de Bragança Paulista;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</w:rPr>
      </w:r>
    </w:p>
    <w:p w14:paraId="6557D0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</w:rPr>
        <w:t xml:space="preserve">(  ) Realização de atividades culturais no território do Município de Bragança Paulista.</w:t>
      </w:r>
      <w:r>
        <w:br/>
      </w:r>
      <w:r>
        <w:rPr>
          <w:rFonts w:ascii="Arial" w:hAnsi="Arial" w:cs="Arial"/>
          <w:sz w:val="24"/>
          <w:szCs w:val="24"/>
        </w:rPr>
      </w:r>
    </w:p>
    <w:p w14:paraId="52AEBA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Afirmo que as informações aqui prestadas são verdadeiras, completas e verificáveis, e que as atividades culturais declaradas foram efetivamente realizadas de forma regular no território do Município de Bragança Paulista, contribuindo para a vida cultural l</w:t>
      </w:r>
      <w:r>
        <w:rPr>
          <w:rFonts w:ascii="Arial" w:hAnsi="Arial" w:eastAsia="Arial" w:cs="Arial"/>
        </w:rPr>
        <w:t xml:space="preserve">ocal.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02F4C5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Comprometo-me a apresentar, sempre que solicitado, documentos comprobatórios adicionais que confirmem o vínculo cultural ora declarado, estando ciente de que a omissão ou prestação de informações falsas, incompletas ou inverídicas poderá resultar na min</w:t>
      </w:r>
      <w:r>
        <w:rPr>
          <w:rFonts w:ascii="Arial" w:hAnsi="Arial" w:eastAsia="Arial" w:cs="Arial"/>
        </w:rPr>
        <w:t xml:space="preserve">ha imediata desclassificação do edital, na anulação de eventual habilitação ou seleção, bem como na aplicação das sanções administrativas, civis e penais cabíveis, nos termos da legislação vigente.</w:t>
      </w:r>
      <w:r>
        <w:rPr>
          <w:rFonts w:ascii="Arial" w:hAnsi="Arial" w:cs="Arial"/>
          <w:sz w:val="24"/>
        </w:rPr>
      </w:r>
      <w:r>
        <w:rPr>
          <w:rFonts w:ascii="Arial" w:hAnsi="Arial" w:eastAsia="Arial" w:cs="Arial"/>
          <w:highlight w:val="none"/>
        </w:rPr>
      </w:r>
    </w:p>
    <w:p w14:paraId="45D563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</w:p>
    <w:p w14:paraId="00C854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Declaro, ainda, estar ciente de que esta autodeclaração possui valor legal para fins de habilitação no edital, assumindo integral responsabilidade pelas informações nela contidas.</w:t>
      </w:r>
      <w:r>
        <w:rPr>
          <w:rFonts w:ascii="Arial" w:hAnsi="Arial" w:cs="Arial"/>
          <w:sz w:val="24"/>
        </w:rPr>
      </w:r>
      <w:r>
        <w:rPr>
          <w:rFonts w:ascii="Arial" w:hAnsi="Arial" w:eastAsia="Arial" w:cs="Arial"/>
          <w:highlight w:val="none"/>
        </w:rPr>
      </w:r>
    </w:p>
    <w:p w14:paraId="23984B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</w:p>
    <w:p w14:paraId="7F3139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Bragança Paulista, ____ de _____________ de 20_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A2C5E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45B3B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7F539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FEEB2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C22D8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 do Declarante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4E1411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C7BCD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D53E9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FEE15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B924D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5D703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F6D80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428B0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6C0BD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C87B8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4478E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BA0A8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7681B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2025-12-29T16:27:52Z</dcterms:modified>
</cp:coreProperties>
</file>