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08" w:rsidRDefault="00255F7E" w:rsidP="00255F7E">
      <w:pPr>
        <w:pStyle w:val="Corpodetexto"/>
        <w:spacing w:before="27"/>
        <w:ind w:left="20"/>
        <w:jc w:val="center"/>
        <w:rPr>
          <w:b/>
          <w:sz w:val="12"/>
        </w:rPr>
      </w:pPr>
      <w:r>
        <w:t>ANEXO STN - DEMONSTRATIVO III - METAS FISCAIS ATUAIS COMPARADAS COM AS FIXADAS NOS TRÊS EXERCÍCIOS ANTERIORES - PLANEJ. 2018 (LRF, art 4, Parágrafo 2, Inciso II)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"/>
        <w:gridCol w:w="367"/>
        <w:gridCol w:w="12538"/>
        <w:gridCol w:w="696"/>
        <w:gridCol w:w="1709"/>
      </w:tblGrid>
      <w:tr w:rsidR="00750E08">
        <w:trPr>
          <w:trHeight w:val="280"/>
        </w:trPr>
        <w:tc>
          <w:tcPr>
            <w:tcW w:w="745" w:type="dxa"/>
            <w:tcBorders>
              <w:left w:val="single" w:sz="6" w:space="0" w:color="000000"/>
              <w:right w:val="nil"/>
            </w:tcBorders>
            <w:shd w:val="clear" w:color="auto" w:fill="DFDFDF"/>
          </w:tcPr>
          <w:p w:rsidR="00750E08" w:rsidRDefault="00C039BD">
            <w:pPr>
              <w:pStyle w:val="TableParagraph"/>
              <w:ind w:left="37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Município:</w:t>
            </w:r>
          </w:p>
        </w:tc>
        <w:tc>
          <w:tcPr>
            <w:tcW w:w="367" w:type="dxa"/>
            <w:tcBorders>
              <w:left w:val="nil"/>
              <w:right w:val="nil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70"/>
              <w:ind w:left="105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ILHA</w:t>
            </w:r>
          </w:p>
        </w:tc>
        <w:tc>
          <w:tcPr>
            <w:tcW w:w="12538" w:type="dxa"/>
            <w:tcBorders>
              <w:left w:val="nil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70"/>
              <w:ind w:left="23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COMPRIDA</w:t>
            </w:r>
          </w:p>
        </w:tc>
        <w:tc>
          <w:tcPr>
            <w:tcW w:w="696" w:type="dxa"/>
            <w:tcBorders>
              <w:right w:val="nil"/>
            </w:tcBorders>
            <w:shd w:val="clear" w:color="auto" w:fill="DFDFDF"/>
          </w:tcPr>
          <w:p w:rsidR="00750E08" w:rsidRDefault="00C039BD">
            <w:pPr>
              <w:pStyle w:val="TableParagraph"/>
              <w:ind w:left="30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Exercício:</w:t>
            </w:r>
          </w:p>
        </w:tc>
        <w:tc>
          <w:tcPr>
            <w:tcW w:w="1709" w:type="dxa"/>
            <w:tcBorders>
              <w:left w:val="nil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70"/>
              <w:ind w:left="104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2020</w:t>
            </w:r>
          </w:p>
        </w:tc>
      </w:tr>
    </w:tbl>
    <w:p w:rsidR="00750E08" w:rsidRDefault="00750E08">
      <w:pPr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1390"/>
        <w:gridCol w:w="1390"/>
        <w:gridCol w:w="1060"/>
        <w:gridCol w:w="1390"/>
        <w:gridCol w:w="1060"/>
        <w:gridCol w:w="1390"/>
        <w:gridCol w:w="1060"/>
        <w:gridCol w:w="1390"/>
        <w:gridCol w:w="1060"/>
        <w:gridCol w:w="1390"/>
        <w:gridCol w:w="1050"/>
      </w:tblGrid>
      <w:tr w:rsidR="00750E08">
        <w:trPr>
          <w:trHeight w:val="290"/>
        </w:trPr>
        <w:tc>
          <w:tcPr>
            <w:tcW w:w="2425" w:type="dxa"/>
            <w:vMerge w:val="restart"/>
            <w:tcBorders>
              <w:left w:val="single" w:sz="6" w:space="0" w:color="000000"/>
            </w:tcBorders>
            <w:shd w:val="clear" w:color="auto" w:fill="DFDFDF"/>
          </w:tcPr>
          <w:p w:rsidR="00750E08" w:rsidRDefault="00750E08">
            <w:pPr>
              <w:pStyle w:val="TableParagraph"/>
              <w:spacing w:before="4"/>
              <w:ind w:right="0"/>
              <w:jc w:val="left"/>
              <w:rPr>
                <w:b/>
                <w:sz w:val="17"/>
              </w:rPr>
            </w:pPr>
          </w:p>
          <w:p w:rsidR="00750E08" w:rsidRDefault="00C039BD">
            <w:pPr>
              <w:pStyle w:val="TableParagraph"/>
              <w:spacing w:before="0"/>
              <w:ind w:left="750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3630" w:type="dxa"/>
            <w:gridSpan w:val="11"/>
            <w:shd w:val="clear" w:color="auto" w:fill="DFDFDF"/>
          </w:tcPr>
          <w:p w:rsidR="00750E08" w:rsidRDefault="00C039BD">
            <w:pPr>
              <w:pStyle w:val="TableParagraph"/>
              <w:spacing w:before="75"/>
              <w:ind w:left="5873" w:right="57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VALORES A PREÇOS CORRENTES</w:t>
            </w:r>
          </w:p>
        </w:tc>
      </w:tr>
      <w:tr w:rsidR="00750E08">
        <w:trPr>
          <w:trHeight w:val="290"/>
        </w:trPr>
        <w:tc>
          <w:tcPr>
            <w:tcW w:w="2425" w:type="dxa"/>
            <w:vMerge/>
            <w:tcBorders>
              <w:top w:val="nil"/>
              <w:left w:val="single" w:sz="6" w:space="0" w:color="000000"/>
            </w:tcBorders>
            <w:shd w:val="clear" w:color="auto" w:fill="DFDFDF"/>
          </w:tcPr>
          <w:p w:rsidR="00750E08" w:rsidRDefault="00750E08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1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2017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1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2018</w:t>
            </w:r>
          </w:p>
        </w:tc>
        <w:tc>
          <w:tcPr>
            <w:tcW w:w="1060" w:type="dxa"/>
            <w:tcBorders>
              <w:right w:val="single" w:sz="4" w:space="0" w:color="4A1800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tcBorders>
              <w:left w:val="single" w:sz="4" w:space="0" w:color="4A1800"/>
            </w:tcBorders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2019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05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Total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90.630.919,26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107.321.628,07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18,42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99.548.000,00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-7,24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96.357.000,00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-3,21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105.424.800,00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9,41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109.378.230,00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3,75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Receitas Primárias (I)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90.302.682,33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107.129.696,97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18,63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99.458.000,00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-7,16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96.145.000,00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-3,33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104.998.400,00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9,21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108.935.840,00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3,75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 Total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93.029.526,22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98.963.190,68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6,38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99.548.000,00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0,59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96.357.000,00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-3,21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101.370.000,00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5,20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109.378.230,00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7,90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Despesas Primárias (II)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90.108.731,78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96.697.317,42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7,31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96.398.000,00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-0,31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93.407.000,00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-3,10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102.148.800,00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9,36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105.979.380,00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3,75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Primário (III)=(I-II)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193.950,55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10.432.379,55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5278,89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3.060.000,00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-70,67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2.738.000,00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-10,52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2.849.600,00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4,08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2.956.460,00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3,75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Nominal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-216.616,94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7.832.705,84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3715,92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-1.500.000,00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-119,15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-250.000,00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83,33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-250.000,00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-260.000,00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-4,00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Dívida Pública Consolidada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31.972.960,09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34.282.552,80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7,22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31.045.000,00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-9,44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34.000.000,00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9,52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29.545.000,00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-13,10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29.000.000,00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-1,84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Dívida Consolidada Líquida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31.779.065,25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31.562.601,31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-0,68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26.295.000,00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-16,69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32.000.000,00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21,70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24.795.000,00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-22,52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26.000.000,00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4,86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Receitas Primárias advindas de PPP (IV)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2"/>
        </w:trPr>
        <w:tc>
          <w:tcPr>
            <w:tcW w:w="2425" w:type="dxa"/>
            <w:tcBorders>
              <w:left w:val="single" w:sz="6" w:space="0" w:color="000000"/>
              <w:bottom w:val="double" w:sz="1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Despesas Primárias geradas por PPP (V)</w:t>
            </w:r>
          </w:p>
        </w:tc>
        <w:tc>
          <w:tcPr>
            <w:tcW w:w="139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bottom w:val="double" w:sz="1" w:space="0" w:color="000000"/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left w:val="single" w:sz="4" w:space="0" w:color="4A1800"/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7"/>
        </w:trPr>
        <w:tc>
          <w:tcPr>
            <w:tcW w:w="2425" w:type="dxa"/>
            <w:vMerge w:val="restart"/>
            <w:tcBorders>
              <w:top w:val="double" w:sz="1" w:space="0" w:color="000000"/>
              <w:left w:val="single" w:sz="6" w:space="0" w:color="000000"/>
            </w:tcBorders>
            <w:shd w:val="clear" w:color="auto" w:fill="DFDFDF"/>
          </w:tcPr>
          <w:p w:rsidR="00750E08" w:rsidRDefault="00750E08">
            <w:pPr>
              <w:pStyle w:val="TableParagraph"/>
              <w:spacing w:before="0"/>
              <w:ind w:right="0"/>
              <w:jc w:val="left"/>
              <w:rPr>
                <w:b/>
                <w:sz w:val="18"/>
              </w:rPr>
            </w:pPr>
          </w:p>
          <w:p w:rsidR="00750E08" w:rsidRDefault="00C039BD">
            <w:pPr>
              <w:pStyle w:val="TableParagraph"/>
              <w:spacing w:before="0"/>
              <w:ind w:left="750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3630" w:type="dxa"/>
            <w:gridSpan w:val="11"/>
            <w:tcBorders>
              <w:top w:val="double" w:sz="1" w:space="0" w:color="000000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82"/>
              <w:ind w:left="5874" w:right="57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VALORES A PREÇOS CONSTANTES</w:t>
            </w:r>
          </w:p>
        </w:tc>
      </w:tr>
      <w:tr w:rsidR="00750E08">
        <w:trPr>
          <w:trHeight w:val="290"/>
        </w:trPr>
        <w:tc>
          <w:tcPr>
            <w:tcW w:w="2425" w:type="dxa"/>
            <w:vMerge/>
            <w:tcBorders>
              <w:top w:val="nil"/>
              <w:left w:val="single" w:sz="6" w:space="0" w:color="000000"/>
            </w:tcBorders>
            <w:shd w:val="clear" w:color="auto" w:fill="DFDFDF"/>
          </w:tcPr>
          <w:p w:rsidR="00750E08" w:rsidRDefault="00750E08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2017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2018</w:t>
            </w:r>
          </w:p>
        </w:tc>
        <w:tc>
          <w:tcPr>
            <w:tcW w:w="1060" w:type="dxa"/>
            <w:tcBorders>
              <w:right w:val="single" w:sz="4" w:space="0" w:color="4A1800"/>
            </w:tcBorders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tcBorders>
              <w:left w:val="single" w:sz="4" w:space="0" w:color="4A1800"/>
            </w:tcBorders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2019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2020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2021</w:t>
            </w:r>
          </w:p>
        </w:tc>
        <w:tc>
          <w:tcPr>
            <w:tcW w:w="106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  <w:tc>
          <w:tcPr>
            <w:tcW w:w="1390" w:type="dxa"/>
            <w:shd w:val="clear" w:color="auto" w:fill="DFDFDF"/>
          </w:tcPr>
          <w:p w:rsidR="00750E08" w:rsidRDefault="00C039BD">
            <w:pPr>
              <w:pStyle w:val="TableParagraph"/>
              <w:ind w:left="542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050" w:type="dxa"/>
            <w:shd w:val="clear" w:color="auto" w:fill="DFDFDF"/>
          </w:tcPr>
          <w:p w:rsidR="00750E08" w:rsidRDefault="00C039BD">
            <w:pPr>
              <w:pStyle w:val="TableParagraph"/>
              <w:spacing w:before="60"/>
              <w:ind w:left="455" w:right="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Total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90.630.919,26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107.321.628,07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18,42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99.548.000,00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-7,24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92.695.526,70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-6,88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97.753.020,74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5,46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97.753.020,74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Receitas Primárias (I)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90.302.682,33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107.129.696,97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18,63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99.458.000,00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-7,16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92.491.582,49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97.357.649,94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5,26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97.357.649,94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 Total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93.029.526,22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98.963.190,68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6,38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99.548.000,00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0,59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92.695.526,70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-6,88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93.993.289,17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1,40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97.753.020,74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Despesas Primárias (II)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90.108.731,78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96.697.317,42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7,31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96.398.000,00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-0,31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89.857.623,86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-6,78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94.715.415,78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5,41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94.715.415,78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Primário (III)=(I-II)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193.950,55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10.432.379,55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5278,89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3.060.000,00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-70,67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2.633.958,63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-13,92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2.642.234,16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0,31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2.642.234,16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 Nominal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-216.616,94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9"/>
              <w:rPr>
                <w:sz w:val="11"/>
              </w:rPr>
            </w:pPr>
            <w:r>
              <w:rPr>
                <w:w w:val="105"/>
                <w:sz w:val="11"/>
              </w:rPr>
              <w:t>7.832.705,84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3715,92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-1.500.000,00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-119,15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-240.500,24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83,97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-231.807,46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3,61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10"/>
              <w:rPr>
                <w:sz w:val="11"/>
              </w:rPr>
            </w:pPr>
            <w:r>
              <w:rPr>
                <w:w w:val="105"/>
                <w:sz w:val="11"/>
              </w:rPr>
              <w:t>-232.366,03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-0,24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Dívida Pública Consolidada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31.972.960,09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34.282.552,80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7,22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31.045.000,00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-9,44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32.708.032,71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5,36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27.395.005,71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-16,24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25.917.749,83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-5,39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Dívida Consolidada Líquida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31.779.065,25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31.562.601,31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-0,68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26.295.000,00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-16,69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30.784.030,78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17,07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22.990.663,95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-25,32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ind w:right="8"/>
              <w:rPr>
                <w:sz w:val="11"/>
              </w:rPr>
            </w:pPr>
            <w:r>
              <w:rPr>
                <w:w w:val="105"/>
                <w:sz w:val="11"/>
              </w:rPr>
              <w:t>23.236.603,29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1,07</w:t>
            </w:r>
          </w:p>
        </w:tc>
      </w:tr>
      <w:tr w:rsidR="00750E08">
        <w:trPr>
          <w:trHeight w:val="290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Receitas Primárias advindas de PPP (IV)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 w:rsidR="00750E08">
        <w:trPr>
          <w:trHeight w:val="285"/>
        </w:trPr>
        <w:tc>
          <w:tcPr>
            <w:tcW w:w="2425" w:type="dxa"/>
            <w:tcBorders>
              <w:left w:val="single" w:sz="6" w:space="0" w:color="000000"/>
            </w:tcBorders>
          </w:tcPr>
          <w:p w:rsidR="00750E08" w:rsidRDefault="00C039BD">
            <w:pPr>
              <w:pStyle w:val="TableParagraph"/>
              <w:ind w:left="77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Despesas Primárias geradas por PPP (V)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  <w:tcBorders>
              <w:righ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  <w:tcBorders>
              <w:left w:val="single" w:sz="4" w:space="0" w:color="4A1800"/>
            </w:tcBorders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90" w:type="dxa"/>
          </w:tcPr>
          <w:p w:rsidR="00750E08" w:rsidRDefault="00C039BD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50" w:type="dxa"/>
          </w:tcPr>
          <w:p w:rsidR="00750E08" w:rsidRDefault="00C039BD"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 w:rsidR="00750E08" w:rsidRDefault="00750E08">
      <w:pPr>
        <w:spacing w:before="1"/>
        <w:rPr>
          <w:b/>
          <w:sz w:val="16"/>
        </w:rPr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750E08" w:rsidRDefault="00255F7E">
      <w:pPr>
        <w:pStyle w:val="Corpodetexto"/>
        <w:spacing w:before="84"/>
        <w:ind w:left="6798" w:right="6805"/>
        <w:jc w:val="center"/>
      </w:pPr>
      <w:r>
        <w:t>I</w:t>
      </w:r>
      <w:r w:rsidR="00617DBA">
        <w:t>LHA COMPRIDA, 2</w:t>
      </w:r>
      <w:r w:rsidR="00C039BD">
        <w:t xml:space="preserve"> de </w:t>
      </w:r>
      <w:r w:rsidR="00617DBA">
        <w:t>Outubro</w:t>
      </w:r>
      <w:r w:rsidR="00C039BD">
        <w:t xml:space="preserve"> de 2019.</w:t>
      </w: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255F7E" w:rsidRPr="00255F7E" w:rsidRDefault="00255F7E">
      <w:pPr>
        <w:pStyle w:val="Corpodetexto"/>
        <w:spacing w:before="84"/>
        <w:ind w:left="6798" w:right="6805"/>
        <w:jc w:val="center"/>
        <w:rPr>
          <w:sz w:val="12"/>
          <w:szCs w:val="12"/>
        </w:rPr>
      </w:pPr>
    </w:p>
    <w:p w:rsidR="00255F7E" w:rsidRPr="00255F7E" w:rsidRDefault="00255F7E">
      <w:pPr>
        <w:pStyle w:val="Corpodetexto"/>
        <w:spacing w:before="84"/>
        <w:ind w:left="6798" w:right="6805"/>
        <w:jc w:val="center"/>
        <w:rPr>
          <w:sz w:val="12"/>
          <w:szCs w:val="12"/>
        </w:rPr>
      </w:pPr>
    </w:p>
    <w:p w:rsidR="00255F7E" w:rsidRPr="00255F7E" w:rsidRDefault="00255F7E">
      <w:pPr>
        <w:pStyle w:val="Corpodetexto"/>
        <w:spacing w:before="84"/>
        <w:ind w:left="6798" w:right="6805"/>
        <w:jc w:val="center"/>
        <w:rPr>
          <w:sz w:val="12"/>
          <w:szCs w:val="12"/>
        </w:rPr>
      </w:pPr>
    </w:p>
    <w:p w:rsidR="00255F7E" w:rsidRPr="00255F7E" w:rsidRDefault="00255F7E" w:rsidP="00255F7E">
      <w:pPr>
        <w:jc w:val="center"/>
        <w:rPr>
          <w:rFonts w:ascii="Verdana" w:hAnsi="Verdana" w:cs="Times New Roman"/>
          <w:b/>
          <w:sz w:val="12"/>
          <w:szCs w:val="12"/>
        </w:rPr>
      </w:pPr>
      <w:r w:rsidRPr="00255F7E">
        <w:rPr>
          <w:rFonts w:ascii="Verdana" w:hAnsi="Verdana" w:cs="Times New Roman"/>
          <w:b/>
          <w:sz w:val="12"/>
          <w:szCs w:val="12"/>
        </w:rPr>
        <w:t>FABIANO DA SILVA PEREIRA</w:t>
      </w:r>
    </w:p>
    <w:p w:rsidR="00255F7E" w:rsidRPr="00255F7E" w:rsidRDefault="00255F7E" w:rsidP="00255F7E">
      <w:pPr>
        <w:jc w:val="center"/>
        <w:rPr>
          <w:rFonts w:ascii="Verdana" w:hAnsi="Verdana" w:cs="Times New Roman"/>
          <w:sz w:val="12"/>
          <w:szCs w:val="12"/>
        </w:rPr>
      </w:pPr>
      <w:r w:rsidRPr="00255F7E">
        <w:rPr>
          <w:rFonts w:ascii="Verdana" w:hAnsi="Verdana" w:cs="Times New Roman"/>
          <w:sz w:val="12"/>
          <w:szCs w:val="12"/>
        </w:rPr>
        <w:t>Presidente da Câmara</w:t>
      </w:r>
    </w:p>
    <w:p w:rsidR="00255F7E" w:rsidRDefault="00255F7E">
      <w:pPr>
        <w:pStyle w:val="Corpodetexto"/>
        <w:spacing w:before="84"/>
        <w:ind w:left="6798" w:right="6805"/>
        <w:jc w:val="center"/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rPr>
          <w:sz w:val="20"/>
        </w:rPr>
      </w:pPr>
    </w:p>
    <w:p w:rsidR="00750E08" w:rsidRDefault="00750E08">
      <w:pPr>
        <w:pStyle w:val="Corpodetexto"/>
        <w:spacing w:before="2"/>
        <w:rPr>
          <w:sz w:val="23"/>
        </w:rPr>
      </w:pPr>
    </w:p>
    <w:p w:rsidR="00750E08" w:rsidRDefault="00750E08">
      <w:pPr>
        <w:rPr>
          <w:sz w:val="23"/>
        </w:rPr>
        <w:sectPr w:rsidR="00750E08">
          <w:headerReference w:type="default" r:id="rId7"/>
          <w:pgSz w:w="16820" w:h="11900" w:orient="landscape"/>
          <w:pgMar w:top="1820" w:right="320" w:bottom="280" w:left="200" w:header="560" w:footer="0" w:gutter="0"/>
          <w:cols w:space="720"/>
        </w:sectPr>
      </w:pPr>
    </w:p>
    <w:p w:rsidR="00750E08" w:rsidRDefault="00C039BD" w:rsidP="00255F7E">
      <w:pPr>
        <w:pStyle w:val="Corpodetexto"/>
        <w:spacing w:before="102" w:line="295" w:lineRule="auto"/>
        <w:ind w:left="2195" w:right="2492"/>
        <w:jc w:val="center"/>
      </w:pPr>
      <w:r>
        <w:lastRenderedPageBreak/>
        <w:br w:type="column"/>
      </w:r>
    </w:p>
    <w:sectPr w:rsidR="00750E08" w:rsidSect="00750E08">
      <w:type w:val="continuous"/>
      <w:pgSz w:w="16820" w:h="11900" w:orient="landscape"/>
      <w:pgMar w:top="1820" w:right="320" w:bottom="280" w:left="200" w:header="720" w:footer="720" w:gutter="0"/>
      <w:cols w:num="2" w:space="720" w:equalWidth="0">
        <w:col w:w="5207" w:space="4006"/>
        <w:col w:w="70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BD" w:rsidRDefault="00C039BD" w:rsidP="00750E08">
      <w:r>
        <w:separator/>
      </w:r>
    </w:p>
  </w:endnote>
  <w:endnote w:type="continuationSeparator" w:id="1">
    <w:p w:rsidR="00C039BD" w:rsidRDefault="00C039BD" w:rsidP="0075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BD" w:rsidRDefault="00C039BD" w:rsidP="00750E08">
      <w:r>
        <w:separator/>
      </w:r>
    </w:p>
  </w:footnote>
  <w:footnote w:type="continuationSeparator" w:id="1">
    <w:p w:rsidR="00C039BD" w:rsidRDefault="00C039BD" w:rsidP="0075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7E" w:rsidRPr="00011E16" w:rsidRDefault="00255F7E" w:rsidP="00255F7E">
    <w:pPr>
      <w:pStyle w:val="Cabealho"/>
      <w:jc w:val="center"/>
      <w:rPr>
        <w:rFonts w:ascii="Algerian" w:hAnsi="Algerian"/>
        <w:sz w:val="40"/>
        <w:szCs w:val="40"/>
      </w:rPr>
    </w:pPr>
    <w:r w:rsidRPr="00490D11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1034" DrawAspect="Content" ObjectID="_1631604406" r:id="rId2"/>
      </w:pict>
    </w:r>
    <w:r>
      <w:rPr>
        <w:rFonts w:ascii="Haettenschweiler" w:hAnsi="Haettenschweiler"/>
        <w:sz w:val="56"/>
      </w:rPr>
      <w:t xml:space="preserve">           </w:t>
    </w:r>
    <w:r w:rsidRPr="00011E16">
      <w:rPr>
        <w:rFonts w:ascii="Algerian" w:hAnsi="Algerian"/>
        <w:sz w:val="40"/>
        <w:szCs w:val="40"/>
      </w:rPr>
      <w:t>CÂMARA MUNICIPAL DE ILHA COMPRIDA</w:t>
    </w:r>
  </w:p>
  <w:p w:rsidR="00255F7E" w:rsidRPr="00011E16" w:rsidRDefault="00255F7E" w:rsidP="00255F7E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255F7E" w:rsidRPr="00011E16" w:rsidRDefault="00255F7E" w:rsidP="00255F7E">
    <w:pPr>
      <w:pStyle w:val="Cabealho"/>
      <w:rPr>
        <w:rFonts w:ascii="Algerian" w:hAnsi="Algerian"/>
      </w:rPr>
    </w:pPr>
  </w:p>
  <w:p w:rsidR="00255F7E" w:rsidRDefault="00255F7E" w:rsidP="00255F7E">
    <w:pPr>
      <w:pStyle w:val="Cabealho"/>
    </w:pPr>
  </w:p>
  <w:p w:rsidR="00750E08" w:rsidRDefault="00750E08">
    <w:pPr>
      <w:pStyle w:val="Corpodetexto"/>
      <w:spacing w:line="14" w:lineRule="auto"/>
      <w:rPr>
        <w:sz w:val="20"/>
      </w:rPr>
    </w:pPr>
    <w:r w:rsidRPr="00750E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7.85pt;margin-top:85.75pt;width:3.65pt;height:5.15pt;z-index:-252647424;mso-position-horizontal-relative:page;mso-position-vertical-relative:page" filled="f" stroked="f">
          <v:textbox inset="0,0,0,0">
            <w:txbxContent>
              <w:p w:rsidR="00750E08" w:rsidRPr="00255F7E" w:rsidRDefault="00750E08" w:rsidP="00255F7E"/>
            </w:txbxContent>
          </v:textbox>
          <w10:wrap anchorx="page" anchory="page"/>
        </v:shape>
      </w:pict>
    </w:r>
    <w:r w:rsidRPr="00750E08">
      <w:pict>
        <v:shape id="_x0000_s1028" type="#_x0000_t202" style="position:absolute;margin-left:737.1pt;margin-top:58.1pt;width:61.3pt;height:10.3pt;z-index:-252646400;mso-position-horizontal-relative:page;mso-position-vertical-relative:page" filled="f" stroked="f">
          <v:textbox inset="0,0,0,0">
            <w:txbxContent>
              <w:p w:rsidR="00750E08" w:rsidRDefault="00C039BD">
                <w:pPr>
                  <w:pStyle w:val="Corpodetexto"/>
                  <w:tabs>
                    <w:tab w:val="left" w:pos="869"/>
                  </w:tabs>
                  <w:spacing w:before="27"/>
                  <w:ind w:left="20"/>
                </w:pPr>
                <w:r>
                  <w:t>Exercício:</w:t>
                </w:r>
                <w:r>
                  <w:rPr>
                    <w:rFonts w:ascii="Times New Roman" w:hAnsi="Times New Roman"/>
                  </w:rPr>
                  <w:tab/>
                </w:r>
                <w:r>
                  <w:t>2019</w:t>
                </w:r>
              </w:p>
            </w:txbxContent>
          </v:textbox>
          <w10:wrap anchorx="page" anchory="page"/>
        </v:shape>
      </w:pict>
    </w:r>
    <w:r w:rsidRPr="00750E08">
      <w:pict>
        <v:shape id="_x0000_s1027" type="#_x0000_t202" style="position:absolute;margin-left:787.15pt;margin-top:79.35pt;width:15.65pt;height:10.3pt;z-index:-252645376;mso-position-horizontal-relative:page;mso-position-vertical-relative:page" filled="f" stroked="f">
          <v:textbox inset="0,0,0,0">
            <w:txbxContent>
              <w:p w:rsidR="00750E08" w:rsidRDefault="00750E08">
                <w:pPr>
                  <w:pStyle w:val="Corpodetexto"/>
                  <w:spacing w:before="27"/>
                  <w:ind w:left="40"/>
                </w:pPr>
                <w:r>
                  <w:fldChar w:fldCharType="begin"/>
                </w:r>
                <w:r w:rsidR="00C039BD">
                  <w:instrText xml:space="preserve"> PAGE </w:instrText>
                </w:r>
                <w:r>
                  <w:fldChar w:fldCharType="separate"/>
                </w:r>
                <w:r w:rsidR="00617DBA">
                  <w:rPr>
                    <w:noProof/>
                  </w:rPr>
                  <w:t>2</w:t>
                </w:r>
                <w:r>
                  <w:fldChar w:fldCharType="end"/>
                </w:r>
                <w:r w:rsidR="00C039BD">
                  <w:t>/ 2</w:t>
                </w:r>
              </w:p>
            </w:txbxContent>
          </v:textbox>
          <w10:wrap anchorx="page" anchory="page"/>
        </v:shape>
      </w:pict>
    </w:r>
    <w:r w:rsidRPr="00750E08">
      <w:pict>
        <v:shape id="_x0000_s1026" type="#_x0000_t202" style="position:absolute;margin-left:21.6pt;margin-top:80.25pt;width:43.3pt;height:10.05pt;z-index:-252644352;mso-position-horizontal-relative:page;mso-position-vertical-relative:page" filled="f" stroked="f">
          <v:textbox inset="0,0,0,0">
            <w:txbxContent>
              <w:p w:rsidR="00750E08" w:rsidRDefault="00750E08">
                <w:pPr>
                  <w:pStyle w:val="Corpodetexto"/>
                  <w:spacing w:before="22"/>
                  <w:ind w:left="20"/>
                </w:pPr>
              </w:p>
            </w:txbxContent>
          </v:textbox>
          <w10:wrap anchorx="page" anchory="page"/>
        </v:shape>
      </w:pict>
    </w:r>
    <w:r w:rsidRPr="00750E08">
      <w:pict>
        <v:shape id="_x0000_s1025" type="#_x0000_t202" style="position:absolute;margin-left:737.1pt;margin-top:79.6pt;width:27.05pt;height:10.05pt;z-index:-252643328;mso-position-horizontal-relative:page;mso-position-vertical-relative:page" filled="f" stroked="f">
          <v:textbox inset="0,0,0,0">
            <w:txbxContent>
              <w:p w:rsidR="00750E08" w:rsidRDefault="00C039BD">
                <w:pPr>
                  <w:pStyle w:val="Corpodetexto"/>
                  <w:spacing w:before="22"/>
                  <w:ind w:left="20"/>
                </w:pPr>
                <w:r>
                  <w:t>Página: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0E08"/>
    <w:rsid w:val="002017FC"/>
    <w:rsid w:val="00255F7E"/>
    <w:rsid w:val="00617DBA"/>
    <w:rsid w:val="00750E08"/>
    <w:rsid w:val="00C0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E08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E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0E08"/>
    <w:rPr>
      <w:rFonts w:ascii="Verdana" w:eastAsia="Verdana" w:hAnsi="Verdana" w:cs="Verdana"/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750E08"/>
    <w:pPr>
      <w:ind w:left="112"/>
      <w:outlineLvl w:val="1"/>
    </w:pPr>
    <w:rPr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750E08"/>
  </w:style>
  <w:style w:type="paragraph" w:customStyle="1" w:styleId="TableParagraph">
    <w:name w:val="Table Paragraph"/>
    <w:basedOn w:val="Normal"/>
    <w:uiPriority w:val="1"/>
    <w:qFormat/>
    <w:rsid w:val="00750E08"/>
    <w:pPr>
      <w:spacing w:before="65"/>
      <w:ind w:right="11"/>
      <w:jc w:val="right"/>
    </w:pPr>
  </w:style>
  <w:style w:type="paragraph" w:styleId="Cabealho">
    <w:name w:val="header"/>
    <w:basedOn w:val="Normal"/>
    <w:link w:val="CabealhoChar"/>
    <w:unhideWhenUsed/>
    <w:rsid w:val="00255F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5F7E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255F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5F7E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STN - Demonstrativo III - Metas Fiscais Atuais Comparadas com as Fixadas nos três Exercícios Anteriores - LDO</vt:lpstr>
    </vt:vector>
  </TitlesOfParts>
  <Company>LG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III - Metas Fiscais Atuais Comparadas com as Fixadas nos três Exercícios Anteriores - LDO</dc:title>
  <dc:creator>Ver Alemao</dc:creator>
  <cp:lastModifiedBy>Ver Alemao</cp:lastModifiedBy>
  <cp:revision>3</cp:revision>
  <cp:lastPrinted>2019-10-03T13:32:00Z</cp:lastPrinted>
  <dcterms:created xsi:type="dcterms:W3CDTF">2019-10-03T13:26:00Z</dcterms:created>
  <dcterms:modified xsi:type="dcterms:W3CDTF">2019-10-03T13:39:00Z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