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085196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7E2E6A">
        <w:rPr>
          <w:sz w:val="28"/>
          <w:szCs w:val="28"/>
        </w:rPr>
        <w:t>contratado um agente da saúde, para atendimento aos idosos em suas residências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7E2E6A">
        <w:rPr>
          <w:color w:val="000000" w:themeColor="text1"/>
          <w:sz w:val="28"/>
          <w:szCs w:val="28"/>
        </w:rPr>
        <w:t>ara que o agente possa estar medicando-os, medindo pressão, diabetes ou até mesmo se necessário encaminhar a UBS para atendimento médico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7E2E6A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B6E0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5196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204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A695B-8729-49ED-B125-2F3E4208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2024-10-09T11:36:00Z</cp:lastPrinted>
  <dcterms:created xsi:type="dcterms:W3CDTF">2024-10-10T16:17:00Z</dcterms:created>
  <dcterms:modified xsi:type="dcterms:W3CDTF">2024-10-22T13:10:00Z</dcterms:modified>
</cp:coreProperties>
</file>