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t-BR" w:eastAsia="en-US" w:bidi="ar-SA"/>
        </w:rPr>
        <w:t>Poda, Roçada e Limpeza em Área Pública.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>A manutenção de árvores através de poda, matos altos onde é feito a roçagem e sujeiras em praças e ruas onde ocorre a limpezas, são realizados pelos nossos serviços municipais. Quando há demanda na manutenção, é contratada Empresa Tercerizada.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Email: </w:t>
      </w: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sz w:val="24"/>
            <w:szCs w:val="24"/>
          </w:rPr>
          <w:t>servicopublicos@ibitinga.sp.gov.br</w:t>
        </w:r>
      </w:hyperlink>
      <w:r>
        <w:rPr>
          <w:rStyle w:val="LinkdaInternet"/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 e Pessoa Jurídica.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Anchieta nº 130 – Centro –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Não é necessário apresentação de documentos.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hyperlink" Target="mailto:servicopublicos@ibitinga.sp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Application>LibreOffice/6.4.7.2$Windows_X86_64 LibreOffice_project/639b8ac485750d5696d7590a72ef1b496725cfb5</Application>
  <Pages>1</Pages>
  <Words>158</Words>
  <Characters>973</Characters>
  <CharactersWithSpaces>1116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2021-04-22T13:22:25Z</cp:lastPrinted>
  <dcterms:modified xsi:type="dcterms:W3CDTF">2021-04-22T13:56:06Z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