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CC50" w14:textId="24FBE1DB" w:rsidR="00F97A89" w:rsidRPr="00F97A89" w:rsidRDefault="00F97A89" w:rsidP="00F97A89">
      <w:pPr>
        <w:pStyle w:val="Corpodetexto"/>
        <w:spacing w:line="240" w:lineRule="auto"/>
        <w:jc w:val="center"/>
        <w:rPr>
          <w:b/>
          <w:bCs/>
          <w:sz w:val="24"/>
          <w:u w:val="single"/>
        </w:rPr>
      </w:pPr>
      <w:r w:rsidRPr="00F97A89">
        <w:rPr>
          <w:b/>
          <w:bCs/>
          <w:sz w:val="24"/>
          <w:u w:val="single"/>
        </w:rPr>
        <w:t xml:space="preserve">DECRETO </w:t>
      </w:r>
      <w:r w:rsidRPr="00F97A89">
        <w:rPr>
          <w:b/>
          <w:bCs/>
          <w:sz w:val="24"/>
          <w:u w:val="single"/>
        </w:rPr>
        <w:t>Nº 039, DE 15 DE MAIO DE 2025</w:t>
      </w:r>
    </w:p>
    <w:p w14:paraId="4602F0F4" w14:textId="77777777" w:rsidR="00F97A89" w:rsidRPr="00F97A89" w:rsidRDefault="00F97A89" w:rsidP="00F97A89">
      <w:pPr>
        <w:jc w:val="both"/>
        <w:rPr>
          <w:rFonts w:ascii="Arial" w:hAnsi="Arial" w:cs="Arial"/>
          <w:b/>
          <w:bCs/>
          <w:u w:val="single"/>
        </w:rPr>
      </w:pPr>
    </w:p>
    <w:p w14:paraId="79E29CF3" w14:textId="77777777" w:rsidR="00F97A89" w:rsidRPr="000B505E" w:rsidRDefault="00F97A89" w:rsidP="00F97A89">
      <w:pPr>
        <w:ind w:left="4536"/>
        <w:jc w:val="both"/>
        <w:rPr>
          <w:rFonts w:ascii="Arial" w:hAnsi="Arial" w:cs="Arial"/>
          <w:bCs/>
        </w:rPr>
      </w:pPr>
      <w:r w:rsidRPr="000B505E">
        <w:rPr>
          <w:rFonts w:ascii="Arial" w:hAnsi="Arial" w:cs="Arial"/>
          <w:bCs/>
        </w:rPr>
        <w:t xml:space="preserve">“Convoca a 2ª Conferência Municipal dos Direitos da Pessoa Idosa do município de Urânia e dá outras providências” </w:t>
      </w:r>
    </w:p>
    <w:p w14:paraId="05AC0E17" w14:textId="77777777" w:rsidR="00F97A89" w:rsidRPr="00F97A89" w:rsidRDefault="00F97A89" w:rsidP="00F97A89">
      <w:pPr>
        <w:jc w:val="both"/>
        <w:rPr>
          <w:rFonts w:ascii="Arial" w:hAnsi="Arial" w:cs="Arial"/>
          <w:b/>
          <w:bCs/>
        </w:rPr>
      </w:pPr>
    </w:p>
    <w:p w14:paraId="104F26F0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  <w:b/>
          <w:bCs/>
        </w:rPr>
        <w:t>IVAN SOUBHIA GARCIA</w:t>
      </w:r>
      <w:r w:rsidRPr="00F97A89">
        <w:rPr>
          <w:rFonts w:ascii="Arial" w:eastAsia="MS Mincho" w:hAnsi="Arial" w:cs="Arial"/>
        </w:rPr>
        <w:t>,</w:t>
      </w:r>
      <w:r w:rsidRPr="00F97A89">
        <w:rPr>
          <w:rFonts w:ascii="Arial" w:hAnsi="Arial" w:cs="Arial"/>
        </w:rPr>
        <w:t xml:space="preserve"> PREFEITO MUNICIPAL DE URÂNIA, ESTADO DE SÃO PAULO, NO USO DE SUAS ATRIBUIÇÕES LEGAIS</w:t>
      </w:r>
      <w:r>
        <w:rPr>
          <w:rFonts w:ascii="Arial" w:hAnsi="Arial" w:cs="Arial"/>
        </w:rPr>
        <w:t>:</w:t>
      </w:r>
    </w:p>
    <w:p w14:paraId="4C87E053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62AAA27C" w14:textId="7079742A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 w:rsidRPr="00F97A89">
        <w:rPr>
          <w:rFonts w:ascii="Arial" w:hAnsi="Arial" w:cs="Arial"/>
          <w:bCs/>
        </w:rPr>
        <w:t>a</w:t>
      </w:r>
      <w:r w:rsidRPr="00F97A89">
        <w:rPr>
          <w:rFonts w:ascii="Arial" w:hAnsi="Arial" w:cs="Arial"/>
        </w:rPr>
        <w:t xml:space="preserve"> Resolução nº 002/CMI-SP/2025</w:t>
      </w:r>
      <w:r>
        <w:rPr>
          <w:rFonts w:ascii="Arial" w:hAnsi="Arial" w:cs="Arial"/>
        </w:rPr>
        <w:t>;</w:t>
      </w:r>
    </w:p>
    <w:p w14:paraId="723E5E94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38A9E39A" w14:textId="5303C1E5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  <w:b/>
        </w:rPr>
        <w:t>CONSIDERANDO</w:t>
      </w:r>
      <w:r w:rsidRPr="00F97A89">
        <w:rPr>
          <w:rFonts w:ascii="Arial" w:hAnsi="Arial" w:cs="Arial"/>
        </w:rPr>
        <w:t xml:space="preserve"> o Decreto nº 12.015 de 06 de maio de 2024</w:t>
      </w:r>
      <w:r>
        <w:rPr>
          <w:rFonts w:ascii="Arial" w:hAnsi="Arial" w:cs="Arial"/>
        </w:rPr>
        <w:t>;</w:t>
      </w:r>
    </w:p>
    <w:p w14:paraId="13D33F85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5F967DD1" w14:textId="1ED3E97A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  <w:b/>
        </w:rPr>
        <w:t>CONSIDERANDO</w:t>
      </w:r>
      <w:r w:rsidRPr="00F97A89">
        <w:rPr>
          <w:rFonts w:ascii="Arial" w:hAnsi="Arial" w:cs="Arial"/>
        </w:rPr>
        <w:t xml:space="preserve"> a Deliberação do CMI- SP datad</w:t>
      </w:r>
      <w:r>
        <w:rPr>
          <w:rFonts w:ascii="Arial" w:hAnsi="Arial" w:cs="Arial"/>
        </w:rPr>
        <w:t>a</w:t>
      </w:r>
      <w:r w:rsidRPr="00F97A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F97A89">
        <w:rPr>
          <w:rFonts w:ascii="Arial" w:hAnsi="Arial" w:cs="Arial"/>
        </w:rPr>
        <w:t xml:space="preserve"> 05 de dezembro de 2024</w:t>
      </w:r>
      <w:r>
        <w:rPr>
          <w:rFonts w:ascii="Arial" w:hAnsi="Arial" w:cs="Arial"/>
        </w:rPr>
        <w:t>;</w:t>
      </w:r>
      <w:r w:rsidRPr="00F97A89">
        <w:rPr>
          <w:rFonts w:ascii="Arial" w:hAnsi="Arial" w:cs="Arial"/>
        </w:rPr>
        <w:t xml:space="preserve"> e </w:t>
      </w:r>
    </w:p>
    <w:p w14:paraId="705ACFF7" w14:textId="77777777" w:rsidR="00F97A89" w:rsidRDefault="00F97A89" w:rsidP="00F97A89">
      <w:pPr>
        <w:ind w:firstLine="1134"/>
        <w:jc w:val="both"/>
        <w:rPr>
          <w:rFonts w:ascii="Arial" w:hAnsi="Arial" w:cs="Arial"/>
          <w:b/>
        </w:rPr>
      </w:pPr>
    </w:p>
    <w:p w14:paraId="443DE9C2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  <w:b/>
        </w:rPr>
        <w:t>CONSIDERANDO</w:t>
      </w:r>
      <w:r w:rsidRPr="00F97A89">
        <w:rPr>
          <w:rFonts w:ascii="Arial" w:hAnsi="Arial" w:cs="Arial"/>
        </w:rPr>
        <w:t xml:space="preserve"> Deliberação do CMI- SP datad</w:t>
      </w:r>
      <w:r>
        <w:rPr>
          <w:rFonts w:ascii="Arial" w:hAnsi="Arial" w:cs="Arial"/>
        </w:rPr>
        <w:t>a</w:t>
      </w:r>
      <w:r w:rsidRPr="00F97A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F97A89">
        <w:rPr>
          <w:rFonts w:ascii="Arial" w:hAnsi="Arial" w:cs="Arial"/>
        </w:rPr>
        <w:t xml:space="preserve"> 06 de fevereiro de 2025.</w:t>
      </w:r>
    </w:p>
    <w:p w14:paraId="53727CCB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087206F6" w14:textId="77777777" w:rsidR="00F97A89" w:rsidRP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  <w:b/>
        </w:rPr>
        <w:t>D E C R E T A:</w:t>
      </w:r>
    </w:p>
    <w:p w14:paraId="1F4FCF7E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7CC9B080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  <w:b/>
        </w:rPr>
        <w:t xml:space="preserve">Art. 1º - </w:t>
      </w:r>
      <w:r w:rsidRPr="00F97A89">
        <w:rPr>
          <w:rFonts w:ascii="Arial" w:hAnsi="Arial" w:cs="Arial"/>
        </w:rPr>
        <w:t xml:space="preserve">Fica convocada a 2ª Conferência Municipal </w:t>
      </w:r>
      <w:r>
        <w:rPr>
          <w:rFonts w:ascii="Arial" w:hAnsi="Arial" w:cs="Arial"/>
        </w:rPr>
        <w:t>d</w:t>
      </w:r>
      <w:r w:rsidRPr="00F97A89">
        <w:rPr>
          <w:rFonts w:ascii="Arial" w:hAnsi="Arial" w:cs="Arial"/>
        </w:rPr>
        <w:t>os Direitos da Pessoa Idosa, a ser realizada no dia 30 de maio de 2025, no horário das 08h00 às 12h</w:t>
      </w:r>
      <w:r w:rsidRPr="00F97A89">
        <w:rPr>
          <w:rFonts w:ascii="Arial" w:hAnsi="Arial" w:cs="Arial"/>
        </w:rPr>
        <w:t>00, na</w:t>
      </w:r>
      <w:r w:rsidRPr="00F97A89">
        <w:rPr>
          <w:rFonts w:ascii="Arial" w:hAnsi="Arial" w:cs="Arial"/>
        </w:rPr>
        <w:t xml:space="preserve"> Câmara </w:t>
      </w:r>
      <w:r>
        <w:rPr>
          <w:rFonts w:ascii="Arial" w:hAnsi="Arial" w:cs="Arial"/>
        </w:rPr>
        <w:t>Municipal</w:t>
      </w:r>
      <w:r w:rsidRPr="00F97A89">
        <w:rPr>
          <w:rFonts w:ascii="Arial" w:hAnsi="Arial" w:cs="Arial"/>
        </w:rPr>
        <w:t xml:space="preserve"> de Urânia, conforme decisão do Conselho Municipal dos Direitos da Pessoa Idosa, tendo como tema central: "Envelhecimento Multicultural e Democracia: Urgência por Equidade, Direitos e Participação".</w:t>
      </w:r>
    </w:p>
    <w:p w14:paraId="6BD589B5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24C943D2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  <w:b/>
          <w:bCs/>
        </w:rPr>
        <w:t>EIXOS TEMÁTICOS:</w:t>
      </w:r>
    </w:p>
    <w:p w14:paraId="02923726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10578751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</w:rPr>
        <w:t>Eixo 1 - Financiamento das políticas públicas para ampliação e garantia dos direitos sociais;</w:t>
      </w:r>
    </w:p>
    <w:p w14:paraId="5293479A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484F48F8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</w:rPr>
        <w:t>Eixo 2 - Fortalecimento de políticas para a proteção à vida, à saúde e para o acesso ao cuidado integral da pessoa idosa;</w:t>
      </w:r>
    </w:p>
    <w:p w14:paraId="25C9CCEA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21DACEC5" w14:textId="2EEF1A1E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</w:rPr>
        <w:t>Eixo 3 - Proteção e enfrentamento contra quaisquer formas de violência, abandono social e familiar da pessoa idosa;</w:t>
      </w:r>
    </w:p>
    <w:p w14:paraId="5107AFC6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542C6853" w14:textId="299B974A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</w:rPr>
        <w:t>Eixo 4 - Participação social, protagonismo e vida comunitária na perspectiva das múltiplas velhices;</w:t>
      </w:r>
    </w:p>
    <w:p w14:paraId="2FFA1F9D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0EEDEF2D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</w:rPr>
        <w:t>Eixo 5 - Consolidação e fortalecimento da atuação dos conselhos de direitos da pessoa idosa como política do estado brasileiro.</w:t>
      </w:r>
    </w:p>
    <w:p w14:paraId="071DE623" w14:textId="77777777" w:rsidR="00F97A89" w:rsidRDefault="00F97A89" w:rsidP="00F97A89">
      <w:pPr>
        <w:ind w:firstLine="1134"/>
        <w:jc w:val="both"/>
        <w:rPr>
          <w:rFonts w:ascii="Arial" w:hAnsi="Arial" w:cs="Arial"/>
        </w:rPr>
      </w:pPr>
    </w:p>
    <w:p w14:paraId="4F5FE949" w14:textId="58FD43C6" w:rsidR="00F97A89" w:rsidRPr="00F97A89" w:rsidRDefault="00F97A89" w:rsidP="00F97A89">
      <w:pPr>
        <w:ind w:firstLine="1134"/>
        <w:jc w:val="both"/>
        <w:rPr>
          <w:rFonts w:ascii="Arial" w:hAnsi="Arial" w:cs="Arial"/>
        </w:rPr>
      </w:pPr>
      <w:r w:rsidRPr="00F97A89">
        <w:rPr>
          <w:rFonts w:ascii="Arial" w:hAnsi="Arial" w:cs="Arial"/>
          <w:b/>
          <w:bCs/>
        </w:rPr>
        <w:t>Art. 2º -</w:t>
      </w:r>
      <w:r w:rsidRPr="00F97A89">
        <w:rPr>
          <w:rFonts w:ascii="Arial" w:hAnsi="Arial" w:cs="Arial"/>
          <w:bCs/>
        </w:rPr>
        <w:t xml:space="preserve"> </w:t>
      </w:r>
      <w:r w:rsidRPr="00F97A89">
        <w:rPr>
          <w:rFonts w:ascii="Arial" w:hAnsi="Arial" w:cs="Arial"/>
        </w:rPr>
        <w:t>Este Decreto entra em vigor na data de sua publicação, revogadas as disposições em contrário.</w:t>
      </w:r>
    </w:p>
    <w:p w14:paraId="2D8578F3" w14:textId="77777777" w:rsidR="00F97A89" w:rsidRPr="00F97A89" w:rsidRDefault="00F97A89" w:rsidP="00F97A89">
      <w:pPr>
        <w:ind w:firstLine="2268"/>
        <w:jc w:val="both"/>
        <w:rPr>
          <w:rFonts w:ascii="Arial" w:hAnsi="Arial" w:cs="Arial"/>
        </w:rPr>
      </w:pPr>
    </w:p>
    <w:p w14:paraId="29F28239" w14:textId="77777777" w:rsidR="00F97A89" w:rsidRPr="00F97A89" w:rsidRDefault="00F97A89" w:rsidP="00F97A89">
      <w:pPr>
        <w:ind w:firstLine="1134"/>
        <w:jc w:val="both"/>
        <w:rPr>
          <w:rFonts w:ascii="Arial" w:hAnsi="Arial" w:cs="Arial"/>
          <w:bCs/>
        </w:rPr>
      </w:pPr>
      <w:r w:rsidRPr="00F97A89">
        <w:rPr>
          <w:rFonts w:ascii="Arial" w:hAnsi="Arial" w:cs="Arial"/>
          <w:bCs/>
        </w:rPr>
        <w:t>Prefeitura Municipal de Urânia,</w:t>
      </w:r>
    </w:p>
    <w:p w14:paraId="577A7E67" w14:textId="04479049" w:rsidR="00F97A89" w:rsidRPr="00F97A89" w:rsidRDefault="00F97A89" w:rsidP="00F97A89">
      <w:pPr>
        <w:ind w:firstLine="1134"/>
        <w:jc w:val="both"/>
        <w:rPr>
          <w:rFonts w:ascii="Arial" w:hAnsi="Arial" w:cs="Arial"/>
          <w:bCs/>
        </w:rPr>
      </w:pPr>
      <w:r w:rsidRPr="00F97A89">
        <w:rPr>
          <w:rFonts w:ascii="Arial" w:hAnsi="Arial" w:cs="Arial"/>
          <w:bCs/>
        </w:rPr>
        <w:t xml:space="preserve">Urânia, </w:t>
      </w:r>
      <w:r>
        <w:rPr>
          <w:rFonts w:ascii="Arial" w:hAnsi="Arial" w:cs="Arial"/>
          <w:bCs/>
        </w:rPr>
        <w:t>15</w:t>
      </w:r>
      <w:r w:rsidRPr="00F97A89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maio</w:t>
      </w:r>
      <w:r w:rsidRPr="00F97A89">
        <w:rPr>
          <w:rFonts w:ascii="Arial" w:hAnsi="Arial" w:cs="Arial"/>
          <w:bCs/>
        </w:rPr>
        <w:t xml:space="preserve"> de 2025.</w:t>
      </w:r>
    </w:p>
    <w:p w14:paraId="11500A04" w14:textId="77777777" w:rsidR="00F97A89" w:rsidRPr="00F97A89" w:rsidRDefault="00F97A89" w:rsidP="00F97A89">
      <w:pPr>
        <w:jc w:val="both"/>
        <w:rPr>
          <w:rFonts w:ascii="Arial" w:hAnsi="Arial" w:cs="Arial"/>
          <w:b/>
        </w:rPr>
      </w:pPr>
    </w:p>
    <w:p w14:paraId="469CF1B3" w14:textId="77777777" w:rsidR="00F97A89" w:rsidRPr="00F97A89" w:rsidRDefault="00F97A89" w:rsidP="00F97A89">
      <w:pPr>
        <w:jc w:val="both"/>
        <w:rPr>
          <w:rFonts w:ascii="Arial" w:hAnsi="Arial" w:cs="Arial"/>
          <w:b/>
        </w:rPr>
      </w:pPr>
    </w:p>
    <w:p w14:paraId="0DF14D5A" w14:textId="77777777" w:rsidR="00F97A89" w:rsidRPr="00F97A89" w:rsidRDefault="00F97A89" w:rsidP="00F97A89">
      <w:pPr>
        <w:jc w:val="both"/>
        <w:rPr>
          <w:rFonts w:ascii="Arial" w:hAnsi="Arial" w:cs="Arial"/>
          <w:b/>
        </w:rPr>
      </w:pPr>
    </w:p>
    <w:p w14:paraId="7D3129B1" w14:textId="77777777" w:rsidR="00F97A89" w:rsidRPr="00F97A89" w:rsidRDefault="00F97A89" w:rsidP="00F97A89">
      <w:pPr>
        <w:jc w:val="both"/>
        <w:rPr>
          <w:rFonts w:ascii="Arial" w:hAnsi="Arial" w:cs="Arial"/>
          <w:b/>
        </w:rPr>
      </w:pPr>
    </w:p>
    <w:p w14:paraId="62196DC0" w14:textId="77777777" w:rsidR="00F97A89" w:rsidRPr="00F97A89" w:rsidRDefault="00F97A89" w:rsidP="00F97A89">
      <w:pPr>
        <w:jc w:val="center"/>
        <w:rPr>
          <w:rFonts w:ascii="Arial" w:hAnsi="Arial" w:cs="Arial"/>
          <w:b/>
        </w:rPr>
      </w:pPr>
      <w:r w:rsidRPr="00F97A89">
        <w:rPr>
          <w:rFonts w:ascii="Arial" w:hAnsi="Arial" w:cs="Arial"/>
          <w:b/>
        </w:rPr>
        <w:t>IVAN SOUBHIA GARCIA</w:t>
      </w:r>
    </w:p>
    <w:p w14:paraId="049441BC" w14:textId="77777777" w:rsidR="00F97A89" w:rsidRPr="00F97A89" w:rsidRDefault="00F97A89" w:rsidP="00F97A89">
      <w:pPr>
        <w:jc w:val="center"/>
        <w:rPr>
          <w:rFonts w:ascii="Arial" w:hAnsi="Arial" w:cs="Arial"/>
          <w:b/>
        </w:rPr>
      </w:pPr>
      <w:r w:rsidRPr="00F97A89">
        <w:rPr>
          <w:rFonts w:ascii="Arial" w:hAnsi="Arial" w:cs="Arial"/>
          <w:b/>
        </w:rPr>
        <w:t>Prefeito de Urânia</w:t>
      </w:r>
    </w:p>
    <w:p w14:paraId="46AA7AC0" w14:textId="77777777" w:rsidR="00F97A89" w:rsidRPr="00F97A89" w:rsidRDefault="00F97A89" w:rsidP="00F97A89">
      <w:pPr>
        <w:jc w:val="both"/>
        <w:rPr>
          <w:rFonts w:ascii="Arial" w:hAnsi="Arial" w:cs="Arial"/>
          <w:b/>
        </w:rPr>
      </w:pPr>
    </w:p>
    <w:p w14:paraId="1533ED19" w14:textId="77777777" w:rsidR="00F97A89" w:rsidRPr="00F97A89" w:rsidRDefault="00F97A89" w:rsidP="00F97A89">
      <w:pPr>
        <w:jc w:val="both"/>
        <w:rPr>
          <w:rFonts w:ascii="Arial" w:hAnsi="Arial" w:cs="Arial"/>
          <w:bCs/>
        </w:rPr>
      </w:pPr>
    </w:p>
    <w:p w14:paraId="041B874A" w14:textId="77777777" w:rsidR="00F97A89" w:rsidRPr="00F97A89" w:rsidRDefault="00F97A89" w:rsidP="00F97A89">
      <w:pPr>
        <w:jc w:val="both"/>
        <w:rPr>
          <w:rFonts w:ascii="Arial" w:hAnsi="Arial" w:cs="Arial"/>
          <w:bCs/>
        </w:rPr>
      </w:pPr>
      <w:r w:rsidRPr="00F97A89">
        <w:rPr>
          <w:rFonts w:ascii="Arial" w:hAnsi="Arial" w:cs="Arial"/>
          <w:bCs/>
        </w:rPr>
        <w:t>Registrado e publicado na forma da lei na data supra.</w:t>
      </w:r>
    </w:p>
    <w:p w14:paraId="2F21E5FE" w14:textId="77777777" w:rsidR="00F97A89" w:rsidRPr="00F97A89" w:rsidRDefault="00F97A89" w:rsidP="00F97A89">
      <w:pPr>
        <w:jc w:val="both"/>
        <w:rPr>
          <w:rFonts w:ascii="Arial" w:hAnsi="Arial" w:cs="Arial"/>
          <w:b/>
        </w:rPr>
      </w:pPr>
    </w:p>
    <w:p w14:paraId="42811F62" w14:textId="77777777" w:rsidR="00F97A89" w:rsidRPr="00F97A89" w:rsidRDefault="00F97A89" w:rsidP="00F97A89">
      <w:pPr>
        <w:jc w:val="both"/>
        <w:rPr>
          <w:rFonts w:ascii="Arial" w:hAnsi="Arial" w:cs="Arial"/>
          <w:b/>
        </w:rPr>
      </w:pPr>
    </w:p>
    <w:p w14:paraId="6E9DD1D5" w14:textId="77777777" w:rsidR="00F97A89" w:rsidRPr="00F97A89" w:rsidRDefault="00F97A89" w:rsidP="00F97A89">
      <w:pPr>
        <w:jc w:val="both"/>
        <w:rPr>
          <w:rFonts w:ascii="Arial" w:hAnsi="Arial" w:cs="Arial"/>
          <w:b/>
        </w:rPr>
      </w:pPr>
    </w:p>
    <w:p w14:paraId="3787D369" w14:textId="77777777" w:rsidR="00F97A89" w:rsidRPr="00F97A89" w:rsidRDefault="00F97A89" w:rsidP="00F97A89">
      <w:pPr>
        <w:jc w:val="both"/>
        <w:rPr>
          <w:rFonts w:ascii="Arial" w:hAnsi="Arial" w:cs="Arial"/>
          <w:b/>
        </w:rPr>
      </w:pPr>
      <w:r w:rsidRPr="00F97A89">
        <w:rPr>
          <w:rFonts w:ascii="Arial" w:hAnsi="Arial" w:cs="Arial"/>
          <w:b/>
        </w:rPr>
        <w:t>GUSTAVO PEREIRA FERRARI</w:t>
      </w:r>
    </w:p>
    <w:p w14:paraId="747DDD8A" w14:textId="70C646DF" w:rsidR="00F97A89" w:rsidRPr="00F97A89" w:rsidRDefault="00F97A89" w:rsidP="00F97A89">
      <w:pPr>
        <w:jc w:val="both"/>
        <w:rPr>
          <w:rFonts w:ascii="Arial" w:hAnsi="Arial" w:cs="Arial"/>
          <w:b/>
        </w:rPr>
      </w:pPr>
      <w:r w:rsidRPr="00F97A89">
        <w:rPr>
          <w:rFonts w:ascii="Arial" w:hAnsi="Arial" w:cs="Arial"/>
          <w:b/>
        </w:rPr>
        <w:t>Chefe de Gabinete</w:t>
      </w:r>
    </w:p>
    <w:sectPr w:rsidR="00F97A89" w:rsidRPr="00F97A89" w:rsidSect="00F20E97">
      <w:headerReference w:type="default" r:id="rId8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3547C" w14:textId="77777777" w:rsidR="00B64013" w:rsidRDefault="00B64013">
      <w:r>
        <w:separator/>
      </w:r>
    </w:p>
  </w:endnote>
  <w:endnote w:type="continuationSeparator" w:id="0">
    <w:p w14:paraId="7405E65C" w14:textId="77777777" w:rsidR="00B64013" w:rsidRDefault="00B6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62B3" w14:textId="77777777" w:rsidR="00B64013" w:rsidRDefault="00B64013">
      <w:r>
        <w:separator/>
      </w:r>
    </w:p>
  </w:footnote>
  <w:footnote w:type="continuationSeparator" w:id="0">
    <w:p w14:paraId="24A5C189" w14:textId="77777777" w:rsidR="00B64013" w:rsidRDefault="00B6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DB42" w14:textId="3221DE7D" w:rsidR="00424A0D" w:rsidRDefault="00424A0D" w:rsidP="00424A0D">
    <w:pPr>
      <w:ind w:left="1843" w:right="-1"/>
      <w:contextualSpacing/>
      <w:rPr>
        <w:i/>
      </w:rPr>
    </w:pPr>
  </w:p>
  <w:p w14:paraId="44E0E9CD" w14:textId="77777777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21972825" wp14:editId="3EEBCD96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03762615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669FA77A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15E8E7D6" w14:textId="77777777" w:rsidR="00866743" w:rsidRPr="00C24362" w:rsidRDefault="00866743" w:rsidP="00866743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2312C187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7B65F8C4" w14:textId="77777777" w:rsidR="00424A0D" w:rsidRDefault="00424A0D" w:rsidP="009D755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F3023"/>
    <w:multiLevelType w:val="multilevel"/>
    <w:tmpl w:val="F41E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A435E"/>
    <w:multiLevelType w:val="multilevel"/>
    <w:tmpl w:val="4664D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595162">
    <w:abstractNumId w:val="0"/>
  </w:num>
  <w:num w:numId="2" w16cid:durableId="157385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7"/>
    <w:rsid w:val="00016E40"/>
    <w:rsid w:val="00022CD2"/>
    <w:rsid w:val="0002338C"/>
    <w:rsid w:val="00023650"/>
    <w:rsid w:val="0002468F"/>
    <w:rsid w:val="00034F05"/>
    <w:rsid w:val="00037C14"/>
    <w:rsid w:val="00051556"/>
    <w:rsid w:val="000554C3"/>
    <w:rsid w:val="00072C45"/>
    <w:rsid w:val="00072D62"/>
    <w:rsid w:val="000761C2"/>
    <w:rsid w:val="000763BF"/>
    <w:rsid w:val="000936FE"/>
    <w:rsid w:val="000A66B5"/>
    <w:rsid w:val="000B505E"/>
    <w:rsid w:val="000B5FBA"/>
    <w:rsid w:val="000E404A"/>
    <w:rsid w:val="00104D3A"/>
    <w:rsid w:val="001418EA"/>
    <w:rsid w:val="001445E2"/>
    <w:rsid w:val="00175C5A"/>
    <w:rsid w:val="00175E6A"/>
    <w:rsid w:val="001B1335"/>
    <w:rsid w:val="001B350A"/>
    <w:rsid w:val="001C027D"/>
    <w:rsid w:val="001D0203"/>
    <w:rsid w:val="001F1C1D"/>
    <w:rsid w:val="001F45C8"/>
    <w:rsid w:val="002102FC"/>
    <w:rsid w:val="002116D6"/>
    <w:rsid w:val="00223452"/>
    <w:rsid w:val="002863D8"/>
    <w:rsid w:val="00290E9B"/>
    <w:rsid w:val="002F0B4D"/>
    <w:rsid w:val="002F2CE2"/>
    <w:rsid w:val="00314B73"/>
    <w:rsid w:val="00316426"/>
    <w:rsid w:val="00347EEB"/>
    <w:rsid w:val="003736A1"/>
    <w:rsid w:val="00373A69"/>
    <w:rsid w:val="00392EC1"/>
    <w:rsid w:val="003A4E89"/>
    <w:rsid w:val="003B3B22"/>
    <w:rsid w:val="003B5B23"/>
    <w:rsid w:val="003E1CED"/>
    <w:rsid w:val="003E688F"/>
    <w:rsid w:val="003F311A"/>
    <w:rsid w:val="00424A0D"/>
    <w:rsid w:val="00427317"/>
    <w:rsid w:val="004317A0"/>
    <w:rsid w:val="00443974"/>
    <w:rsid w:val="004452BE"/>
    <w:rsid w:val="00445D18"/>
    <w:rsid w:val="004468B6"/>
    <w:rsid w:val="004826F4"/>
    <w:rsid w:val="004E4F19"/>
    <w:rsid w:val="005100D2"/>
    <w:rsid w:val="005115CA"/>
    <w:rsid w:val="0053413A"/>
    <w:rsid w:val="00550958"/>
    <w:rsid w:val="005536C4"/>
    <w:rsid w:val="00562B22"/>
    <w:rsid w:val="00571F24"/>
    <w:rsid w:val="00585842"/>
    <w:rsid w:val="005943E5"/>
    <w:rsid w:val="005945D0"/>
    <w:rsid w:val="005A0074"/>
    <w:rsid w:val="005B4A17"/>
    <w:rsid w:val="005D1B37"/>
    <w:rsid w:val="005D4CD8"/>
    <w:rsid w:val="005D6DC5"/>
    <w:rsid w:val="005E0496"/>
    <w:rsid w:val="005E10F4"/>
    <w:rsid w:val="005E2B91"/>
    <w:rsid w:val="005F1F0D"/>
    <w:rsid w:val="006265AF"/>
    <w:rsid w:val="00647910"/>
    <w:rsid w:val="00656F97"/>
    <w:rsid w:val="006C377B"/>
    <w:rsid w:val="006D36B3"/>
    <w:rsid w:val="006E1805"/>
    <w:rsid w:val="00700407"/>
    <w:rsid w:val="00717246"/>
    <w:rsid w:val="00736254"/>
    <w:rsid w:val="00743198"/>
    <w:rsid w:val="00752669"/>
    <w:rsid w:val="00763C18"/>
    <w:rsid w:val="00764F18"/>
    <w:rsid w:val="00771BF7"/>
    <w:rsid w:val="0077391A"/>
    <w:rsid w:val="007956B6"/>
    <w:rsid w:val="0079744C"/>
    <w:rsid w:val="007A1585"/>
    <w:rsid w:val="007D381C"/>
    <w:rsid w:val="007E3005"/>
    <w:rsid w:val="007F7979"/>
    <w:rsid w:val="00806DF1"/>
    <w:rsid w:val="0081075C"/>
    <w:rsid w:val="0081165D"/>
    <w:rsid w:val="0081560A"/>
    <w:rsid w:val="00817650"/>
    <w:rsid w:val="00831038"/>
    <w:rsid w:val="00833A88"/>
    <w:rsid w:val="008353DB"/>
    <w:rsid w:val="00866016"/>
    <w:rsid w:val="00866743"/>
    <w:rsid w:val="00870FB2"/>
    <w:rsid w:val="00897625"/>
    <w:rsid w:val="008A0CE8"/>
    <w:rsid w:val="008C39F5"/>
    <w:rsid w:val="008D5F4F"/>
    <w:rsid w:val="008F182B"/>
    <w:rsid w:val="008F56C1"/>
    <w:rsid w:val="008F5E9A"/>
    <w:rsid w:val="009018AF"/>
    <w:rsid w:val="00903285"/>
    <w:rsid w:val="00941986"/>
    <w:rsid w:val="009420C7"/>
    <w:rsid w:val="0094749A"/>
    <w:rsid w:val="00963CFE"/>
    <w:rsid w:val="00964F49"/>
    <w:rsid w:val="00966BF6"/>
    <w:rsid w:val="009673E6"/>
    <w:rsid w:val="00987C92"/>
    <w:rsid w:val="00987E35"/>
    <w:rsid w:val="009B344F"/>
    <w:rsid w:val="009D2CD1"/>
    <w:rsid w:val="009D755D"/>
    <w:rsid w:val="009E4486"/>
    <w:rsid w:val="00A006D6"/>
    <w:rsid w:val="00A03785"/>
    <w:rsid w:val="00A20527"/>
    <w:rsid w:val="00A40196"/>
    <w:rsid w:val="00A77E0F"/>
    <w:rsid w:val="00AC3785"/>
    <w:rsid w:val="00AD621B"/>
    <w:rsid w:val="00AE13E5"/>
    <w:rsid w:val="00AE23A2"/>
    <w:rsid w:val="00AE5C54"/>
    <w:rsid w:val="00AE5E84"/>
    <w:rsid w:val="00AE762D"/>
    <w:rsid w:val="00AF51B8"/>
    <w:rsid w:val="00B01BA2"/>
    <w:rsid w:val="00B20FC4"/>
    <w:rsid w:val="00B45B4A"/>
    <w:rsid w:val="00B64013"/>
    <w:rsid w:val="00B65721"/>
    <w:rsid w:val="00B6728D"/>
    <w:rsid w:val="00B82FAD"/>
    <w:rsid w:val="00B96E15"/>
    <w:rsid w:val="00BA273C"/>
    <w:rsid w:val="00BB0078"/>
    <w:rsid w:val="00BB475F"/>
    <w:rsid w:val="00BB518B"/>
    <w:rsid w:val="00BD266F"/>
    <w:rsid w:val="00BE282D"/>
    <w:rsid w:val="00BE79E7"/>
    <w:rsid w:val="00C0267E"/>
    <w:rsid w:val="00C04254"/>
    <w:rsid w:val="00C15D67"/>
    <w:rsid w:val="00C377F6"/>
    <w:rsid w:val="00C44686"/>
    <w:rsid w:val="00C45861"/>
    <w:rsid w:val="00C537F9"/>
    <w:rsid w:val="00CA307D"/>
    <w:rsid w:val="00CA3755"/>
    <w:rsid w:val="00CA56AC"/>
    <w:rsid w:val="00CB146D"/>
    <w:rsid w:val="00CC7327"/>
    <w:rsid w:val="00CD734A"/>
    <w:rsid w:val="00CD7646"/>
    <w:rsid w:val="00D20D75"/>
    <w:rsid w:val="00D21F5E"/>
    <w:rsid w:val="00D22681"/>
    <w:rsid w:val="00D33937"/>
    <w:rsid w:val="00D416BB"/>
    <w:rsid w:val="00D54942"/>
    <w:rsid w:val="00D6615E"/>
    <w:rsid w:val="00D9417E"/>
    <w:rsid w:val="00DE7DC6"/>
    <w:rsid w:val="00DF5A57"/>
    <w:rsid w:val="00E148AC"/>
    <w:rsid w:val="00E20AEA"/>
    <w:rsid w:val="00E2144D"/>
    <w:rsid w:val="00E24B51"/>
    <w:rsid w:val="00E43773"/>
    <w:rsid w:val="00E50FFA"/>
    <w:rsid w:val="00E534F7"/>
    <w:rsid w:val="00E720E6"/>
    <w:rsid w:val="00E920DD"/>
    <w:rsid w:val="00E960DC"/>
    <w:rsid w:val="00EA5C5C"/>
    <w:rsid w:val="00F20E97"/>
    <w:rsid w:val="00F3454E"/>
    <w:rsid w:val="00F43356"/>
    <w:rsid w:val="00F46779"/>
    <w:rsid w:val="00F50416"/>
    <w:rsid w:val="00F56290"/>
    <w:rsid w:val="00F74E98"/>
    <w:rsid w:val="00F9001F"/>
    <w:rsid w:val="00F97A89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72BC"/>
  <w15:docId w15:val="{F3E993A1-E308-4164-9529-C615690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D15C9-D550-4710-A02E-CE31A37F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GUSTAVO PEREIRA FERRARI</cp:lastModifiedBy>
  <cp:revision>2</cp:revision>
  <cp:lastPrinted>2024-07-25T16:27:00Z</cp:lastPrinted>
  <dcterms:created xsi:type="dcterms:W3CDTF">2025-05-16T18:09:00Z</dcterms:created>
  <dcterms:modified xsi:type="dcterms:W3CDTF">2025-05-16T18:09:00Z</dcterms:modified>
</cp:coreProperties>
</file>