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  <w:u w:val="single"/>
        </w:rPr>
        <w:t xml:space="preserve">Ata da 23ª Reunião </w:t>
      </w:r>
      <w:r>
        <w:rPr>
          <w:rFonts w:ascii="Arial" w:hAnsi="Arial"/>
          <w:b/>
          <w:bCs/>
          <w:sz w:val="24"/>
          <w:szCs w:val="24"/>
          <w:u w:val="single"/>
          <w:lang w:val="pt-BR"/>
        </w:rPr>
        <w:t>O</w:t>
      </w:r>
      <w:r>
        <w:rPr>
          <w:rFonts w:ascii="Arial" w:hAnsi="Arial"/>
          <w:b/>
          <w:bCs/>
          <w:sz w:val="24"/>
          <w:szCs w:val="24"/>
          <w:u w:val="single"/>
        </w:rPr>
        <w:t>rdinária do Conselho Consultivo do Parque Natural Municipal da Grota Funda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340" w:left="0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No dia de 21 de agosto de 2025, no Centro de Formação – Auditório 01 da Secretaria de Educação, foi realizada a 23ª Reunião Ordinária do Conselho Consultivo do Parque Natural Municipal da Grota Funda.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340" w:left="0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340" w:left="0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 xml:space="preserve">Participaram dessa sessão os seguintes membros: Karina Yuri Suzuki Barsotti, da Secretaria do Meio Ambiente (SEMADA); Dan Wirgues, da Secretaria do Meio Ambiente (SEMADA); Silmara Aparecida de Siqueira Silva (Secretaria de Educação); Daniel Abicair, do Centro de Estudos Ornitológicos (CEO); </w:t>
      </w:r>
      <w:r>
        <w:rPr>
          <w:rStyle w:val="Strong"/>
          <w:rFonts w:ascii="Arial" w:hAnsi="Arial"/>
          <w:b w:val="false"/>
          <w:bCs w:val="false"/>
          <w:sz w:val="24"/>
          <w:szCs w:val="24"/>
          <w:lang w:val="pt-BR"/>
        </w:rPr>
        <w:t xml:space="preserve">Gabriel </w:t>
      </w:r>
      <w:r>
        <w:rPr>
          <w:rFonts w:ascii="Arial" w:hAnsi="Arial"/>
          <w:b w:val="false"/>
          <w:bCs w:val="false"/>
          <w:sz w:val="24"/>
          <w:szCs w:val="24"/>
        </w:rPr>
        <w:t xml:space="preserve">Permezani Moraes, do Centro de Estudos Ornitológicos (CEO); Debora C. Polato Sampaio, do Salve Atibaia; Cesar Corain, Morador da Gleba Interna; Breno Ruiz, da Secretaria de Turismo; José Antonio da Silva, da ARCVB – Atibaia e Região Convention; Gustavo Matuoka Quintanilha AEAAAR – Assoc. dos Engenheiros e Ana Lucia Bueno Reis, Moradora da Gleba Interna. 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340" w:left="0" w:right="0"/>
        <w:jc w:val="both"/>
        <w:rPr/>
      </w:pPr>
      <w:r>
        <w:rPr>
          <w:rStyle w:val="Strong"/>
          <w:rFonts w:ascii="Arial" w:hAnsi="Arial"/>
          <w:b w:val="false"/>
          <w:bCs w:val="false"/>
          <w:sz w:val="24"/>
          <w:szCs w:val="24"/>
          <w:lang w:val="pt-BR"/>
        </w:rPr>
        <w:t>Estavam presentes como convidados Erico Nomura, da Secretaria do Meio Ambiente (SEMADA); Mikael Jonas Muller, da SIMBIOSE; Tábata Sabrina L. Morais, da SIMBIOSE; Eduarda Cecatto S. Loures, da SIMBIOSE; Erika Magalhães Lima, da SIMBIOSE; Taitana Magalhães Guedes, da SIMBIOSE; Mateus de Carvalho Queiroz, da SIMBIOSE; Paulo Rodrigues, da SIMBIOSE.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340" w:left="0" w:right="0"/>
        <w:jc w:val="both"/>
        <w:rPr>
          <w:rStyle w:val="Strong"/>
          <w:rFonts w:ascii="Arial" w:hAnsi="Arial"/>
          <w:b w:val="false"/>
          <w:bCs w:val="false"/>
          <w:sz w:val="24"/>
          <w:szCs w:val="24"/>
          <w:lang w:val="pt-BR"/>
        </w:rPr>
      </w:pPr>
      <w:r>
        <w:rPr>
          <w:rFonts w:ascii="Arial" w:hAnsi="Arial"/>
          <w:b w:val="false"/>
          <w:bCs w:val="false"/>
          <w:sz w:val="24"/>
          <w:szCs w:val="24"/>
          <w:lang w:val="pt-BR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340" w:left="0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 xml:space="preserve">Karina da inicio a reunião as 09 horas e 16 minutos. 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340" w:left="0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>Conforme ATA da reunião anterior enviada, sobre a apresentação do loteamento que se estabelece na zona de amortecimento do Parque, houve questionamento para a aprovação desta. O cronograma da reunião foi alterado devido a ordem de chegada das pessoas que apresentaram os Planos e metas. Foi alterado com concordância dos conselheiros participantes.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340" w:left="0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 xml:space="preserve"> </w:t>
      </w:r>
      <w:r>
        <w:rPr>
          <w:rFonts w:ascii="Arial" w:hAnsi="Arial"/>
          <w:b w:val="false"/>
          <w:bCs w:val="false"/>
          <w:sz w:val="24"/>
          <w:szCs w:val="24"/>
        </w:rPr>
        <w:t xml:space="preserve">Assim, o início, foi a apresentação do último termo de parceria, realizada por Mikael e Tabata da SIMBIOSE. Após início, Breno, sugere sobre a colocação de placas com a presença de animais, principalmente, para a informação de motoqueiros e demais motoristas da área. 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340" w:left="0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 xml:space="preserve">Tábata, da continuidade a apresentação demonstrando características do Termo de parceria 029-244 que finalizou em 2024. Apresenta a prestação de contas. Comenta as metas, explicando tanto a gestão, quando os cronogramas previstos e, por fim, realizados. 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340" w:left="0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>Discorre sobre as publicações, que foram realizadas em sites especificamente da SIMBIOSE.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340" w:left="0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 xml:space="preserve">Demonstra ações de “Monitoramento Ambiental”, que são ações na área da pedrinha, como o exemplo de carros, com estacionamento, e demais demandas relacionadas. </w:t>
      </w:r>
    </w:p>
    <w:p>
      <w:pPr>
        <w:pStyle w:val="Normal"/>
        <w:widowControl/>
        <w:suppressAutoHyphens w:val="true"/>
        <w:bidi w:val="0"/>
        <w:spacing w:lineRule="auto" w:line="276" w:before="57" w:after="257"/>
        <w:ind w:firstLine="340" w:left="0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Conforme demanda deste termo, foi realizado contato com a Secretaria de Serviços para manutenção de estradas. Um exemplo da necessidade de manutenção, é o fato da </w:t>
      </w:r>
    </w:p>
    <w:p>
      <w:pPr>
        <w:pStyle w:val="Normal"/>
        <w:widowControl/>
        <w:suppressAutoHyphens w:val="true"/>
        <w:bidi w:val="0"/>
        <w:spacing w:lineRule="auto" w:line="276" w:before="57" w:after="257"/>
        <w:ind w:firstLine="340" w:left="0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76" w:before="57" w:after="257"/>
        <w:ind w:hanging="0" w:left="0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Escola Estadual Aguiar Peçanha, só ter visitado o Parque, pelo auxílio dos Jipeiros que efetivaram o transporte. </w:t>
      </w:r>
    </w:p>
    <w:p>
      <w:pPr>
        <w:pStyle w:val="Normal"/>
        <w:widowControl/>
        <w:suppressAutoHyphens w:val="true"/>
        <w:bidi w:val="0"/>
        <w:spacing w:lineRule="auto" w:line="276" w:before="57" w:after="257"/>
        <w:ind w:firstLine="340" w:left="0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Outras demandas citadas, referentes a este termo foram:</w:t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76" w:before="57" w:after="257"/>
        <w:ind w:hanging="454" w:left="794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Monitoramento de </w:t>
      </w:r>
      <w:r>
        <w:rPr>
          <w:rFonts w:ascii="Arial" w:hAnsi="Arial"/>
          <w:b w:val="false"/>
          <w:bCs w:val="false"/>
          <w:i/>
          <w:iCs/>
          <w:sz w:val="24"/>
          <w:szCs w:val="24"/>
        </w:rPr>
        <w:t>Pinus;</w:t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76" w:before="57" w:after="257"/>
        <w:ind w:hanging="454" w:left="794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Manter e arrumar trilhas;</w:t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76" w:before="57" w:after="257"/>
        <w:ind w:hanging="454" w:left="794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Relatórios de reflorestamento com plantios compensatórios realizados;</w:t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76" w:before="57" w:after="257"/>
        <w:ind w:hanging="454" w:left="794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Educação ambiental, principalmente, com relação a queimadas. Este é um problema constante e foco da SIMBIOSE. </w:t>
      </w:r>
    </w:p>
    <w:p>
      <w:pPr>
        <w:pStyle w:val="Normal"/>
        <w:spacing w:lineRule="auto" w:line="276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Foram citadas as metas não realizadas com as justificativas. Seguem listadas abaixo: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Pesquisa científica – Está sendo realizada com pesquisa da ICMbio.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Ordenamento de guias habilitados. Para este assunto, não houve procura significativa. Esta sendo realizado discussões para entender como pode ser mais procurado. </w:t>
      </w:r>
    </w:p>
    <w:p>
      <w:pPr>
        <w:pStyle w:val="Normal"/>
        <w:spacing w:lineRule="auto" w:line="276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Foi apresentado quantidade de Visitantes, tendo números como: 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Turistas – 148;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Escolar – 155 alunos;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Guia de turismo – 14 alunos;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Técnico científico – 10 pesquisadores.</w:t>
      </w:r>
    </w:p>
    <w:p>
      <w:pPr>
        <w:pStyle w:val="Normal"/>
        <w:numPr>
          <w:ilvl w:val="0"/>
          <w:numId w:val="0"/>
        </w:numPr>
        <w:spacing w:lineRule="auto" w:line="276"/>
        <w:ind w:hanging="0" w:left="72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Tendo um total de 377 pessoas.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firstLine="340" w:left="0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 xml:space="preserve">As visitas foram combinadas de duas formas sendo via watts ou por endereço eletrônico, e-mail. 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firstLine="340" w:left="0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Foi ressaltado que o Parque teve um período de fechamento, devido ao decreto estadual das Unidades de Conservações – época de Fogo.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firstLine="340" w:left="0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O total de queimadas também foi demonstrado tendo dados demonstrados como:</w:t>
      </w:r>
    </w:p>
    <w:p>
      <w:pPr>
        <w:pStyle w:val="Normal"/>
        <w:widowControl/>
        <w:numPr>
          <w:ilvl w:val="0"/>
          <w:numId w:val="3"/>
        </w:numPr>
        <w:suppressAutoHyphens w:val="true"/>
        <w:bidi w:val="0"/>
        <w:spacing w:lineRule="auto" w:line="276" w:before="0" w:after="20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68 incêndios combatidos;</w:t>
      </w:r>
    </w:p>
    <w:p>
      <w:pPr>
        <w:pStyle w:val="Normal"/>
        <w:widowControl/>
        <w:numPr>
          <w:ilvl w:val="0"/>
          <w:numId w:val="3"/>
        </w:numPr>
        <w:suppressAutoHyphens w:val="true"/>
        <w:bidi w:val="0"/>
        <w:spacing w:lineRule="auto" w:line="276" w:before="0" w:after="20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137,85 ha de área queimada;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firstLine="340" w:left="0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firstLine="340" w:left="0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spacing w:before="0" w:after="0"/>
        <w:ind w:firstLine="340" w:left="0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 xml:space="preserve">Em parceria com TNC, CANAP e ICMBio, foram realizados cursos de brigadistas. Matehus Queiroz, comenta sobre a parte financeira, explicando que sempre é feito a prestação de contas do exercício anterior. </w:t>
      </w:r>
    </w:p>
    <w:p>
      <w:pPr>
        <w:pStyle w:val="Normal"/>
        <w:spacing w:before="0" w:after="0"/>
        <w:ind w:firstLine="340" w:left="0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 xml:space="preserve">Dá continuidade, relatando que, o que sobrou de 2024, foi repassado em 2025, respondendo ao questionamento de Gabriel. Mostra tabela de custos de 2024 com o que foi recebido e a soma detalhada com suas funções. Assim, </w:t>
      </w:r>
      <w:r>
        <w:rPr>
          <w:rStyle w:val="Strong"/>
          <w:rFonts w:ascii="Arial" w:hAnsi="Arial"/>
          <w:b w:val="false"/>
          <w:bCs w:val="false"/>
          <w:sz w:val="24"/>
          <w:szCs w:val="24"/>
        </w:rPr>
        <w:t>Mateus,</w:t>
      </w:r>
      <w:r>
        <w:rPr>
          <w:rFonts w:ascii="Arial" w:hAnsi="Arial"/>
          <w:b w:val="false"/>
          <w:bCs w:val="false"/>
          <w:sz w:val="24"/>
          <w:szCs w:val="24"/>
        </w:rPr>
        <w:t> apresentou a prestação de contas do exercício anterior. Foi exibida e detalhada a tabela de custos de 2024, contendo os valores recebidos e a soma discriminada por funções.</w:t>
      </w:r>
    </w:p>
    <w:p>
      <w:pPr>
        <w:pStyle w:val="Normal"/>
        <w:spacing w:before="0" w:after="0"/>
        <w:ind w:firstLine="340" w:left="0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Iniciou-se a discussão sobre o novo Termo de Parceria 54/25, que tem vigência de dois anos, diferentemente dos termos anteriores, que eram anuais.</w:t>
      </w:r>
    </w:p>
    <w:p>
      <w:pPr>
        <w:pStyle w:val="Normal"/>
        <w:spacing w:before="0" w:after="0"/>
        <w:ind w:firstLine="340" w:left="0" w:right="0"/>
        <w:jc w:val="both"/>
        <w:rPr/>
      </w:pPr>
      <w:r>
        <w:rPr>
          <w:rStyle w:val="Strong"/>
          <w:rFonts w:ascii="Arial" w:hAnsi="Arial"/>
          <w:b w:val="false"/>
          <w:bCs w:val="false"/>
          <w:sz w:val="24"/>
          <w:szCs w:val="24"/>
        </w:rPr>
        <w:t>Tábata</w:t>
      </w:r>
      <w:r>
        <w:rPr>
          <w:rFonts w:ascii="Arial" w:hAnsi="Arial"/>
          <w:b w:val="false"/>
          <w:bCs w:val="false"/>
          <w:sz w:val="24"/>
          <w:szCs w:val="24"/>
        </w:rPr>
        <w:t> argumentou e comemorou a inclusão de mais mulheres nas funções de cogestão.</w:t>
      </w:r>
    </w:p>
    <w:p>
      <w:pPr>
        <w:pStyle w:val="Normal"/>
        <w:spacing w:before="0" w:after="0"/>
        <w:ind w:firstLine="340" w:left="0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>Foi debatida a Gestão Organizacional e Uso Público, com foco no enriquecimento da visitação, conforme solicitado pelos órgãos ambientais. Como exemplo de novidade para promover a visitação, foram citadas as </w:t>
      </w:r>
      <w:r>
        <w:rPr>
          <w:rStyle w:val="Strong"/>
          <w:rFonts w:ascii="Arial" w:hAnsi="Arial"/>
          <w:b w:val="false"/>
          <w:bCs w:val="false"/>
          <w:sz w:val="24"/>
          <w:szCs w:val="24"/>
        </w:rPr>
        <w:t>trilhas autoguiadas</w:t>
      </w:r>
      <w:r>
        <w:rPr>
          <w:rFonts w:ascii="Arial" w:hAnsi="Arial"/>
          <w:b w:val="false"/>
          <w:bCs w:val="false"/>
          <w:sz w:val="24"/>
          <w:szCs w:val="24"/>
        </w:rPr>
        <w:t xml:space="preserve">, que devem seguir todos os protocolos, autorizações e relatórios necessários. </w:t>
      </w:r>
      <w:r>
        <w:rPr>
          <w:rStyle w:val="Strong"/>
          <w:rFonts w:ascii="Arial" w:hAnsi="Arial"/>
          <w:b w:val="false"/>
          <w:bCs w:val="false"/>
          <w:sz w:val="24"/>
          <w:szCs w:val="24"/>
        </w:rPr>
        <w:t>Mikael</w:t>
      </w:r>
      <w:r>
        <w:rPr>
          <w:rFonts w:ascii="Arial" w:hAnsi="Arial"/>
          <w:b w:val="false"/>
          <w:bCs w:val="false"/>
          <w:sz w:val="24"/>
          <w:szCs w:val="24"/>
        </w:rPr>
        <w:t> informou que o Parque terá alterações no horário de funcionamento em dias específicos para atender a observações de indivíduos com necessidades específicas e para a realização de outras atividades.</w:t>
      </w:r>
    </w:p>
    <w:p>
      <w:pPr>
        <w:pStyle w:val="Normal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Foram elencados os seguintes objetivos e metas contidos no novo termo:</w:t>
      </w:r>
    </w:p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0" w:leader="none"/>
        </w:tabs>
        <w:suppressAutoHyphens w:val="true"/>
        <w:bidi w:val="0"/>
        <w:spacing w:lineRule="auto" w:line="276" w:before="0" w:after="200"/>
        <w:ind w:firstLine="340" w:left="397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>Estudo para a criação da </w:t>
      </w:r>
      <w:r>
        <w:rPr>
          <w:rStyle w:val="Strong"/>
          <w:rFonts w:ascii="Arial" w:hAnsi="Arial"/>
          <w:b w:val="false"/>
          <w:bCs w:val="false"/>
          <w:sz w:val="24"/>
          <w:szCs w:val="24"/>
        </w:rPr>
        <w:t>nova trilha das Três Marias</w:t>
      </w:r>
      <w:r>
        <w:rPr>
          <w:rFonts w:ascii="Arial" w:hAnsi="Arial"/>
          <w:b w:val="false"/>
          <w:bCs w:val="false"/>
          <w:sz w:val="24"/>
          <w:szCs w:val="24"/>
        </w:rPr>
        <w:t>, visando o acesso à Pedra Grande-Pacaembu (comentado por </w:t>
      </w:r>
      <w:r>
        <w:rPr>
          <w:rStyle w:val="Strong"/>
          <w:rFonts w:ascii="Arial" w:hAnsi="Arial"/>
          <w:b w:val="false"/>
          <w:bCs w:val="false"/>
          <w:sz w:val="24"/>
          <w:szCs w:val="24"/>
        </w:rPr>
        <w:t>Tabata</w:t>
      </w:r>
      <w:r>
        <w:rPr>
          <w:rFonts w:ascii="Arial" w:hAnsi="Arial"/>
          <w:b w:val="false"/>
          <w:bCs w:val="false"/>
          <w:sz w:val="24"/>
          <w:szCs w:val="24"/>
        </w:rPr>
        <w:t>);</w:t>
      </w:r>
    </w:p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0" w:leader="none"/>
        </w:tabs>
        <w:suppressAutoHyphens w:val="true"/>
        <w:bidi w:val="0"/>
        <w:spacing w:lineRule="auto" w:line="276" w:before="0" w:after="200"/>
        <w:ind w:firstLine="340" w:left="397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>Instalação de </w:t>
      </w:r>
      <w:r>
        <w:rPr>
          <w:rStyle w:val="Strong"/>
          <w:rFonts w:ascii="Arial" w:hAnsi="Arial"/>
          <w:b w:val="false"/>
          <w:bCs w:val="false"/>
          <w:sz w:val="24"/>
          <w:szCs w:val="24"/>
        </w:rPr>
        <w:t>placas explicativas e informativas</w:t>
      </w:r>
      <w:r>
        <w:rPr>
          <w:rFonts w:ascii="Arial" w:hAnsi="Arial"/>
          <w:b w:val="false"/>
          <w:bCs w:val="false"/>
          <w:sz w:val="24"/>
          <w:szCs w:val="24"/>
        </w:rPr>
        <w:t> (</w:t>
      </w:r>
      <w:r>
        <w:rPr>
          <w:rStyle w:val="Strong"/>
          <w:rFonts w:ascii="Arial" w:hAnsi="Arial"/>
          <w:b w:val="false"/>
          <w:bCs w:val="false"/>
          <w:sz w:val="24"/>
          <w:szCs w:val="24"/>
        </w:rPr>
        <w:t>Mikael</w:t>
      </w:r>
      <w:r>
        <w:rPr>
          <w:rFonts w:ascii="Arial" w:hAnsi="Arial"/>
          <w:b w:val="false"/>
          <w:bCs w:val="false"/>
          <w:sz w:val="24"/>
          <w:szCs w:val="24"/>
        </w:rPr>
        <w:t>);</w:t>
      </w:r>
    </w:p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0" w:leader="none"/>
        </w:tabs>
        <w:suppressAutoHyphens w:val="true"/>
        <w:bidi w:val="0"/>
        <w:spacing w:lineRule="auto" w:line="276" w:before="0" w:after="200"/>
        <w:ind w:firstLine="340" w:left="397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>Desenvolvimento de atividades com </w:t>
      </w:r>
      <w:r>
        <w:rPr>
          <w:rStyle w:val="Strong"/>
          <w:rFonts w:ascii="Arial" w:hAnsi="Arial"/>
          <w:b w:val="false"/>
          <w:bCs w:val="false"/>
          <w:sz w:val="24"/>
          <w:szCs w:val="24"/>
        </w:rPr>
        <w:t>guias</w:t>
      </w:r>
      <w:r>
        <w:rPr>
          <w:rFonts w:ascii="Arial" w:hAnsi="Arial"/>
          <w:b w:val="false"/>
          <w:bCs w:val="false"/>
          <w:sz w:val="24"/>
          <w:szCs w:val="24"/>
        </w:rPr>
        <w:t>, fomentando o turismo ecológico e demonstrando as possibilidades de visita;</w:t>
      </w:r>
    </w:p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0" w:leader="none"/>
        </w:tabs>
        <w:suppressAutoHyphens w:val="true"/>
        <w:bidi w:val="0"/>
        <w:spacing w:lineRule="auto" w:line="276" w:before="0" w:after="200"/>
        <w:ind w:firstLine="340" w:left="397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>Implantação de uma </w:t>
      </w:r>
      <w:r>
        <w:rPr>
          <w:rStyle w:val="Strong"/>
          <w:rFonts w:ascii="Arial" w:hAnsi="Arial"/>
          <w:b w:val="false"/>
          <w:bCs w:val="false"/>
          <w:sz w:val="24"/>
          <w:szCs w:val="24"/>
        </w:rPr>
        <w:t>guarita</w:t>
      </w:r>
      <w:r>
        <w:rPr>
          <w:rFonts w:ascii="Arial" w:hAnsi="Arial"/>
          <w:b w:val="false"/>
          <w:bCs w:val="false"/>
          <w:sz w:val="24"/>
          <w:szCs w:val="24"/>
        </w:rPr>
        <w:t> (mesmo que provisória) para viabilizar as metas de circuito autoguiado;</w:t>
      </w:r>
    </w:p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0" w:leader="none"/>
        </w:tabs>
        <w:suppressAutoHyphens w:val="true"/>
        <w:bidi w:val="0"/>
        <w:spacing w:lineRule="auto" w:line="276" w:before="0" w:after="200"/>
        <w:ind w:firstLine="340" w:left="397" w:right="0"/>
        <w:jc w:val="both"/>
        <w:rPr/>
      </w:pPr>
      <w:r>
        <w:rPr>
          <w:rStyle w:val="Strong"/>
          <w:rFonts w:ascii="Arial" w:hAnsi="Arial"/>
          <w:b w:val="false"/>
          <w:bCs w:val="false"/>
          <w:sz w:val="24"/>
          <w:szCs w:val="24"/>
        </w:rPr>
        <w:t>Postagens em conjunto com a Secretaria de Comunicação</w:t>
      </w:r>
      <w:r>
        <w:rPr>
          <w:rFonts w:ascii="Arial" w:hAnsi="Arial"/>
          <w:b w:val="false"/>
          <w:bCs w:val="false"/>
          <w:sz w:val="24"/>
          <w:szCs w:val="24"/>
        </w:rPr>
        <w:t>, destacado por </w:t>
      </w:r>
      <w:r>
        <w:rPr>
          <w:rStyle w:val="Strong"/>
          <w:rFonts w:ascii="Arial" w:hAnsi="Arial"/>
          <w:b w:val="false"/>
          <w:bCs w:val="false"/>
          <w:sz w:val="24"/>
          <w:szCs w:val="24"/>
        </w:rPr>
        <w:t>Tabata</w:t>
      </w:r>
      <w:r>
        <w:rPr>
          <w:rFonts w:ascii="Arial" w:hAnsi="Arial"/>
          <w:b w:val="false"/>
          <w:bCs w:val="false"/>
          <w:sz w:val="24"/>
          <w:szCs w:val="24"/>
        </w:rPr>
        <w:t> como um diferencial em relação aos termos anteriores;</w:t>
      </w:r>
    </w:p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0" w:leader="none"/>
        </w:tabs>
        <w:suppressAutoHyphens w:val="true"/>
        <w:bidi w:val="0"/>
        <w:spacing w:lineRule="auto" w:line="276" w:before="0" w:after="200"/>
        <w:ind w:firstLine="340" w:left="397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>Envolvimento da </w:t>
      </w:r>
      <w:r>
        <w:rPr>
          <w:rStyle w:val="Strong"/>
          <w:rFonts w:ascii="Arial" w:hAnsi="Arial"/>
          <w:b w:val="false"/>
          <w:bCs w:val="false"/>
          <w:sz w:val="24"/>
          <w:szCs w:val="24"/>
        </w:rPr>
        <w:t>Secretaria de Turismo e Cultura</w:t>
      </w:r>
      <w:r>
        <w:rPr>
          <w:rFonts w:ascii="Arial" w:hAnsi="Arial"/>
          <w:b w:val="false"/>
          <w:bCs w:val="false"/>
          <w:sz w:val="24"/>
          <w:szCs w:val="24"/>
        </w:rPr>
        <w:t> para promover atividades que valorizem a cultura e o meio ambiente;</w:t>
      </w:r>
    </w:p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0" w:leader="none"/>
        </w:tabs>
        <w:suppressAutoHyphens w:val="true"/>
        <w:bidi w:val="0"/>
        <w:spacing w:lineRule="auto" w:line="276" w:before="0" w:after="200"/>
        <w:ind w:firstLine="340" w:left="397" w:right="0"/>
        <w:jc w:val="both"/>
        <w:rPr/>
      </w:pPr>
      <w:r>
        <w:rPr>
          <w:rStyle w:val="Strong"/>
          <w:rFonts w:ascii="Arial" w:hAnsi="Arial"/>
          <w:b w:val="false"/>
          <w:bCs w:val="false"/>
          <w:sz w:val="24"/>
          <w:szCs w:val="24"/>
        </w:rPr>
        <w:t>Divulgação do Parque</w:t>
      </w:r>
      <w:r>
        <w:rPr>
          <w:rFonts w:ascii="Arial" w:hAnsi="Arial"/>
          <w:b w:val="false"/>
          <w:bCs w:val="false"/>
          <w:sz w:val="24"/>
          <w:szCs w:val="24"/>
        </w:rPr>
        <w:t> para incentivar a visitação;</w:t>
      </w:r>
    </w:p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0" w:leader="none"/>
        </w:tabs>
        <w:suppressAutoHyphens w:val="true"/>
        <w:bidi w:val="0"/>
        <w:spacing w:lineRule="auto" w:line="276" w:before="0" w:after="200"/>
        <w:ind w:firstLine="340" w:left="397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>Realização de </w:t>
      </w:r>
      <w:r>
        <w:rPr>
          <w:rStyle w:val="Strong"/>
          <w:rFonts w:ascii="Arial" w:hAnsi="Arial"/>
          <w:b w:val="false"/>
          <w:bCs w:val="false"/>
          <w:sz w:val="24"/>
          <w:szCs w:val="24"/>
        </w:rPr>
        <w:t>pesquisas científicas</w:t>
      </w:r>
      <w:r>
        <w:rPr>
          <w:rFonts w:ascii="Arial" w:hAnsi="Arial"/>
          <w:b w:val="false"/>
          <w:bCs w:val="false"/>
          <w:sz w:val="24"/>
          <w:szCs w:val="24"/>
        </w:rPr>
        <w:t>, incluindo visitas a faculdades para enriquecer os estudos no Parque;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76" w:before="0" w:after="200"/>
        <w:ind w:hanging="0" w:left="397" w:right="0"/>
        <w:jc w:val="both"/>
        <w:rPr>
          <w:rStyle w:val="Strong"/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76" w:before="0" w:after="200"/>
        <w:ind w:hanging="0" w:left="397" w:right="0"/>
        <w:jc w:val="both"/>
        <w:rPr>
          <w:rStyle w:val="Strong"/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0" w:leader="none"/>
        </w:tabs>
        <w:suppressAutoHyphens w:val="true"/>
        <w:bidi w:val="0"/>
        <w:spacing w:lineRule="auto" w:line="276" w:before="0" w:after="200"/>
        <w:ind w:firstLine="340" w:left="397" w:right="0"/>
        <w:jc w:val="both"/>
        <w:rPr/>
      </w:pPr>
      <w:r>
        <w:rPr>
          <w:rStyle w:val="Strong"/>
          <w:rFonts w:ascii="Arial" w:hAnsi="Arial"/>
          <w:b w:val="false"/>
          <w:bCs w:val="false"/>
          <w:sz w:val="24"/>
          <w:szCs w:val="24"/>
        </w:rPr>
        <w:t>Monitoramento, coleta de sementes e análise da vegetação</w:t>
      </w:r>
      <w:r>
        <w:rPr>
          <w:rFonts w:ascii="Arial" w:hAnsi="Arial"/>
          <w:b w:val="false"/>
          <w:bCs w:val="false"/>
          <w:sz w:val="24"/>
          <w:szCs w:val="24"/>
        </w:rPr>
        <w:t> (nativa e exótica, como a espécie de Pinus);</w:t>
      </w:r>
    </w:p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0" w:leader="none"/>
        </w:tabs>
        <w:suppressAutoHyphens w:val="true"/>
        <w:bidi w:val="0"/>
        <w:spacing w:lineRule="auto" w:line="276" w:before="0" w:after="200"/>
        <w:ind w:firstLine="340" w:left="397" w:right="0"/>
        <w:jc w:val="both"/>
        <w:rPr/>
      </w:pPr>
      <w:r>
        <w:rPr>
          <w:rStyle w:val="Strong"/>
          <w:rFonts w:ascii="Arial" w:hAnsi="Arial"/>
          <w:b w:val="false"/>
          <w:bCs w:val="false"/>
          <w:sz w:val="24"/>
          <w:szCs w:val="24"/>
        </w:rPr>
        <w:t>Registro digital</w:t>
      </w:r>
      <w:r>
        <w:rPr>
          <w:rFonts w:ascii="Arial" w:hAnsi="Arial"/>
          <w:b w:val="false"/>
          <w:bCs w:val="false"/>
          <w:sz w:val="24"/>
          <w:szCs w:val="24"/>
        </w:rPr>
        <w:t> das sementes coletadas no Parque.</w:t>
      </w:r>
    </w:p>
    <w:p>
      <w:pPr>
        <w:pStyle w:val="Normal"/>
        <w:jc w:val="both"/>
        <w:rPr/>
      </w:pPr>
      <w:r>
        <w:rPr>
          <w:rStyle w:val="Strong"/>
          <w:rFonts w:ascii="Arial" w:hAnsi="Arial"/>
          <w:b/>
          <w:bCs/>
          <w:sz w:val="24"/>
          <w:szCs w:val="24"/>
        </w:rPr>
        <w:t>BALANÇO DE VISITAÇÃO E METAS</w:t>
      </w:r>
    </w:p>
    <w:p>
      <w:pPr>
        <w:pStyle w:val="Normal"/>
        <w:numPr>
          <w:ilvl w:val="0"/>
          <w:numId w:val="0"/>
        </w:numPr>
        <w:ind w:hanging="0" w:left="397" w:right="0"/>
        <w:jc w:val="both"/>
        <w:rPr/>
      </w:pPr>
      <w:r>
        <w:rPr>
          <w:rStyle w:val="Strong"/>
          <w:rFonts w:ascii="Arial" w:hAnsi="Arial"/>
          <w:sz w:val="24"/>
          <w:szCs w:val="24"/>
        </w:rPr>
        <w:t>Números de Visitas (Recentes):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0" w:leader="none"/>
        </w:tabs>
        <w:ind w:firstLine="340" w:left="397" w:right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Visitas Turísticas: 42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0" w:leader="none"/>
        </w:tabs>
        <w:ind w:firstLine="340" w:left="397" w:right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Escolas: 25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0" w:leader="none"/>
        </w:tabs>
        <w:ind w:firstLine="340" w:left="397" w:right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Grupos de Turismo: 9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0" w:leader="none"/>
        </w:tabs>
        <w:ind w:firstLine="340" w:left="397" w:right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Avistamento de Aves: 1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0" w:leader="none"/>
        </w:tabs>
        <w:ind w:firstLine="340" w:left="397" w:right="0"/>
        <w:jc w:val="both"/>
        <w:rPr/>
      </w:pPr>
      <w:r>
        <w:rPr>
          <w:rStyle w:val="Strong"/>
          <w:rFonts w:ascii="Arial" w:hAnsi="Arial"/>
          <w:sz w:val="24"/>
          <w:szCs w:val="24"/>
        </w:rPr>
        <w:t>Total: 87 pessoas</w:t>
      </w:r>
    </w:p>
    <w:p>
      <w:pPr>
        <w:pStyle w:val="Normal"/>
        <w:spacing w:before="0" w:after="0"/>
        <w:ind w:firstLine="340" w:left="0" w:right="0"/>
        <w:jc w:val="both"/>
        <w:rPr/>
      </w:pPr>
      <w:r>
        <w:rPr>
          <w:rStyle w:val="Strong"/>
          <w:rFonts w:ascii="Arial" w:hAnsi="Arial"/>
          <w:b w:val="false"/>
          <w:bCs w:val="false"/>
          <w:sz w:val="24"/>
          <w:szCs w:val="24"/>
        </w:rPr>
        <w:t>Visitas Agendadas:</w:t>
      </w:r>
      <w:r>
        <w:rPr>
          <w:rFonts w:ascii="Arial" w:hAnsi="Arial"/>
          <w:b w:val="false"/>
          <w:bCs w:val="false"/>
          <w:sz w:val="24"/>
          <w:szCs w:val="24"/>
        </w:rPr>
        <w:t> 750 (incluindo grupos de escolas, turismo e atividades de guia condutor).</w:t>
      </w:r>
    </w:p>
    <w:p>
      <w:pPr>
        <w:pStyle w:val="Normal"/>
        <w:spacing w:before="0" w:after="0"/>
        <w:ind w:firstLine="340" w:left="0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Foi comentado que as metas sofreram mudanças em relação ao contrato anterior, com possibilidades de aumento de visitação, visando tornar o Parque Municipal, um patrimônio.</w:t>
      </w:r>
    </w:p>
    <w:p>
      <w:pPr>
        <w:pStyle w:val="Normal"/>
        <w:spacing w:before="0" w:after="0"/>
        <w:ind w:firstLine="340" w:left="0" w:right="0"/>
        <w:jc w:val="both"/>
        <w:rPr/>
      </w:pPr>
      <w:r>
        <w:rPr>
          <w:rStyle w:val="Strong"/>
          <w:rFonts w:ascii="Arial" w:hAnsi="Arial"/>
          <w:b w:val="false"/>
          <w:bCs w:val="false"/>
          <w:sz w:val="24"/>
          <w:szCs w:val="24"/>
        </w:rPr>
        <w:t>Daniel,</w:t>
      </w:r>
      <w:r>
        <w:rPr>
          <w:rFonts w:ascii="Arial" w:hAnsi="Arial"/>
          <w:b w:val="false"/>
          <w:bCs w:val="false"/>
          <w:sz w:val="24"/>
          <w:szCs w:val="24"/>
        </w:rPr>
        <w:t> sugeriu que o </w:t>
      </w:r>
      <w:r>
        <w:rPr>
          <w:rStyle w:val="Strong"/>
          <w:rFonts w:ascii="Arial" w:hAnsi="Arial"/>
          <w:b w:val="false"/>
          <w:bCs w:val="false"/>
          <w:sz w:val="24"/>
          <w:szCs w:val="24"/>
        </w:rPr>
        <w:t>COMDEMA</w:t>
      </w:r>
      <w:r>
        <w:rPr>
          <w:rFonts w:ascii="Arial" w:hAnsi="Arial"/>
          <w:b w:val="false"/>
          <w:bCs w:val="false"/>
          <w:sz w:val="24"/>
          <w:szCs w:val="24"/>
        </w:rPr>
        <w:t> seja apresentado a um cronograma detalhado com os objetivos das metas. Sugeriu também a realização de uma reunião extraordinária para apresentação e arguição do Plano de Trabalho antes da apresentação formal ao COMDEMA.</w:t>
      </w:r>
    </w:p>
    <w:p>
      <w:pPr>
        <w:pStyle w:val="Normal"/>
        <w:spacing w:before="0" w:after="0"/>
        <w:ind w:firstLine="340" w:left="0" w:right="0"/>
        <w:jc w:val="both"/>
        <w:rPr/>
      </w:pPr>
      <w:r>
        <w:rPr>
          <w:rStyle w:val="Strong"/>
          <w:rFonts w:ascii="Arial" w:hAnsi="Arial"/>
          <w:b w:val="false"/>
          <w:bCs w:val="false"/>
          <w:sz w:val="24"/>
          <w:szCs w:val="24"/>
        </w:rPr>
        <w:t>Gabriel,</w:t>
      </w:r>
      <w:r>
        <w:rPr>
          <w:rFonts w:ascii="Arial" w:hAnsi="Arial"/>
          <w:b w:val="false"/>
          <w:bCs w:val="false"/>
          <w:sz w:val="24"/>
          <w:szCs w:val="24"/>
        </w:rPr>
        <w:t> pontuou que o acompanhamento pelo COMDEMA deve ser contínuo, não se restringindo a apresentações no início e no final dos contratos.</w:t>
      </w:r>
    </w:p>
    <w:p>
      <w:pPr>
        <w:pStyle w:val="Normal"/>
        <w:spacing w:before="0" w:after="0"/>
        <w:ind w:firstLine="340" w:left="0" w:right="0"/>
        <w:jc w:val="both"/>
        <w:rPr/>
      </w:pPr>
      <w:r>
        <w:rPr>
          <w:rStyle w:val="Strong"/>
          <w:rFonts w:ascii="Arial" w:hAnsi="Arial"/>
          <w:b w:val="false"/>
          <w:bCs w:val="false"/>
          <w:sz w:val="24"/>
          <w:szCs w:val="24"/>
        </w:rPr>
        <w:t>Mateus Queiroz,</w:t>
      </w:r>
      <w:r>
        <w:rPr>
          <w:rFonts w:ascii="Arial" w:hAnsi="Arial"/>
          <w:b w:val="false"/>
          <w:bCs w:val="false"/>
          <w:sz w:val="24"/>
          <w:szCs w:val="24"/>
        </w:rPr>
        <w:t> apresentou propostas de mapas para entrega ao público. Foram mostrados modelos com informações de cada atrativo, fotos e localização. Foi destacado que a Capela, por ser uma área particular, deve ser tratada como um ponto de interesse, mas com as ressalvas cabíveis.</w:t>
      </w:r>
    </w:p>
    <w:p>
      <w:pPr>
        <w:pStyle w:val="Normal"/>
        <w:spacing w:before="0" w:after="0"/>
        <w:ind w:firstLine="340" w:left="0" w:right="0"/>
        <w:jc w:val="both"/>
        <w:rPr/>
      </w:pPr>
      <w:r>
        <w:rPr>
          <w:rStyle w:val="Strong"/>
          <w:rFonts w:ascii="Arial" w:hAnsi="Arial"/>
          <w:b w:val="false"/>
          <w:bCs w:val="false"/>
          <w:sz w:val="24"/>
          <w:szCs w:val="24"/>
        </w:rPr>
        <w:t>Daniel</w:t>
      </w:r>
      <w:r>
        <w:rPr>
          <w:rFonts w:ascii="Arial" w:hAnsi="Arial"/>
          <w:b w:val="false"/>
          <w:bCs w:val="false"/>
          <w:sz w:val="24"/>
          <w:szCs w:val="24"/>
        </w:rPr>
        <w:t> sugeriu que os mapas incluam o </w:t>
      </w:r>
      <w:r>
        <w:rPr>
          <w:rStyle w:val="Strong"/>
          <w:rFonts w:ascii="Arial" w:hAnsi="Arial"/>
          <w:b w:val="false"/>
          <w:bCs w:val="false"/>
          <w:sz w:val="24"/>
          <w:szCs w:val="24"/>
        </w:rPr>
        <w:t>zoneamento</w:t>
      </w:r>
      <w:r>
        <w:rPr>
          <w:rFonts w:ascii="Arial" w:hAnsi="Arial"/>
          <w:b w:val="false"/>
          <w:bCs w:val="false"/>
          <w:sz w:val="24"/>
          <w:szCs w:val="24"/>
        </w:rPr>
        <w:t> do Parque (com áreas de uso extensivo e intensivo).</w:t>
      </w:r>
    </w:p>
    <w:p>
      <w:pPr>
        <w:pStyle w:val="Normal"/>
        <w:spacing w:before="0" w:after="0"/>
        <w:ind w:firstLine="340" w:left="0" w:right="0"/>
        <w:jc w:val="both"/>
        <w:rPr/>
      </w:pPr>
      <w:r>
        <w:rPr>
          <w:rFonts w:ascii="Arial" w:hAnsi="Arial"/>
          <w:b w:val="false"/>
          <w:bCs w:val="false"/>
          <w:sz w:val="24"/>
          <w:szCs w:val="24"/>
        </w:rPr>
        <w:t>A reunião foi encerrada por </w:t>
      </w:r>
      <w:r>
        <w:rPr>
          <w:rStyle w:val="Strong"/>
          <w:rFonts w:ascii="Arial" w:hAnsi="Arial"/>
          <w:b w:val="false"/>
          <w:bCs w:val="false"/>
          <w:sz w:val="24"/>
          <w:szCs w:val="24"/>
        </w:rPr>
        <w:t>Karina</w:t>
      </w:r>
      <w:r>
        <w:rPr>
          <w:rFonts w:ascii="Arial" w:hAnsi="Arial"/>
          <w:b w:val="false"/>
          <w:bCs w:val="false"/>
          <w:sz w:val="24"/>
          <w:szCs w:val="24"/>
        </w:rPr>
        <w:t xml:space="preserve"> às </w:t>
      </w:r>
      <w:r>
        <w:rPr>
          <w:rFonts w:ascii="Arial" w:hAnsi="Arial"/>
          <w:b w:val="false"/>
          <w:bCs w:val="false"/>
          <w:sz w:val="24"/>
          <w:szCs w:val="24"/>
        </w:rPr>
        <w:t>11</w:t>
      </w:r>
      <w:r>
        <w:rPr>
          <w:rFonts w:ascii="Arial" w:hAnsi="Arial"/>
          <w:b w:val="false"/>
          <w:bCs w:val="false"/>
          <w:sz w:val="24"/>
          <w:szCs w:val="24"/>
        </w:rPr>
        <w:t xml:space="preserve"> horas e 50 minutos. </w:t>
      </w:r>
    </w:p>
    <w:p>
      <w:pPr>
        <w:pStyle w:val="Normal"/>
        <w:spacing w:before="0" w:after="0"/>
        <w:ind w:firstLine="340" w:left="0" w:right="0"/>
        <w:jc w:val="both"/>
        <w:rPr>
          <w:rFonts w:ascii="Arial" w:hAnsi="Arial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340" w:left="0" w:right="0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BodyText"/>
        <w:spacing w:lineRule="auto" w:line="240" w:before="0" w:after="0"/>
        <w:jc w:val="both"/>
        <w:rPr/>
      </w:pPr>
      <w:r>
        <w:rPr>
          <w:rFonts w:cs="Times New Roman" w:ascii="Arial" w:hAnsi="Arial"/>
          <w:i/>
          <w:iCs/>
          <w:color w:val="000000"/>
          <w:sz w:val="22"/>
          <w:szCs w:val="22"/>
          <w:lang w:val="pt-BR"/>
        </w:rPr>
        <w:tab/>
        <w:t>Karina Yuri Suzuki Barsotti</w:t>
      </w:r>
      <w:r>
        <w:rPr>
          <w:rFonts w:cs="Times New Roman" w:ascii="Arial" w:hAnsi="Arial"/>
          <w:i/>
          <w:iCs/>
          <w:color w:val="000000"/>
          <w:sz w:val="22"/>
          <w:szCs w:val="22"/>
        </w:rPr>
        <w:t xml:space="preserve">                                           </w:t>
        <w:tab/>
        <w:t xml:space="preserve">       </w:t>
      </w:r>
      <w:r>
        <w:rPr>
          <w:rStyle w:val="Strong"/>
          <w:rFonts w:cs="Times New Roman" w:ascii="Arial" w:hAnsi="Arial"/>
          <w:b w:val="false"/>
          <w:i/>
          <w:iCs/>
          <w:color w:val="000000"/>
          <w:sz w:val="22"/>
          <w:szCs w:val="22"/>
          <w:lang w:val="pt-BR"/>
        </w:rPr>
        <w:t>Dan Wirgues</w:t>
      </w:r>
    </w:p>
    <w:p>
      <w:pPr>
        <w:pStyle w:val="BodyText"/>
        <w:spacing w:lineRule="auto" w:line="240" w:before="0" w:after="0"/>
        <w:jc w:val="both"/>
        <w:rPr/>
      </w:pPr>
      <w:r>
        <w:rPr>
          <w:rStyle w:val="Strong"/>
          <w:rFonts w:eastAsia="SimSun;宋体" w:cs="Times New Roman" w:ascii="Arial" w:hAnsi="Arial"/>
          <w:b w:val="false"/>
          <w:i/>
          <w:iCs/>
          <w:color w:val="000000"/>
          <w:sz w:val="22"/>
          <w:szCs w:val="22"/>
          <w:lang w:val="pt-BR"/>
        </w:rPr>
        <w:tab/>
        <w:t xml:space="preserve">          </w:t>
      </w:r>
      <w:r>
        <w:rPr>
          <w:rStyle w:val="Strong"/>
          <w:rFonts w:eastAsia="SimSun;宋体" w:cs="Times New Roman" w:ascii="Arial" w:hAnsi="Arial"/>
          <w:b w:val="false"/>
          <w:i/>
          <w:iCs/>
          <w:color w:val="000000"/>
          <w:sz w:val="22"/>
          <w:szCs w:val="22"/>
        </w:rPr>
        <w:t xml:space="preserve">Presidente                                                                </w:t>
      </w:r>
      <w:r>
        <w:rPr>
          <w:rStyle w:val="Strong"/>
          <w:rFonts w:eastAsia="SimSun;宋体" w:cs="Times New Roman" w:ascii="Arial" w:hAnsi="Arial"/>
          <w:b w:val="false"/>
          <w:i/>
          <w:iCs/>
          <w:color w:val="000000"/>
          <w:sz w:val="22"/>
          <w:szCs w:val="22"/>
          <w:lang w:val="pt-BR"/>
        </w:rPr>
        <w:t xml:space="preserve">   </w:t>
      </w:r>
      <w:r>
        <w:rPr>
          <w:rStyle w:val="Strong"/>
          <w:rFonts w:eastAsia="SimSun;宋体" w:cs="Times New Roman" w:ascii="Arial" w:hAnsi="Arial"/>
          <w:b w:val="false"/>
          <w:i/>
          <w:iCs/>
          <w:color w:val="000000"/>
          <w:sz w:val="22"/>
          <w:szCs w:val="22"/>
        </w:rPr>
        <w:t>Secretário Executivo</w:t>
      </w:r>
    </w:p>
    <w:p>
      <w:pPr>
        <w:pStyle w:val="BodyText"/>
        <w:spacing w:lineRule="auto" w:line="240" w:before="0" w:after="0"/>
        <w:jc w:val="both"/>
        <w:rPr>
          <w:rFonts w:ascii="Arial" w:hAnsi="Arial" w:eastAsia="SimSun;宋体" w:cs="Times New Roman"/>
          <w:b w:val="false"/>
          <w:i/>
          <w:i/>
          <w:iCs/>
          <w:color w:val="000000"/>
          <w:sz w:val="22"/>
          <w:szCs w:val="22"/>
        </w:rPr>
      </w:pPr>
      <w:r>
        <w:rPr>
          <w:rFonts w:eastAsia="SimSun;宋体" w:cs="Times New Roman" w:ascii="Arial" w:hAnsi="Arial"/>
          <w:b w:val="false"/>
          <w:i/>
          <w:iCs/>
          <w:color w:val="000000"/>
          <w:sz w:val="22"/>
          <w:szCs w:val="22"/>
        </w:rPr>
      </w:r>
    </w:p>
    <w:p>
      <w:pPr>
        <w:pStyle w:val="BodyText"/>
        <w:spacing w:lineRule="auto" w:line="240" w:before="0" w:after="0"/>
        <w:jc w:val="both"/>
        <w:rPr>
          <w:rFonts w:ascii="Arial" w:hAnsi="Arial" w:eastAsia="SimSun;宋体" w:cs="Times New Roman"/>
          <w:b w:val="false"/>
          <w:i/>
          <w:i/>
          <w:iCs/>
          <w:color w:val="000000"/>
          <w:sz w:val="22"/>
          <w:szCs w:val="22"/>
        </w:rPr>
      </w:pPr>
      <w:r>
        <w:rPr>
          <w:rFonts w:eastAsia="SimSun;宋体" w:cs="Times New Roman" w:ascii="Arial" w:hAnsi="Arial"/>
          <w:b w:val="false"/>
          <w:i/>
          <w:iCs/>
          <w:color w:val="000000"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1134" w:top="1923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column">
            <wp:posOffset>2238375</wp:posOffset>
          </wp:positionH>
          <wp:positionV relativeFrom="paragraph">
            <wp:posOffset>-568960</wp:posOffset>
          </wp:positionV>
          <wp:extent cx="1419225" cy="1123950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1123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2238375</wp:posOffset>
          </wp:positionH>
          <wp:positionV relativeFrom="paragraph">
            <wp:posOffset>-568960</wp:posOffset>
          </wp:positionV>
          <wp:extent cx="1419225" cy="1123950"/>
          <wp:effectExtent l="0" t="0" r="0" b="0"/>
          <wp:wrapSquare wrapText="largest"/>
          <wp:docPr id="2" name="Figura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3122" t="36542" r="33299" b="16137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1123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2238375</wp:posOffset>
          </wp:positionH>
          <wp:positionV relativeFrom="paragraph">
            <wp:posOffset>-568960</wp:posOffset>
          </wp:positionV>
          <wp:extent cx="1419225" cy="1123950"/>
          <wp:effectExtent l="0" t="0" r="0" b="0"/>
          <wp:wrapSquare wrapText="largest"/>
          <wp:docPr id="3" name="Figura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3122" t="36542" r="33299" b="16137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1123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70"/>
        </w:tabs>
        <w:ind w:left="147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30"/>
        </w:tabs>
        <w:ind w:left="183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90"/>
        </w:tabs>
        <w:ind w:left="219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50"/>
        </w:tabs>
        <w:ind w:left="255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10"/>
        </w:tabs>
        <w:ind w:left="291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30"/>
        </w:tabs>
        <w:ind w:left="363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90"/>
        </w:tabs>
        <w:ind w:left="399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ExpandShiftReturn/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 w:semiHidden="0" w:qFormat="1"/>
    <w:lsdException w:name="header" w:uiPriority="0" w:semiHidden="0" w:unhideWhenUsed="0" w:qFormat="1"/>
    <w:lsdException w:name="footer" w:uiPriority="99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 w:semiHidden="0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 w:qFormat="1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0" w:semiHidden="0" w:unhideWhenUsed="0" w:qFormat="1"/>
    <w:lsdException w:name="Closing" w:uiPriority="99"/>
    <w:lsdException w:name="Signature" w:uiPriority="99"/>
    <w:lsdException w:name="Default Paragraph Font" w:uiPriority="1" w:semiHidden="0" w:qFormat="1"/>
    <w:lsdException w:name="Body Text" w:uiPriority="0" w:semiHidden="0" w:unhideWhenUsed="0" w:qFormat="1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 w:semiHidden="0" w:qFormat="1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semiHidden="0" w:qFormat="1"/>
    <w:lsdException w:name="annotation subject" w:uiPriority="99" w:semiHidden="0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 w:semiHidden="0" w:qFormat="1"/>
    <w:lsdException w:name="Table Grid" w:uiPriority="59" w:semiHidden="0" w:unhideWhenUsed="0"/>
    <w:lsdException w:name="Table Theme" w:uiPriority="99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rong" w:customStyle="1">
    <w:name w:val="Strong"/>
    <w:uiPriority w:val="0"/>
    <w:qFormat/>
    <w:rPr>
      <w:b/>
      <w:bCs/>
    </w:rPr>
  </w:style>
  <w:style w:type="character" w:styleId="annotation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InternetLink" w:customStyle="1">
    <w:name w:val="Internet Link"/>
    <w:uiPriority w:val="0"/>
    <w:qFormat/>
    <w:rPr>
      <w:color w:val="000080"/>
      <w:u w:val="single"/>
      <w:lang w:val="zh-CN" w:eastAsia="zh-CN" w:bidi="zh-CN"/>
    </w:rPr>
  </w:style>
  <w:style w:type="character" w:styleId="TextodecomentrioChar" w:customStyle="1">
    <w:name w:val="Texto de comentário Char"/>
    <w:basedOn w:val="DefaultParagraphFont"/>
    <w:uiPriority w:val="99"/>
    <w:semiHidden/>
    <w:qFormat/>
    <w:rPr>
      <w:szCs w:val="20"/>
    </w:rPr>
  </w:style>
  <w:style w:type="character" w:styleId="AssuntodocomentrioChar" w:customStyle="1">
    <w:name w:val="Assunto do comentário Char"/>
    <w:basedOn w:val="TextodecomentrioChar"/>
    <w:uiPriority w:val="99"/>
    <w:semiHidden/>
    <w:qFormat/>
    <w:rPr>
      <w:b/>
      <w:bCs/>
      <w:szCs w:val="20"/>
    </w:rPr>
  </w:style>
  <w:style w:type="character" w:styleId="TextodebaloChar" w:customStyle="1">
    <w:name w:val="Texto de balão Char"/>
    <w:basedOn w:val="DefaultParagraphFont"/>
    <w:uiPriority w:val="99"/>
    <w:semiHidden/>
    <w:qFormat/>
    <w:rPr>
      <w:rFonts w:ascii="Segoe UI" w:hAnsi="Segoe UI" w:cs="Segoe UI"/>
      <w:sz w:val="18"/>
      <w:szCs w:val="18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Smbolosdenumerao">
    <w:name w:val="Símbolos de numeração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0"/>
    <w:qFormat/>
    <w:pPr>
      <w:spacing w:before="0" w:after="140"/>
    </w:pPr>
    <w:rPr/>
  </w:style>
  <w:style w:type="paragraph" w:styleId="List">
    <w:name w:val="List"/>
    <w:basedOn w:val="BodyText"/>
    <w:uiPriority w:val="0"/>
    <w:qFormat/>
    <w:pPr/>
    <w:rPr>
      <w:rFonts w:cs="Arial"/>
    </w:rPr>
  </w:style>
  <w:style w:type="paragraph" w:styleId="Caption">
    <w:name w:val="Caption"/>
    <w:basedOn w:val="Normal"/>
    <w:uiPriority w:val="0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uiPriority w:val="0"/>
    <w:qFormat/>
    <w:pPr>
      <w:suppressLineNumbers/>
    </w:pPr>
    <w:rPr>
      <w:rFonts w:cs="Arial"/>
    </w:rPr>
  </w:style>
  <w:style w:type="paragraph" w:styleId="AnnotationText">
    <w:name w:val="Annotation Text"/>
    <w:basedOn w:val="Normal"/>
    <w:uiPriority w:val="99"/>
    <w:unhideWhenUsed/>
    <w:qFormat/>
    <w:pPr>
      <w:spacing w:lineRule="auto" w:line="240"/>
    </w:pPr>
    <w:rPr>
      <w:sz w:val="20"/>
      <w:szCs w:val="20"/>
    </w:rPr>
  </w:style>
  <w:style w:type="paragraph" w:styleId="Title">
    <w:name w:val="Title"/>
    <w:basedOn w:val="Normal"/>
    <w:uiPriority w:val="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Cabealhoerodap6">
    <w:name w:val="Cabeçalho e rodapé6"/>
    <w:basedOn w:val="Normal"/>
    <w:qFormat/>
    <w:pPr/>
    <w:rPr/>
  </w:style>
  <w:style w:type="paragraph" w:styleId="Header">
    <w:name w:val="Header"/>
    <w:basedOn w:val="Normal"/>
    <w:uiPriority w:val="0"/>
    <w:qFormat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annotationsubject">
    <w:name w:val="annotation subject"/>
    <w:basedOn w:val="AnnotationText"/>
    <w:uiPriority w:val="99"/>
    <w:unhideWhenUsed/>
    <w:qFormat/>
    <w:pPr/>
    <w:rPr>
      <w:b/>
      <w:bCs/>
    </w:rPr>
  </w:style>
  <w:style w:type="paragraph" w:styleId="BalloonText">
    <w:name w:val="Balloon Text"/>
    <w:basedOn w:val="Normal"/>
    <w:uiPriority w:val="99"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tulo1" w:customStyle="1">
    <w:name w:val="Título1"/>
    <w:basedOn w:val="Normal"/>
    <w:uiPriority w:val="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table" w:default="1" w:styleId="14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Application>LibreOffice/24.2.5.2$Windows_X86_64 LibreOffice_project/bffef4ea93e59bebbeaf7f431bb02b1a39ee8a59</Application>
  <AppVersion>15.0000</AppVersion>
  <Pages>4</Pages>
  <Words>1160</Words>
  <Characters>6479</Characters>
  <CharactersWithSpaces>7701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2020-07-08T00:33:00Z</dcterms:created>
  <dc:creator>user</dc:creator>
  <dc:description/>
  <dc:language>pt-BR</dc:language>
  <cp:lastModifiedBy/>
  <cp:lastPrinted>2025-12-17T09:41:34Z</cp:lastPrinted>
  <dcterms:modified xsi:type="dcterms:W3CDTF">2025-12-17T09:41:38Z</dcterms:modified>
  <cp:revision>137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KSOProductBuildVer">
    <vt:lpwstr>1046-10.1.0.5656</vt:lpwstr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