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23AF3" w14:textId="77777777" w:rsidR="00B64E67" w:rsidRDefault="00B64E67" w:rsidP="00D974EE">
      <w:pPr>
        <w:jc w:val="center"/>
        <w:rPr>
          <w:rFonts w:ascii="Arial" w:eastAsia="Calibri" w:hAnsi="Arial" w:cs="Arial"/>
          <w:b/>
          <w:sz w:val="26"/>
          <w:szCs w:val="26"/>
          <w:u w:val="single"/>
        </w:rPr>
      </w:pPr>
    </w:p>
    <w:p w14:paraId="7EA38DB8" w14:textId="77777777" w:rsidR="00B64E67" w:rsidRDefault="00B64E67" w:rsidP="00D974EE">
      <w:pPr>
        <w:jc w:val="center"/>
        <w:rPr>
          <w:rFonts w:ascii="Arial" w:eastAsia="Calibri" w:hAnsi="Arial" w:cs="Arial"/>
          <w:b/>
          <w:sz w:val="26"/>
          <w:szCs w:val="26"/>
          <w:u w:val="single"/>
        </w:rPr>
      </w:pPr>
    </w:p>
    <w:p w14:paraId="06761F51" w14:textId="6C7C7BBA" w:rsidR="00D974EE" w:rsidRDefault="00D974EE" w:rsidP="00D974EE">
      <w:pPr>
        <w:jc w:val="center"/>
        <w:rPr>
          <w:rFonts w:ascii="Arial" w:eastAsia="Calibri" w:hAnsi="Arial" w:cs="Arial"/>
          <w:b/>
          <w:sz w:val="26"/>
          <w:szCs w:val="26"/>
          <w:u w:val="single"/>
        </w:rPr>
      </w:pPr>
      <w:r w:rsidRPr="00433978">
        <w:rPr>
          <w:rFonts w:ascii="Arial" w:eastAsia="Calibri" w:hAnsi="Arial" w:cs="Arial"/>
          <w:b/>
          <w:sz w:val="26"/>
          <w:szCs w:val="26"/>
          <w:u w:val="single"/>
        </w:rPr>
        <w:t>MAPA DE RISCOS</w:t>
      </w:r>
    </w:p>
    <w:p w14:paraId="608AE9CF" w14:textId="77777777" w:rsidR="00B64E67" w:rsidRPr="00433978" w:rsidRDefault="00B64E67" w:rsidP="00D974EE">
      <w:pPr>
        <w:jc w:val="center"/>
        <w:rPr>
          <w:rFonts w:ascii="Arial" w:eastAsia="Calibri" w:hAnsi="Arial" w:cs="Arial"/>
          <w:sz w:val="24"/>
          <w:szCs w:val="24"/>
          <w:u w:val="single"/>
        </w:rPr>
      </w:pPr>
    </w:p>
    <w:p w14:paraId="7C9C280F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0DB9CC27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433978">
        <w:rPr>
          <w:rFonts w:ascii="Arial" w:eastAsia="Calibri" w:hAnsi="Arial" w:cs="Arial"/>
          <w:sz w:val="24"/>
          <w:szCs w:val="24"/>
        </w:rPr>
        <w:t xml:space="preserve">O Mapa de Riscos da presente contratação, recomendado pela </w:t>
      </w:r>
      <w:r>
        <w:rPr>
          <w:rFonts w:ascii="Arial" w:eastAsia="Calibri" w:hAnsi="Arial" w:cs="Arial"/>
          <w:sz w:val="24"/>
          <w:szCs w:val="24"/>
        </w:rPr>
        <w:t>Lei Federal nº 14.133</w:t>
      </w:r>
      <w:r w:rsidRPr="00433978">
        <w:rPr>
          <w:rFonts w:ascii="Arial" w:eastAsia="Calibri" w:hAnsi="Arial" w:cs="Arial"/>
          <w:sz w:val="24"/>
          <w:szCs w:val="24"/>
        </w:rPr>
        <w:t>/2021, onde preconiza:</w:t>
      </w:r>
    </w:p>
    <w:p w14:paraId="2BD99BA8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6354B4E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Art. 103.</w:t>
      </w:r>
      <w:r w:rsidRPr="00D17206">
        <w:rPr>
          <w:rFonts w:ascii="Arial" w:eastAsia="Calibri" w:hAnsi="Arial" w:cs="Arial"/>
        </w:rPr>
        <w:t> O contrato poderá identificar os riscos contratuais previstos e presumíveis e prever matriz de alocação de riscos, alocando-os entre contratante e contratado, mediante indicação daqueles a serem assumidos pelo setor público ou pelo setor privado ou daqueles a serem compartilhados.</w:t>
      </w:r>
    </w:p>
    <w:p w14:paraId="5596CFEB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5B34962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1º</w:t>
      </w:r>
      <w:r w:rsidRPr="00D17206">
        <w:rPr>
          <w:rFonts w:ascii="Arial" w:eastAsia="Calibri" w:hAnsi="Arial" w:cs="Arial"/>
        </w:rPr>
        <w:t> A alocação de riscos de que trata o caput deste artigo considerará, em compatibilidade com as obrigações e os encargos atribuídos às partes no contrato, a natureza do risco, o beneficiário das prestações a que se vincula e a capacidade de cada setor para melhor gerenciá-lo.</w:t>
      </w:r>
    </w:p>
    <w:p w14:paraId="1A12F45E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643583BA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2º</w:t>
      </w:r>
      <w:r w:rsidRPr="00D17206">
        <w:rPr>
          <w:rFonts w:ascii="Arial" w:eastAsia="Calibri" w:hAnsi="Arial" w:cs="Arial"/>
        </w:rPr>
        <w:t> Os riscos que tenham cobertura oferecida por seguradoras serão preferencialmente transferidos ao contratado.</w:t>
      </w:r>
    </w:p>
    <w:p w14:paraId="740B5EA5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733AC53E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3º</w:t>
      </w:r>
      <w:r w:rsidRPr="00D17206">
        <w:rPr>
          <w:rFonts w:ascii="Arial" w:eastAsia="Calibri" w:hAnsi="Arial" w:cs="Arial"/>
        </w:rPr>
        <w:t> A alocação dos riscos contratuais será quantificada para fins de projeção dos reflexos de seus custos no valor estimado da contratação.</w:t>
      </w:r>
    </w:p>
    <w:p w14:paraId="30ADCB8B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6665C41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4º</w:t>
      </w:r>
      <w:r w:rsidRPr="00D17206">
        <w:rPr>
          <w:rFonts w:ascii="Arial" w:eastAsia="Calibri" w:hAnsi="Arial" w:cs="Arial"/>
        </w:rPr>
        <w:t> A matriz de alocação de riscos definirá o equilíbrio econômico-financeiro inicial do contrato em relação a eventos supervenientes e deverá ser observada na solução de eventuais pleitos das partes.</w:t>
      </w:r>
    </w:p>
    <w:p w14:paraId="6FEDEB66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56C9454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5º</w:t>
      </w:r>
      <w:r w:rsidRPr="00D17206">
        <w:rPr>
          <w:rFonts w:ascii="Arial" w:eastAsia="Calibri" w:hAnsi="Arial" w:cs="Arial"/>
        </w:rPr>
        <w:t> Sempre que atendidas as condições do contrato e da matriz de alocação de riscos, será considerado mantido o equilíbrio econômico-financeiro, renunciando as partes aos pedidos de restabelecimento do equilíbrio relacionados aos riscos assumidos, exceto no que se refere:</w:t>
      </w:r>
    </w:p>
    <w:p w14:paraId="01832021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E743BA7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I</w:t>
      </w:r>
      <w:r w:rsidRPr="00D17206">
        <w:rPr>
          <w:rFonts w:ascii="Arial" w:eastAsia="Calibri" w:hAnsi="Arial" w:cs="Arial"/>
        </w:rPr>
        <w:t> - às alterações unilaterais determinadas pela Administração, nas hipóteses do inciso I do caput do art. 124 desta Lei;</w:t>
      </w:r>
    </w:p>
    <w:p w14:paraId="6C2128D8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4F28CE22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II</w:t>
      </w:r>
      <w:r w:rsidRPr="00D17206">
        <w:rPr>
          <w:rFonts w:ascii="Arial" w:eastAsia="Calibri" w:hAnsi="Arial" w:cs="Arial"/>
        </w:rPr>
        <w:t> - ao aumento ou à redução, por legislação superveniente, dos tributos diretamente pagos pelo contratado em decorrência do contrato.</w:t>
      </w:r>
    </w:p>
    <w:p w14:paraId="6B78C08C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27F9EAB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6º</w:t>
      </w:r>
      <w:r w:rsidRPr="00D17206">
        <w:rPr>
          <w:rFonts w:ascii="Arial" w:eastAsia="Calibri" w:hAnsi="Arial" w:cs="Arial"/>
        </w:rPr>
        <w:t> Na alocação de que trata o caput deste artigo, poderão ser adotados métodos e padrões usualmente utilizados por entidades públicas e privadas, e os ministérios e secretarias supervisores dos órgãos e das entidades da Administração Pública poderão definir os parâmetros e o detalhamento dos procedimentos necessários a sua identificação, alocação e quantificação financeira.</w:t>
      </w:r>
    </w:p>
    <w:p w14:paraId="44F6B780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47EA77E0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433978">
        <w:rPr>
          <w:rFonts w:ascii="Arial" w:eastAsia="Calibri" w:hAnsi="Arial" w:cs="Arial"/>
          <w:sz w:val="24"/>
          <w:szCs w:val="24"/>
        </w:rPr>
        <w:t xml:space="preserve">O processo consiste em: identificar os riscos que possam comprometer a efetividade da contratação (em todas as fases: planejamento, seleção de fornecedor e gestão contratual); avaliá-los segundo probabilidade e impacto; tomar ações para diminuir sua probabilidade de ocorrência; e para os riscos que persistem, definir ações de contingência e os responsáveis por tomá-las caso materializem. </w:t>
      </w:r>
    </w:p>
    <w:p w14:paraId="0905A611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E4BDE9B" w14:textId="77777777" w:rsidR="00514373" w:rsidRDefault="00514373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8C09DE9" w14:textId="63D78666" w:rsidR="00D974EE" w:rsidRPr="00D17206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17206">
        <w:rPr>
          <w:rFonts w:ascii="Arial" w:eastAsia="Calibri" w:hAnsi="Arial" w:cs="Arial"/>
          <w:b/>
          <w:bCs/>
          <w:sz w:val="24"/>
          <w:szCs w:val="24"/>
        </w:rPr>
        <w:t>1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-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 xml:space="preserve"> OBJETIVO</w:t>
      </w:r>
    </w:p>
    <w:p w14:paraId="5076D547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40EF73DD" w14:textId="179162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Arial" w:eastAsia="Calibri" w:hAnsi="Arial" w:cs="Arial"/>
          <w:sz w:val="24"/>
          <w:szCs w:val="24"/>
        </w:rPr>
        <w:t>Identificar, avaliar e propor medidas de mitigação para os principais riscos associados à locação de imóvel destinado ao funcionamento d</w:t>
      </w:r>
      <w:r w:rsidR="00514373">
        <w:rPr>
          <w:rFonts w:ascii="Arial" w:eastAsia="Calibri" w:hAnsi="Arial" w:cs="Arial"/>
          <w:sz w:val="24"/>
          <w:szCs w:val="24"/>
        </w:rPr>
        <w:t>a Sede do Consórcio/CONSURGE</w:t>
      </w:r>
      <w:r w:rsidRPr="00D17206">
        <w:rPr>
          <w:rFonts w:ascii="Arial" w:eastAsia="Calibri" w:hAnsi="Arial" w:cs="Arial"/>
          <w:sz w:val="24"/>
          <w:szCs w:val="24"/>
        </w:rPr>
        <w:t>, visando assegurar a continuidade, eficiência e segurança da contratação.</w:t>
      </w:r>
    </w:p>
    <w:p w14:paraId="3D3CB42F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CD9532D" w14:textId="77777777" w:rsidR="00D974EE" w:rsidRPr="00D17206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2 - 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>TABELA – MATRIZ DE RISCOS (P x I)</w:t>
      </w:r>
    </w:p>
    <w:p w14:paraId="1858D8F7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38839A0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433978">
        <w:rPr>
          <w:rFonts w:ascii="Arial" w:eastAsia="Calibri" w:hAnsi="Arial" w:cs="Arial"/>
          <w:sz w:val="24"/>
          <w:szCs w:val="24"/>
        </w:rPr>
        <w:t>Diante disso, segue abaixo mapa de risco para locação do imóvel solicitado:</w:t>
      </w:r>
    </w:p>
    <w:p w14:paraId="3C1763F3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667"/>
        <w:gridCol w:w="1519"/>
        <w:gridCol w:w="1531"/>
        <w:gridCol w:w="214"/>
        <w:gridCol w:w="320"/>
        <w:gridCol w:w="1396"/>
        <w:gridCol w:w="1807"/>
        <w:gridCol w:w="1340"/>
      </w:tblGrid>
      <w:tr w:rsidR="00D974EE" w:rsidRPr="00D17206" w14:paraId="60456F04" w14:textId="77777777" w:rsidTr="002F2C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623D4A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1BD61BD3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RISCO IDENTIFICADO</w:t>
            </w:r>
          </w:p>
        </w:tc>
        <w:tc>
          <w:tcPr>
            <w:tcW w:w="0" w:type="auto"/>
            <w:vAlign w:val="center"/>
            <w:hideMark/>
          </w:tcPr>
          <w:p w14:paraId="7FF61C41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CAUSA PROVÁVEL</w:t>
            </w:r>
          </w:p>
        </w:tc>
        <w:tc>
          <w:tcPr>
            <w:tcW w:w="0" w:type="auto"/>
            <w:vAlign w:val="center"/>
            <w:hideMark/>
          </w:tcPr>
          <w:p w14:paraId="1FA6E912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IMPACTO POTENCIAL</w:t>
            </w:r>
          </w:p>
        </w:tc>
        <w:tc>
          <w:tcPr>
            <w:tcW w:w="0" w:type="auto"/>
            <w:vAlign w:val="center"/>
            <w:hideMark/>
          </w:tcPr>
          <w:p w14:paraId="614809F7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3B32BF0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BA95C8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0" w:type="auto"/>
            <w:vAlign w:val="center"/>
            <w:hideMark/>
          </w:tcPr>
          <w:p w14:paraId="1B502FD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TRATAMENTO / MITIGAÇÃO</w:t>
            </w:r>
          </w:p>
        </w:tc>
        <w:tc>
          <w:tcPr>
            <w:tcW w:w="0" w:type="auto"/>
            <w:vAlign w:val="center"/>
            <w:hideMark/>
          </w:tcPr>
          <w:p w14:paraId="6E4821C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RESPONSÁVEL</w:t>
            </w:r>
          </w:p>
        </w:tc>
      </w:tr>
      <w:tr w:rsidR="00D974EE" w:rsidRPr="00D17206" w14:paraId="28412901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0D97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63DBD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Imóvel inadequado estruturalmente</w:t>
            </w:r>
          </w:p>
        </w:tc>
        <w:tc>
          <w:tcPr>
            <w:tcW w:w="0" w:type="auto"/>
            <w:vAlign w:val="center"/>
            <w:hideMark/>
          </w:tcPr>
          <w:p w14:paraId="60F480C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Vícios ocultos, falta de manutenção</w:t>
            </w:r>
          </w:p>
        </w:tc>
        <w:tc>
          <w:tcPr>
            <w:tcW w:w="0" w:type="auto"/>
            <w:vAlign w:val="center"/>
            <w:hideMark/>
          </w:tcPr>
          <w:p w14:paraId="1EFCE6F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Danos aos materiais, interrupção das atividades</w:t>
            </w:r>
          </w:p>
        </w:tc>
        <w:tc>
          <w:tcPr>
            <w:tcW w:w="0" w:type="auto"/>
            <w:vAlign w:val="center"/>
            <w:hideMark/>
          </w:tcPr>
          <w:p w14:paraId="6735BD64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3AF847D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F7A7D1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291E82E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Vistoria técnica prévia; exigência de condições mínimas no contrato</w:t>
            </w:r>
          </w:p>
        </w:tc>
        <w:tc>
          <w:tcPr>
            <w:tcW w:w="0" w:type="auto"/>
            <w:vAlign w:val="center"/>
            <w:hideMark/>
          </w:tcPr>
          <w:p w14:paraId="128F8DD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CIMDOCE / Locador</w:t>
            </w:r>
          </w:p>
        </w:tc>
      </w:tr>
      <w:tr w:rsidR="00D974EE" w:rsidRPr="00D17206" w14:paraId="79623E4F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ED22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61AE6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Problemas elétricos/hidráulicos</w:t>
            </w:r>
          </w:p>
        </w:tc>
        <w:tc>
          <w:tcPr>
            <w:tcW w:w="0" w:type="auto"/>
            <w:vAlign w:val="center"/>
            <w:hideMark/>
          </w:tcPr>
          <w:p w14:paraId="696CD679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Infraestrutura antiga ou sem manutenção</w:t>
            </w:r>
          </w:p>
        </w:tc>
        <w:tc>
          <w:tcPr>
            <w:tcW w:w="0" w:type="auto"/>
            <w:vAlign w:val="center"/>
            <w:hideMark/>
          </w:tcPr>
          <w:p w14:paraId="0F6CC21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Risco de incêndio, paralisação de atividades</w:t>
            </w:r>
          </w:p>
        </w:tc>
        <w:tc>
          <w:tcPr>
            <w:tcW w:w="0" w:type="auto"/>
            <w:vAlign w:val="center"/>
            <w:hideMark/>
          </w:tcPr>
          <w:p w14:paraId="5A5FAA6D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319F3E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5AF031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1616743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Testes antes da ocupação; cláusula de manutenção obrigatória</w:t>
            </w:r>
          </w:p>
        </w:tc>
        <w:tc>
          <w:tcPr>
            <w:tcW w:w="0" w:type="auto"/>
            <w:vAlign w:val="center"/>
            <w:hideMark/>
          </w:tcPr>
          <w:p w14:paraId="7674C97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Locador</w:t>
            </w:r>
          </w:p>
        </w:tc>
      </w:tr>
      <w:tr w:rsidR="00D974EE" w:rsidRPr="00D17206" w14:paraId="49C09A59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D599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63615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Localização de difícil acesso</w:t>
            </w:r>
          </w:p>
        </w:tc>
        <w:tc>
          <w:tcPr>
            <w:tcW w:w="0" w:type="auto"/>
            <w:vAlign w:val="center"/>
            <w:hideMark/>
          </w:tcPr>
          <w:p w14:paraId="119AB5E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Vias inadequadas, restrições logísticas</w:t>
            </w:r>
          </w:p>
        </w:tc>
        <w:tc>
          <w:tcPr>
            <w:tcW w:w="0" w:type="auto"/>
            <w:vAlign w:val="center"/>
            <w:hideMark/>
          </w:tcPr>
          <w:p w14:paraId="7742251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Atraso na distribuição e abastecimento</w:t>
            </w:r>
          </w:p>
        </w:tc>
        <w:tc>
          <w:tcPr>
            <w:tcW w:w="0" w:type="auto"/>
            <w:vAlign w:val="center"/>
            <w:hideMark/>
          </w:tcPr>
          <w:p w14:paraId="3F956441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133F25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0E506E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0D471CE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Avaliação prévia do entorno e rotas de entrega</w:t>
            </w:r>
          </w:p>
        </w:tc>
        <w:tc>
          <w:tcPr>
            <w:tcW w:w="0" w:type="auto"/>
            <w:vAlign w:val="center"/>
            <w:hideMark/>
          </w:tcPr>
          <w:p w14:paraId="7C2C478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CIMDOCE</w:t>
            </w:r>
          </w:p>
        </w:tc>
      </w:tr>
      <w:tr w:rsidR="00D974EE" w:rsidRPr="00D17206" w14:paraId="4D50E4E5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E2ADC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EF34A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Insegurança patrimonial</w:t>
            </w:r>
          </w:p>
        </w:tc>
        <w:tc>
          <w:tcPr>
            <w:tcW w:w="0" w:type="auto"/>
            <w:vAlign w:val="center"/>
            <w:hideMark/>
          </w:tcPr>
          <w:p w14:paraId="0EC3D8E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Falta de grades, câmeras ou portões adequados</w:t>
            </w:r>
          </w:p>
        </w:tc>
        <w:tc>
          <w:tcPr>
            <w:tcW w:w="0" w:type="auto"/>
            <w:vAlign w:val="center"/>
            <w:hideMark/>
          </w:tcPr>
          <w:p w14:paraId="0A645DB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Furto, invasão, perda de bens</w:t>
            </w:r>
          </w:p>
        </w:tc>
        <w:tc>
          <w:tcPr>
            <w:tcW w:w="0" w:type="auto"/>
            <w:vAlign w:val="center"/>
            <w:hideMark/>
          </w:tcPr>
          <w:p w14:paraId="476C5334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1C0D94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E5CDF32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4BEB6FE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Instalar trancas, câmeras; exigir condições mínimas de segurança</w:t>
            </w:r>
          </w:p>
        </w:tc>
        <w:tc>
          <w:tcPr>
            <w:tcW w:w="0" w:type="auto"/>
            <w:vAlign w:val="center"/>
            <w:hideMark/>
          </w:tcPr>
          <w:p w14:paraId="2231031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CIMDOCE / Locador</w:t>
            </w:r>
          </w:p>
        </w:tc>
      </w:tr>
      <w:tr w:rsidR="00D974EE" w:rsidRPr="00D17206" w14:paraId="14A745FB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A06F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9A59E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Rescisão antecipada pelo locador</w:t>
            </w:r>
          </w:p>
        </w:tc>
        <w:tc>
          <w:tcPr>
            <w:tcW w:w="0" w:type="auto"/>
            <w:vAlign w:val="center"/>
            <w:hideMark/>
          </w:tcPr>
          <w:p w14:paraId="0D768A92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Interesses particulares do proprietário</w:t>
            </w:r>
          </w:p>
        </w:tc>
        <w:tc>
          <w:tcPr>
            <w:tcW w:w="0" w:type="auto"/>
            <w:vAlign w:val="center"/>
            <w:hideMark/>
          </w:tcPr>
          <w:p w14:paraId="17AEAC41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Interrupção das operações e mudança emergencial</w:t>
            </w:r>
          </w:p>
        </w:tc>
        <w:tc>
          <w:tcPr>
            <w:tcW w:w="0" w:type="auto"/>
            <w:vAlign w:val="center"/>
            <w:hideMark/>
          </w:tcPr>
          <w:p w14:paraId="2312E95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78EA37F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623006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Médio-Alto</w:t>
            </w:r>
          </w:p>
        </w:tc>
        <w:tc>
          <w:tcPr>
            <w:tcW w:w="0" w:type="auto"/>
            <w:vAlign w:val="center"/>
            <w:hideMark/>
          </w:tcPr>
          <w:p w14:paraId="27D32AE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Cláusula de aviso prévio e penalidades; alternativas mapeadas</w:t>
            </w:r>
          </w:p>
        </w:tc>
        <w:tc>
          <w:tcPr>
            <w:tcW w:w="0" w:type="auto"/>
            <w:vAlign w:val="center"/>
            <w:hideMark/>
          </w:tcPr>
          <w:p w14:paraId="6B220F0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Locador</w:t>
            </w:r>
          </w:p>
        </w:tc>
      </w:tr>
      <w:tr w:rsidR="00D974EE" w:rsidRPr="00D17206" w14:paraId="3C7B475D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457C4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17F32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Sinistros (incêndio, alagamento)</w:t>
            </w:r>
          </w:p>
        </w:tc>
        <w:tc>
          <w:tcPr>
            <w:tcW w:w="0" w:type="auto"/>
            <w:vAlign w:val="center"/>
            <w:hideMark/>
          </w:tcPr>
          <w:p w14:paraId="68D7662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Fatores naturais ou falhas estruturais</w:t>
            </w:r>
          </w:p>
        </w:tc>
        <w:tc>
          <w:tcPr>
            <w:tcW w:w="0" w:type="auto"/>
            <w:vAlign w:val="center"/>
            <w:hideMark/>
          </w:tcPr>
          <w:p w14:paraId="2A7690E1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Perda total/ parcial de estoque</w:t>
            </w:r>
          </w:p>
        </w:tc>
        <w:tc>
          <w:tcPr>
            <w:tcW w:w="0" w:type="auto"/>
            <w:vAlign w:val="center"/>
            <w:hideMark/>
          </w:tcPr>
          <w:p w14:paraId="21A0CFBF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14E9B3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MA</w:t>
            </w:r>
          </w:p>
        </w:tc>
        <w:tc>
          <w:tcPr>
            <w:tcW w:w="0" w:type="auto"/>
            <w:vAlign w:val="center"/>
            <w:hideMark/>
          </w:tcPr>
          <w:p w14:paraId="2FA57C1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Crítico</w:t>
            </w:r>
          </w:p>
        </w:tc>
        <w:tc>
          <w:tcPr>
            <w:tcW w:w="0" w:type="auto"/>
            <w:vAlign w:val="center"/>
            <w:hideMark/>
          </w:tcPr>
          <w:p w14:paraId="7A96B33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Seguro obrigatório do imóvel; vistoria preventiva periódica</w:t>
            </w:r>
          </w:p>
        </w:tc>
        <w:tc>
          <w:tcPr>
            <w:tcW w:w="0" w:type="auto"/>
            <w:vAlign w:val="center"/>
            <w:hideMark/>
          </w:tcPr>
          <w:p w14:paraId="0266CAB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Locador / CIMDOCE</w:t>
            </w:r>
          </w:p>
        </w:tc>
      </w:tr>
      <w:tr w:rsidR="00D974EE" w:rsidRPr="00D17206" w14:paraId="2CACD875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D8ACF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57317BD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Espaço insuficiente para expansão</w:t>
            </w:r>
          </w:p>
        </w:tc>
        <w:tc>
          <w:tcPr>
            <w:tcW w:w="0" w:type="auto"/>
            <w:vAlign w:val="center"/>
            <w:hideMark/>
          </w:tcPr>
          <w:p w14:paraId="0B62A71F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Volume crescente de materiais</w:t>
            </w:r>
          </w:p>
        </w:tc>
        <w:tc>
          <w:tcPr>
            <w:tcW w:w="0" w:type="auto"/>
            <w:vAlign w:val="center"/>
            <w:hideMark/>
          </w:tcPr>
          <w:p w14:paraId="62B2149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Superlotação e perda de eficiência</w:t>
            </w:r>
          </w:p>
        </w:tc>
        <w:tc>
          <w:tcPr>
            <w:tcW w:w="0" w:type="auto"/>
            <w:vAlign w:val="center"/>
            <w:hideMark/>
          </w:tcPr>
          <w:p w14:paraId="64CCFE3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74216A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D6C73E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34A7B10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Escolher imóvel dimensionado; organizar setorização</w:t>
            </w:r>
          </w:p>
        </w:tc>
        <w:tc>
          <w:tcPr>
            <w:tcW w:w="0" w:type="auto"/>
            <w:vAlign w:val="center"/>
            <w:hideMark/>
          </w:tcPr>
          <w:p w14:paraId="203F04E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CIMDOCE</w:t>
            </w:r>
          </w:p>
        </w:tc>
      </w:tr>
      <w:tr w:rsidR="00D974EE" w:rsidRPr="00D17206" w14:paraId="43BF75CF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8CA9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818EC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Diferenças de interpretação contratual</w:t>
            </w:r>
          </w:p>
        </w:tc>
        <w:tc>
          <w:tcPr>
            <w:tcW w:w="0" w:type="auto"/>
            <w:vAlign w:val="center"/>
            <w:hideMark/>
          </w:tcPr>
          <w:p w14:paraId="215016E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Cláusulas ambíguas</w:t>
            </w:r>
          </w:p>
        </w:tc>
        <w:tc>
          <w:tcPr>
            <w:tcW w:w="0" w:type="auto"/>
            <w:vAlign w:val="center"/>
            <w:hideMark/>
          </w:tcPr>
          <w:p w14:paraId="188C74B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Conflitos entre locador e CIMDOCE</w:t>
            </w:r>
          </w:p>
        </w:tc>
        <w:tc>
          <w:tcPr>
            <w:tcW w:w="0" w:type="auto"/>
            <w:vAlign w:val="center"/>
            <w:hideMark/>
          </w:tcPr>
          <w:p w14:paraId="5F674D0D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903D620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33A3A6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2BDF64C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Minuta com cláusulas claras e fiscalização contínua</w:t>
            </w:r>
          </w:p>
        </w:tc>
        <w:tc>
          <w:tcPr>
            <w:tcW w:w="0" w:type="auto"/>
            <w:vAlign w:val="center"/>
            <w:hideMark/>
          </w:tcPr>
          <w:p w14:paraId="3429D43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CIMDOCE</w:t>
            </w:r>
          </w:p>
        </w:tc>
      </w:tr>
      <w:tr w:rsidR="00D974EE" w:rsidRPr="00D17206" w14:paraId="1EA371B8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75DA5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2703571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Falhas no fornecimento de energia</w:t>
            </w:r>
          </w:p>
        </w:tc>
        <w:tc>
          <w:tcPr>
            <w:tcW w:w="0" w:type="auto"/>
            <w:vAlign w:val="center"/>
            <w:hideMark/>
          </w:tcPr>
          <w:p w14:paraId="35BF1A3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Rede instável ou sobrecarregada</w:t>
            </w:r>
          </w:p>
        </w:tc>
        <w:tc>
          <w:tcPr>
            <w:tcW w:w="0" w:type="auto"/>
            <w:vAlign w:val="center"/>
            <w:hideMark/>
          </w:tcPr>
          <w:p w14:paraId="7F5DE54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Paralisação temporária</w:t>
            </w:r>
          </w:p>
        </w:tc>
        <w:tc>
          <w:tcPr>
            <w:tcW w:w="0" w:type="auto"/>
            <w:vAlign w:val="center"/>
            <w:hideMark/>
          </w:tcPr>
          <w:p w14:paraId="5032D10E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88AD955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1C0642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1CCEF09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Exigir laudo elétrico básico; prever manutenções</w:t>
            </w:r>
          </w:p>
        </w:tc>
        <w:tc>
          <w:tcPr>
            <w:tcW w:w="0" w:type="auto"/>
            <w:vAlign w:val="center"/>
            <w:hideMark/>
          </w:tcPr>
          <w:p w14:paraId="49F03163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Locador</w:t>
            </w:r>
          </w:p>
        </w:tc>
      </w:tr>
      <w:tr w:rsidR="00D974EE" w:rsidRPr="00D17206" w14:paraId="193A4DB4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E4FA5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A5268C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Indisponibilidade temporária do imóvel</w:t>
            </w:r>
          </w:p>
        </w:tc>
        <w:tc>
          <w:tcPr>
            <w:tcW w:w="0" w:type="auto"/>
            <w:vAlign w:val="center"/>
            <w:hideMark/>
          </w:tcPr>
          <w:p w14:paraId="468B3DB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Obra emergencial, interdição municipal</w:t>
            </w:r>
          </w:p>
        </w:tc>
        <w:tc>
          <w:tcPr>
            <w:tcW w:w="0" w:type="auto"/>
            <w:vAlign w:val="center"/>
            <w:hideMark/>
          </w:tcPr>
          <w:p w14:paraId="66CA723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Interrupção das atividades</w:t>
            </w:r>
          </w:p>
        </w:tc>
        <w:tc>
          <w:tcPr>
            <w:tcW w:w="0" w:type="auto"/>
            <w:vAlign w:val="center"/>
            <w:hideMark/>
          </w:tcPr>
          <w:p w14:paraId="7F8C6352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7CB3B9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ABA2B5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Médio-Alto</w:t>
            </w:r>
          </w:p>
        </w:tc>
        <w:tc>
          <w:tcPr>
            <w:tcW w:w="0" w:type="auto"/>
            <w:vAlign w:val="center"/>
            <w:hideMark/>
          </w:tcPr>
          <w:p w14:paraId="331D320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Exigir documentação atualizada; prever cláusulas de responsabilidade</w:t>
            </w:r>
          </w:p>
        </w:tc>
        <w:tc>
          <w:tcPr>
            <w:tcW w:w="0" w:type="auto"/>
            <w:vAlign w:val="center"/>
            <w:hideMark/>
          </w:tcPr>
          <w:p w14:paraId="0215CBD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Locador</w:t>
            </w:r>
          </w:p>
        </w:tc>
      </w:tr>
      <w:tr w:rsidR="00D974EE" w:rsidRPr="00D17206" w14:paraId="0A134212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3AE42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A010FD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Atrasos na mudança e instalação</w:t>
            </w:r>
          </w:p>
        </w:tc>
        <w:tc>
          <w:tcPr>
            <w:tcW w:w="0" w:type="auto"/>
            <w:vAlign w:val="center"/>
            <w:hideMark/>
          </w:tcPr>
          <w:p w14:paraId="05C97A4F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Falta de planejamento logístico</w:t>
            </w:r>
          </w:p>
        </w:tc>
        <w:tc>
          <w:tcPr>
            <w:tcW w:w="0" w:type="auto"/>
            <w:vAlign w:val="center"/>
            <w:hideMark/>
          </w:tcPr>
          <w:p w14:paraId="1D65DBF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Paralisação parcial dos serviços</w:t>
            </w:r>
          </w:p>
        </w:tc>
        <w:tc>
          <w:tcPr>
            <w:tcW w:w="0" w:type="auto"/>
            <w:vAlign w:val="center"/>
            <w:hideMark/>
          </w:tcPr>
          <w:p w14:paraId="67B3DC6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A1B678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85FBFE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5C50A46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Planejar cronograma; contratar equipe de apoio, se necessário</w:t>
            </w:r>
          </w:p>
        </w:tc>
        <w:tc>
          <w:tcPr>
            <w:tcW w:w="0" w:type="auto"/>
            <w:vAlign w:val="center"/>
            <w:hideMark/>
          </w:tcPr>
          <w:p w14:paraId="1CBFEDD2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CIMDOCE</w:t>
            </w:r>
          </w:p>
        </w:tc>
      </w:tr>
      <w:tr w:rsidR="00D974EE" w:rsidRPr="00D17206" w14:paraId="7E5E49E9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A698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90F5AB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Documentação irregular do imóvel</w:t>
            </w:r>
          </w:p>
        </w:tc>
        <w:tc>
          <w:tcPr>
            <w:tcW w:w="0" w:type="auto"/>
            <w:vAlign w:val="center"/>
            <w:hideMark/>
          </w:tcPr>
          <w:p w14:paraId="7D176C2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Falta de registros ou certidões</w:t>
            </w:r>
          </w:p>
        </w:tc>
        <w:tc>
          <w:tcPr>
            <w:tcW w:w="0" w:type="auto"/>
            <w:vAlign w:val="center"/>
            <w:hideMark/>
          </w:tcPr>
          <w:p w14:paraId="069C056F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Impossibilidade legal de uso</w:t>
            </w:r>
          </w:p>
        </w:tc>
        <w:tc>
          <w:tcPr>
            <w:tcW w:w="0" w:type="auto"/>
            <w:vAlign w:val="center"/>
            <w:hideMark/>
          </w:tcPr>
          <w:p w14:paraId="2A8925E7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A7FD9B2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5CF662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Médio-Alto</w:t>
            </w:r>
          </w:p>
        </w:tc>
        <w:tc>
          <w:tcPr>
            <w:tcW w:w="0" w:type="auto"/>
            <w:vAlign w:val="center"/>
            <w:hideMark/>
          </w:tcPr>
          <w:p w14:paraId="408E632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Exigir documentação antes da contratação</w:t>
            </w:r>
          </w:p>
        </w:tc>
        <w:tc>
          <w:tcPr>
            <w:tcW w:w="0" w:type="auto"/>
            <w:vAlign w:val="center"/>
            <w:hideMark/>
          </w:tcPr>
          <w:p w14:paraId="317F5EA2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CIMDOCE</w:t>
            </w:r>
          </w:p>
        </w:tc>
      </w:tr>
      <w:tr w:rsidR="00D974EE" w:rsidRPr="00D17206" w14:paraId="765F94FD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6606A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0ED843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Reajustes abusivos</w:t>
            </w:r>
          </w:p>
        </w:tc>
        <w:tc>
          <w:tcPr>
            <w:tcW w:w="0" w:type="auto"/>
            <w:vAlign w:val="center"/>
            <w:hideMark/>
          </w:tcPr>
          <w:p w14:paraId="12F63DA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Tentativa de revisões fora do índice</w:t>
            </w:r>
          </w:p>
        </w:tc>
        <w:tc>
          <w:tcPr>
            <w:tcW w:w="0" w:type="auto"/>
            <w:vAlign w:val="center"/>
            <w:hideMark/>
          </w:tcPr>
          <w:p w14:paraId="0BA7E9F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Onerosidade excessiva</w:t>
            </w:r>
          </w:p>
        </w:tc>
        <w:tc>
          <w:tcPr>
            <w:tcW w:w="0" w:type="auto"/>
            <w:vAlign w:val="center"/>
            <w:hideMark/>
          </w:tcPr>
          <w:p w14:paraId="43C7685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3FAD9F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98915C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7B15317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Definir índice oficial (IPCA) e cláusula impeditiva</w:t>
            </w:r>
          </w:p>
        </w:tc>
        <w:tc>
          <w:tcPr>
            <w:tcW w:w="0" w:type="auto"/>
            <w:vAlign w:val="center"/>
            <w:hideMark/>
          </w:tcPr>
          <w:p w14:paraId="771832B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CIMDOCE</w:t>
            </w:r>
          </w:p>
        </w:tc>
      </w:tr>
    </w:tbl>
    <w:p w14:paraId="4BE39263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7473D021" w14:textId="77777777" w:rsidR="00D974EE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>EGENDAS</w:t>
      </w:r>
    </w:p>
    <w:p w14:paraId="1A047EF9" w14:textId="77777777" w:rsidR="00D974EE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80"/>
        <w:gridCol w:w="2551"/>
        <w:gridCol w:w="5103"/>
      </w:tblGrid>
      <w:tr w:rsidR="00D974EE" w:rsidRPr="00D17206" w14:paraId="2F05BC36" w14:textId="77777777" w:rsidTr="00E95891">
        <w:trPr>
          <w:trHeight w:val="416"/>
        </w:trPr>
        <w:tc>
          <w:tcPr>
            <w:tcW w:w="1980" w:type="dxa"/>
          </w:tcPr>
          <w:p w14:paraId="3987C909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Probabilidade (P)</w:t>
            </w:r>
          </w:p>
          <w:p w14:paraId="2938290D" w14:textId="77777777" w:rsidR="00D974EE" w:rsidRPr="00D17206" w:rsidRDefault="00D974EE" w:rsidP="00D974EE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B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Baixa</w:t>
            </w:r>
          </w:p>
          <w:p w14:paraId="6A8B95D6" w14:textId="77777777" w:rsidR="00D974EE" w:rsidRPr="00D17206" w:rsidRDefault="00D974EE" w:rsidP="00D974EE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M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Média</w:t>
            </w:r>
          </w:p>
          <w:p w14:paraId="080022D7" w14:textId="77777777" w:rsidR="00D974EE" w:rsidRPr="00D17206" w:rsidRDefault="00D974EE" w:rsidP="00D974EE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A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Alta</w:t>
            </w:r>
          </w:p>
          <w:p w14:paraId="08453B6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551" w:type="dxa"/>
          </w:tcPr>
          <w:p w14:paraId="63044863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Impacto (I)</w:t>
            </w:r>
          </w:p>
          <w:p w14:paraId="3659EEBC" w14:textId="77777777" w:rsidR="00D974EE" w:rsidRPr="00D17206" w:rsidRDefault="00D974EE" w:rsidP="00D974EE">
            <w:pPr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M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Médio</w:t>
            </w:r>
          </w:p>
          <w:p w14:paraId="332863EF" w14:textId="77777777" w:rsidR="00D974EE" w:rsidRPr="00D17206" w:rsidRDefault="00D974EE" w:rsidP="00D974EE">
            <w:pPr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A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Alto</w:t>
            </w:r>
          </w:p>
          <w:p w14:paraId="0E8940AC" w14:textId="684AAE96" w:rsidR="00D974EE" w:rsidRPr="00E95891" w:rsidRDefault="00D974EE" w:rsidP="002F2C3C">
            <w:pPr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MA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Muito Alto</w:t>
            </w:r>
          </w:p>
        </w:tc>
        <w:tc>
          <w:tcPr>
            <w:tcW w:w="5103" w:type="dxa"/>
          </w:tcPr>
          <w:p w14:paraId="4282CEC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Classificação</w:t>
            </w:r>
          </w:p>
          <w:p w14:paraId="2F440016" w14:textId="77777777" w:rsidR="00D974EE" w:rsidRPr="00D17206" w:rsidRDefault="00D974EE" w:rsidP="00D974EE">
            <w:pPr>
              <w:numPr>
                <w:ilvl w:val="0"/>
                <w:numId w:val="10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Crítico: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exige medidas de prevenção imediata</w:t>
            </w:r>
          </w:p>
          <w:p w14:paraId="5EC42AA0" w14:textId="77777777" w:rsidR="00D974EE" w:rsidRPr="00D17206" w:rsidRDefault="00D974EE" w:rsidP="00D974EE">
            <w:pPr>
              <w:numPr>
                <w:ilvl w:val="0"/>
                <w:numId w:val="10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Alto: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tratativa prioritária</w:t>
            </w:r>
          </w:p>
          <w:p w14:paraId="26A425C7" w14:textId="77777777" w:rsidR="00D974EE" w:rsidRPr="00D17206" w:rsidRDefault="00D974EE" w:rsidP="00D974EE">
            <w:pPr>
              <w:numPr>
                <w:ilvl w:val="0"/>
                <w:numId w:val="10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Médio: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monitoramento regular</w:t>
            </w:r>
          </w:p>
          <w:p w14:paraId="0249FB1E" w14:textId="77777777" w:rsidR="00D974EE" w:rsidRPr="00D17206" w:rsidRDefault="00D974EE" w:rsidP="00D974EE">
            <w:pPr>
              <w:numPr>
                <w:ilvl w:val="0"/>
                <w:numId w:val="10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Baixo: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acompanhamento eventual</w:t>
            </w:r>
          </w:p>
          <w:p w14:paraId="6B336DB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78034C3A" w14:textId="77777777" w:rsidR="00D974EE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1903A64" w14:textId="77777777" w:rsidR="00D974EE" w:rsidRPr="0079739C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79739C">
        <w:rPr>
          <w:rFonts w:ascii="Arial" w:eastAsia="Calibri" w:hAnsi="Arial" w:cs="Arial"/>
          <w:sz w:val="24"/>
          <w:szCs w:val="24"/>
        </w:rPr>
        <w:t>A avaliação de riscos demonstra que os níveis de risco são, em sua maioria, baixos ou médios, sendo todos tratáveis com medidas preventivas e contratuais simples. O processo de contratação contempla mecanismos adequados para mitigar, monitorar e remediar os riscos, garantindo a segurança e a viabilidade da contratação pretendida.</w:t>
      </w:r>
    </w:p>
    <w:p w14:paraId="051CE8C5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411A8A42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433978">
        <w:rPr>
          <w:rFonts w:ascii="Arial" w:eastAsia="Calibri" w:hAnsi="Arial" w:cs="Arial"/>
          <w:sz w:val="24"/>
          <w:szCs w:val="24"/>
        </w:rPr>
        <w:t>Assim, recomenda-se que insira as cláusulas no contrato para maior segurança e uma diminuição dos riscos desta contratação.</w:t>
      </w:r>
    </w:p>
    <w:p w14:paraId="3236E4C3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7EF2DE0F" w14:textId="77777777" w:rsidR="00D974EE" w:rsidRPr="00CF21D2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17206">
        <w:rPr>
          <w:rFonts w:ascii="Arial" w:eastAsia="Calibri" w:hAnsi="Arial" w:cs="Arial"/>
          <w:b/>
          <w:bCs/>
          <w:sz w:val="24"/>
          <w:szCs w:val="24"/>
        </w:rPr>
        <w:t>3</w:t>
      </w:r>
      <w:r w:rsidRPr="00CF21D2">
        <w:rPr>
          <w:rFonts w:ascii="Arial" w:eastAsia="Calibri" w:hAnsi="Arial" w:cs="Arial"/>
          <w:b/>
          <w:bCs/>
          <w:sz w:val="24"/>
          <w:szCs w:val="24"/>
        </w:rPr>
        <w:t xml:space="preserve"> -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 xml:space="preserve"> CONCLUSÃO DA MATRIZ DE RISCOS</w:t>
      </w:r>
    </w:p>
    <w:p w14:paraId="463DE1C1" w14:textId="77777777" w:rsidR="00D974EE" w:rsidRPr="00D17206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F0A9024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Arial" w:eastAsia="Calibri" w:hAnsi="Arial" w:cs="Arial"/>
          <w:sz w:val="24"/>
          <w:szCs w:val="24"/>
        </w:rPr>
        <w:t xml:space="preserve">A análise demonstra que, embora existam riscos inerentes à locação de imóvel, estes podem ser 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>gerenciados e mitigados de forma eficiente</w:t>
      </w:r>
      <w:r w:rsidRPr="00D17206">
        <w:rPr>
          <w:rFonts w:ascii="Arial" w:eastAsia="Calibri" w:hAnsi="Arial" w:cs="Arial"/>
          <w:sz w:val="24"/>
          <w:szCs w:val="24"/>
        </w:rPr>
        <w:t xml:space="preserve"> mediante:</w:t>
      </w:r>
    </w:p>
    <w:p w14:paraId="6348858D" w14:textId="77777777" w:rsidR="00D974EE" w:rsidRPr="00D17206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70384F35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vistoria técnica completa;</w:t>
      </w:r>
    </w:p>
    <w:p w14:paraId="3B438E0E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exigências documentais rigorosas;</w:t>
      </w:r>
    </w:p>
    <w:p w14:paraId="29AD74D9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cláusulas contratuais específicas;</w:t>
      </w:r>
    </w:p>
    <w:p w14:paraId="7E68606D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planejamento eficiente da operação;</w:t>
      </w:r>
    </w:p>
    <w:p w14:paraId="05482D43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acompanhamento contínuo durante a vigência contratual.</w:t>
      </w:r>
    </w:p>
    <w:p w14:paraId="3CFD19F7" w14:textId="77777777" w:rsidR="00D974EE" w:rsidRPr="00D17206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4D9DC2A" w14:textId="77777777" w:rsidR="00D974EE" w:rsidRPr="00D17206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Arial" w:eastAsia="Calibri" w:hAnsi="Arial" w:cs="Arial"/>
          <w:sz w:val="24"/>
          <w:szCs w:val="24"/>
        </w:rPr>
        <w:t xml:space="preserve">A matriz apresentada atende plenamente às determinações legais e contribui para a 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>gestão responsável, transparente e eficiente</w:t>
      </w:r>
      <w:r w:rsidRPr="00D17206">
        <w:rPr>
          <w:rFonts w:ascii="Arial" w:eastAsia="Calibri" w:hAnsi="Arial" w:cs="Arial"/>
          <w:sz w:val="24"/>
          <w:szCs w:val="24"/>
        </w:rPr>
        <w:t xml:space="preserve"> da contratação.</w:t>
      </w:r>
    </w:p>
    <w:p w14:paraId="44E02361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65BA1E32" w14:textId="12806271" w:rsidR="00D974EE" w:rsidRPr="006E20C3" w:rsidRDefault="00D974EE" w:rsidP="00D974EE">
      <w:pPr>
        <w:jc w:val="both"/>
        <w:rPr>
          <w:rFonts w:ascii="Arial" w:hAnsi="Arial" w:cs="Arial"/>
          <w:sz w:val="24"/>
          <w:szCs w:val="24"/>
        </w:rPr>
      </w:pPr>
      <w:r w:rsidRPr="006E20C3">
        <w:rPr>
          <w:rFonts w:ascii="Arial" w:hAnsi="Arial" w:cs="Arial"/>
          <w:sz w:val="24"/>
          <w:szCs w:val="24"/>
        </w:rPr>
        <w:t xml:space="preserve">Governador Valadares/MG, </w:t>
      </w:r>
      <w:r w:rsidR="007E0362">
        <w:rPr>
          <w:rFonts w:ascii="Arial" w:hAnsi="Arial" w:cs="Arial"/>
          <w:sz w:val="24"/>
          <w:szCs w:val="24"/>
        </w:rPr>
        <w:t>10</w:t>
      </w:r>
      <w:r w:rsidRPr="006E20C3">
        <w:rPr>
          <w:rFonts w:ascii="Arial" w:hAnsi="Arial" w:cs="Arial"/>
          <w:sz w:val="24"/>
          <w:szCs w:val="24"/>
        </w:rPr>
        <w:t xml:space="preserve"> de </w:t>
      </w:r>
      <w:r w:rsidR="007E0362">
        <w:rPr>
          <w:rFonts w:ascii="Arial" w:hAnsi="Arial" w:cs="Arial"/>
          <w:sz w:val="24"/>
          <w:szCs w:val="24"/>
        </w:rPr>
        <w:t>dez</w:t>
      </w:r>
      <w:r w:rsidRPr="006E20C3">
        <w:rPr>
          <w:rFonts w:ascii="Arial" w:hAnsi="Arial" w:cs="Arial"/>
          <w:sz w:val="24"/>
          <w:szCs w:val="24"/>
        </w:rPr>
        <w:t xml:space="preserve">embro de 2025. </w:t>
      </w:r>
    </w:p>
    <w:p w14:paraId="30255BD3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4408A91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B109924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6CFEA53" w14:textId="77777777" w:rsidR="00D974EE" w:rsidRPr="002E7D6E" w:rsidRDefault="00D974EE" w:rsidP="00D974EE">
      <w:pPr>
        <w:pStyle w:val="Corpodetexto"/>
        <w:jc w:val="center"/>
        <w:rPr>
          <w:rFonts w:ascii="Arial" w:hAnsi="Arial" w:cs="Arial"/>
        </w:rPr>
      </w:pPr>
      <w:r w:rsidRPr="002E7D6E">
        <w:rPr>
          <w:rFonts w:ascii="Arial" w:hAnsi="Arial" w:cs="Arial"/>
        </w:rPr>
        <w:t>_____________________________</w:t>
      </w:r>
    </w:p>
    <w:p w14:paraId="115D2961" w14:textId="59624BC0" w:rsidR="00D974EE" w:rsidRPr="00213AD3" w:rsidRDefault="00614163" w:rsidP="00D974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RENATO BUENO DE SOUZA</w:t>
      </w:r>
    </w:p>
    <w:p w14:paraId="3E091CB2" w14:textId="53AE1123" w:rsidR="00D974EE" w:rsidRPr="00213AD3" w:rsidRDefault="00FB5259" w:rsidP="00D974EE">
      <w:pPr>
        <w:pStyle w:val="Ttulo8"/>
        <w:spacing w:before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Gerente </w:t>
      </w:r>
      <w:r w:rsidR="00614163">
        <w:rPr>
          <w:rFonts w:ascii="Arial" w:hAnsi="Arial" w:cs="Arial"/>
          <w:sz w:val="24"/>
          <w:szCs w:val="24"/>
        </w:rPr>
        <w:t>Administrativo</w:t>
      </w:r>
    </w:p>
    <w:p w14:paraId="7E9EA3D0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6FF69E3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F8DDEBD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0A6D81E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BBDE079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E59593F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54C1B72D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69D2BC4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6A4BFB0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95AB9B3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078B4182" w14:textId="141EDEE3" w:rsidR="00FD20EF" w:rsidRPr="00433491" w:rsidRDefault="00FD20EF" w:rsidP="00433491"/>
    <w:sectPr w:rsidR="00FD20EF" w:rsidRPr="00433491">
      <w:headerReference w:type="default" r:id="rId8"/>
      <w:footerReference w:type="default" r:id="rId9"/>
      <w:pgSz w:w="11920" w:h="16860"/>
      <w:pgMar w:top="1920" w:right="850" w:bottom="880" w:left="992" w:header="708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D51C0" w14:textId="77777777" w:rsidR="00DB1BC8" w:rsidRDefault="00DB1BC8">
      <w:r>
        <w:separator/>
      </w:r>
    </w:p>
  </w:endnote>
  <w:endnote w:type="continuationSeparator" w:id="0">
    <w:p w14:paraId="36CA5753" w14:textId="77777777" w:rsidR="00DB1BC8" w:rsidRDefault="00D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1086" w14:textId="77777777" w:rsidR="00480974" w:rsidRDefault="00AA705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8560" behindDoc="1" locked="0" layoutInCell="1" allowOverlap="1" wp14:anchorId="6B274832" wp14:editId="5D099FFF">
              <wp:simplePos x="0" y="0"/>
              <wp:positionH relativeFrom="page">
                <wp:posOffset>701040</wp:posOffset>
              </wp:positionH>
              <wp:positionV relativeFrom="page">
                <wp:posOffset>10088881</wp:posOffset>
              </wp:positionV>
              <wp:extent cx="6111240" cy="952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124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1240" h="9525">
                            <a:moveTo>
                              <a:pt x="6110986" y="0"/>
                            </a:moveTo>
                            <a:lnTo>
                              <a:pt x="0" y="0"/>
                            </a:lnTo>
                            <a:lnTo>
                              <a:pt x="0" y="9142"/>
                            </a:lnTo>
                            <a:lnTo>
                              <a:pt x="6110986" y="9142"/>
                            </a:lnTo>
                            <a:lnTo>
                              <a:pt x="611098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70C2146B" id="Graphic 13" o:spid="_x0000_s1026" style="position:absolute;margin-left:55.2pt;margin-top:794.4pt;width:481.2pt;height:.75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12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" path="m6110986,l,,,9142r6110986,l611098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9072" behindDoc="1" locked="0" layoutInCell="1" allowOverlap="1" wp14:anchorId="554BE0F6" wp14:editId="5B0229B6">
              <wp:simplePos x="0" y="0"/>
              <wp:positionH relativeFrom="page">
                <wp:posOffset>1072692</wp:posOffset>
              </wp:positionH>
              <wp:positionV relativeFrom="page">
                <wp:posOffset>10089686</wp:posOffset>
              </wp:positionV>
              <wp:extent cx="531368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36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FC570" w14:textId="77777777" w:rsidR="00480974" w:rsidRDefault="00AA705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Pedro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Lessa,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126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Lourdes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Governador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Valadares/MG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35.030-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440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BE0F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84.45pt;margin-top:794.45pt;width:418.4pt;height:13.1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" filled="f" stroked="f">
              <v:textbox inset="0,0,0,0">
                <w:txbxContent>
                  <w:p w14:paraId="57EFC570" w14:textId="77777777" w:rsidR="00480974" w:rsidRDefault="00AA705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Pedro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Lessa,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126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Lourdes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Governador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Valadares/MG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35.030-</w:t>
                    </w:r>
                    <w:r>
                      <w:rPr>
                        <w:spacing w:val="-5"/>
                        <w:sz w:val="20"/>
                      </w:rPr>
                      <w:t>440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6311E" w14:textId="77777777" w:rsidR="00DB1BC8" w:rsidRDefault="00DB1BC8">
      <w:r>
        <w:separator/>
      </w:r>
    </w:p>
  </w:footnote>
  <w:footnote w:type="continuationSeparator" w:id="0">
    <w:p w14:paraId="7BA131B9" w14:textId="77777777" w:rsidR="00DB1BC8" w:rsidRDefault="00DB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C5858" w14:textId="77777777" w:rsidR="00480974" w:rsidRDefault="00AA705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57024" behindDoc="1" locked="0" layoutInCell="1" allowOverlap="1" wp14:anchorId="7D580C60" wp14:editId="35DFB3EA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029079" cy="772795"/>
          <wp:effectExtent l="0" t="0" r="0" b="0"/>
          <wp:wrapNone/>
          <wp:docPr id="1632196104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9079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657536" behindDoc="1" locked="0" layoutInCell="1" allowOverlap="1" wp14:anchorId="6205E75B" wp14:editId="1789759D">
          <wp:simplePos x="0" y="0"/>
          <wp:positionH relativeFrom="page">
            <wp:posOffset>6225540</wp:posOffset>
          </wp:positionH>
          <wp:positionV relativeFrom="page">
            <wp:posOffset>620395</wp:posOffset>
          </wp:positionV>
          <wp:extent cx="993292" cy="553720"/>
          <wp:effectExtent l="0" t="0" r="0" b="0"/>
          <wp:wrapNone/>
          <wp:docPr id="53953473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292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8048" behindDoc="1" locked="0" layoutInCell="1" allowOverlap="1" wp14:anchorId="0F71BC90" wp14:editId="195BA074">
              <wp:simplePos x="0" y="0"/>
              <wp:positionH relativeFrom="page">
                <wp:posOffset>2927730</wp:posOffset>
              </wp:positionH>
              <wp:positionV relativeFrom="page">
                <wp:posOffset>439718</wp:posOffset>
              </wp:positionV>
              <wp:extent cx="3670935" cy="7524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093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9D632" w14:textId="77777777" w:rsidR="00480974" w:rsidRDefault="00AA705D">
                          <w:pPr>
                            <w:spacing w:before="12"/>
                            <w:ind w:left="20" w:firstLine="4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CONSÓRCIO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URGÊNCIA E EMERGÊNCIA DO LESTE DE MINAS</w:t>
                          </w:r>
                        </w:p>
                        <w:p w14:paraId="2F6B2058" w14:textId="77777777" w:rsidR="00480974" w:rsidRDefault="00AA705D">
                          <w:pPr>
                            <w:spacing w:before="1"/>
                            <w:ind w:left="3" w:right="97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CNPJ: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20.101.246.0001/67</w:t>
                          </w:r>
                        </w:p>
                        <w:p w14:paraId="3BC4A430" w14:textId="77777777" w:rsidR="00480974" w:rsidRDefault="00AA705D">
                          <w:pPr>
                            <w:spacing w:before="1"/>
                            <w:ind w:right="978"/>
                            <w:jc w:val="center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20"/>
                              </w:rPr>
                              <w:t>licitacao@consurge.saude.mg.gov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>.br</w:t>
                          </w:r>
                        </w:p>
                        <w:p w14:paraId="01DBA593" w14:textId="77777777" w:rsidR="00480974" w:rsidRDefault="00AA705D">
                          <w:pPr>
                            <w:spacing w:before="1"/>
                            <w:ind w:left="109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(33)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3213-5850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99870-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1BC9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230.55pt;margin-top:34.6pt;width:289.05pt;height:59.25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" filled="f" stroked="f">
              <v:textbox inset="0,0,0,0">
                <w:txbxContent>
                  <w:p w14:paraId="5709D632" w14:textId="77777777" w:rsidR="00480974" w:rsidRDefault="00AA705D">
                    <w:pPr>
                      <w:spacing w:before="12"/>
                      <w:ind w:left="20" w:firstLine="40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CONSÓRCIO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 URGÊNCIA E EMERGÊNCIA DO LESTE DE MINAS</w:t>
                    </w:r>
                  </w:p>
                  <w:p w14:paraId="2F6B2058" w14:textId="77777777" w:rsidR="00480974" w:rsidRDefault="00AA705D">
                    <w:pPr>
                      <w:spacing w:before="1"/>
                      <w:ind w:left="3" w:right="97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CNPJ: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20.101.246.0001/67</w:t>
                    </w:r>
                  </w:p>
                  <w:p w14:paraId="3BC4A430" w14:textId="77777777" w:rsidR="00480974" w:rsidRDefault="00AA705D">
                    <w:pPr>
                      <w:spacing w:before="1"/>
                      <w:ind w:right="978"/>
                      <w:jc w:val="center"/>
                      <w:rPr>
                        <w:sz w:val="20"/>
                      </w:rPr>
                    </w:pPr>
                    <w:hyperlink r:id="rId4">
                      <w:r>
                        <w:rPr>
                          <w:spacing w:val="-2"/>
                          <w:sz w:val="20"/>
                        </w:rPr>
                        <w:t>licitacao@consurge.saude.mg.gov</w:t>
                      </w:r>
                    </w:hyperlink>
                    <w:r>
                      <w:rPr>
                        <w:spacing w:val="-2"/>
                        <w:sz w:val="20"/>
                      </w:rPr>
                      <w:t>.br</w:t>
                    </w:r>
                  </w:p>
                  <w:p w14:paraId="01DBA593" w14:textId="77777777" w:rsidR="00480974" w:rsidRDefault="00AA705D">
                    <w:pPr>
                      <w:spacing w:before="1"/>
                      <w:ind w:left="109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(33)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3213-5850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99870-</w:t>
                    </w:r>
                    <w:r>
                      <w:rPr>
                        <w:spacing w:val="-4"/>
                        <w:sz w:val="20"/>
                      </w:rPr>
                      <w:t>2056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2E8F"/>
    <w:multiLevelType w:val="multilevel"/>
    <w:tmpl w:val="D0C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93C37"/>
    <w:multiLevelType w:val="multilevel"/>
    <w:tmpl w:val="7A0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46D1C"/>
    <w:multiLevelType w:val="multilevel"/>
    <w:tmpl w:val="4CDC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4319A"/>
    <w:multiLevelType w:val="multilevel"/>
    <w:tmpl w:val="4AB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A2252"/>
    <w:multiLevelType w:val="multilevel"/>
    <w:tmpl w:val="B358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815AC"/>
    <w:multiLevelType w:val="multilevel"/>
    <w:tmpl w:val="590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E612B"/>
    <w:multiLevelType w:val="multilevel"/>
    <w:tmpl w:val="122A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D3F2F"/>
    <w:multiLevelType w:val="hybridMultilevel"/>
    <w:tmpl w:val="3F80A0AA"/>
    <w:lvl w:ilvl="0" w:tplc="446C4ABE">
      <w:start w:val="1"/>
      <w:numFmt w:val="decimal"/>
      <w:lvlText w:val="%1."/>
      <w:lvlJc w:val="left"/>
      <w:pPr>
        <w:ind w:left="568" w:hanging="57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08FA1C">
      <w:numFmt w:val="bullet"/>
      <w:lvlText w:val="•"/>
      <w:lvlJc w:val="left"/>
      <w:pPr>
        <w:ind w:left="1510" w:hanging="579"/>
      </w:pPr>
      <w:rPr>
        <w:rFonts w:hint="default"/>
        <w:lang w:val="pt-PT" w:eastAsia="en-US" w:bidi="ar-SA"/>
      </w:rPr>
    </w:lvl>
    <w:lvl w:ilvl="2" w:tplc="924E424E">
      <w:numFmt w:val="bullet"/>
      <w:lvlText w:val="•"/>
      <w:lvlJc w:val="left"/>
      <w:pPr>
        <w:ind w:left="2461" w:hanging="579"/>
      </w:pPr>
      <w:rPr>
        <w:rFonts w:hint="default"/>
        <w:lang w:val="pt-PT" w:eastAsia="en-US" w:bidi="ar-SA"/>
      </w:rPr>
    </w:lvl>
    <w:lvl w:ilvl="3" w:tplc="40CEB410">
      <w:numFmt w:val="bullet"/>
      <w:lvlText w:val="•"/>
      <w:lvlJc w:val="left"/>
      <w:pPr>
        <w:ind w:left="3412" w:hanging="579"/>
      </w:pPr>
      <w:rPr>
        <w:rFonts w:hint="default"/>
        <w:lang w:val="pt-PT" w:eastAsia="en-US" w:bidi="ar-SA"/>
      </w:rPr>
    </w:lvl>
    <w:lvl w:ilvl="4" w:tplc="6ED2D62C">
      <w:numFmt w:val="bullet"/>
      <w:lvlText w:val="•"/>
      <w:lvlJc w:val="left"/>
      <w:pPr>
        <w:ind w:left="4363" w:hanging="579"/>
      </w:pPr>
      <w:rPr>
        <w:rFonts w:hint="default"/>
        <w:lang w:val="pt-PT" w:eastAsia="en-US" w:bidi="ar-SA"/>
      </w:rPr>
    </w:lvl>
    <w:lvl w:ilvl="5" w:tplc="E36A0AD4">
      <w:numFmt w:val="bullet"/>
      <w:lvlText w:val="•"/>
      <w:lvlJc w:val="left"/>
      <w:pPr>
        <w:ind w:left="5314" w:hanging="579"/>
      </w:pPr>
      <w:rPr>
        <w:rFonts w:hint="default"/>
        <w:lang w:val="pt-PT" w:eastAsia="en-US" w:bidi="ar-SA"/>
      </w:rPr>
    </w:lvl>
    <w:lvl w:ilvl="6" w:tplc="B36E161E">
      <w:numFmt w:val="bullet"/>
      <w:lvlText w:val="•"/>
      <w:lvlJc w:val="left"/>
      <w:pPr>
        <w:ind w:left="6265" w:hanging="579"/>
      </w:pPr>
      <w:rPr>
        <w:rFonts w:hint="default"/>
        <w:lang w:val="pt-PT" w:eastAsia="en-US" w:bidi="ar-SA"/>
      </w:rPr>
    </w:lvl>
    <w:lvl w:ilvl="7" w:tplc="059EB844">
      <w:numFmt w:val="bullet"/>
      <w:lvlText w:val="•"/>
      <w:lvlJc w:val="left"/>
      <w:pPr>
        <w:ind w:left="7216" w:hanging="579"/>
      </w:pPr>
      <w:rPr>
        <w:rFonts w:hint="default"/>
        <w:lang w:val="pt-PT" w:eastAsia="en-US" w:bidi="ar-SA"/>
      </w:rPr>
    </w:lvl>
    <w:lvl w:ilvl="8" w:tplc="8222B224">
      <w:numFmt w:val="bullet"/>
      <w:lvlText w:val="•"/>
      <w:lvlJc w:val="left"/>
      <w:pPr>
        <w:ind w:left="8167" w:hanging="579"/>
      </w:pPr>
      <w:rPr>
        <w:rFonts w:hint="default"/>
        <w:lang w:val="pt-PT" w:eastAsia="en-US" w:bidi="ar-SA"/>
      </w:rPr>
    </w:lvl>
  </w:abstractNum>
  <w:abstractNum w:abstractNumId="8" w15:restartNumberingAfterBreak="0">
    <w:nsid w:val="6FE740CE"/>
    <w:multiLevelType w:val="hybridMultilevel"/>
    <w:tmpl w:val="ABB02B62"/>
    <w:lvl w:ilvl="0" w:tplc="AB382C14">
      <w:start w:val="1"/>
      <w:numFmt w:val="decimal"/>
      <w:lvlText w:val="%1"/>
      <w:lvlJc w:val="left"/>
      <w:pPr>
        <w:ind w:left="3747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87D6A094">
      <w:numFmt w:val="bullet"/>
      <w:lvlText w:val="•"/>
      <w:lvlJc w:val="left"/>
      <w:pPr>
        <w:ind w:left="1708" w:hanging="202"/>
      </w:pPr>
      <w:rPr>
        <w:rFonts w:hint="default"/>
        <w:lang w:val="pt-PT" w:eastAsia="en-US" w:bidi="ar-SA"/>
      </w:rPr>
    </w:lvl>
    <w:lvl w:ilvl="2" w:tplc="FA9CFB8A">
      <w:numFmt w:val="bullet"/>
      <w:lvlText w:val="•"/>
      <w:lvlJc w:val="left"/>
      <w:pPr>
        <w:ind w:left="2637" w:hanging="202"/>
      </w:pPr>
      <w:rPr>
        <w:rFonts w:hint="default"/>
        <w:lang w:val="pt-PT" w:eastAsia="en-US" w:bidi="ar-SA"/>
      </w:rPr>
    </w:lvl>
    <w:lvl w:ilvl="3" w:tplc="92761B4C">
      <w:numFmt w:val="bullet"/>
      <w:lvlText w:val="•"/>
      <w:lvlJc w:val="left"/>
      <w:pPr>
        <w:ind w:left="3566" w:hanging="202"/>
      </w:pPr>
      <w:rPr>
        <w:rFonts w:hint="default"/>
        <w:lang w:val="pt-PT" w:eastAsia="en-US" w:bidi="ar-SA"/>
      </w:rPr>
    </w:lvl>
    <w:lvl w:ilvl="4" w:tplc="7E5C0514">
      <w:numFmt w:val="bullet"/>
      <w:lvlText w:val="•"/>
      <w:lvlJc w:val="left"/>
      <w:pPr>
        <w:ind w:left="4495" w:hanging="202"/>
      </w:pPr>
      <w:rPr>
        <w:rFonts w:hint="default"/>
        <w:lang w:val="pt-PT" w:eastAsia="en-US" w:bidi="ar-SA"/>
      </w:rPr>
    </w:lvl>
    <w:lvl w:ilvl="5" w:tplc="0C22BE7E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579A1CC0">
      <w:numFmt w:val="bullet"/>
      <w:lvlText w:val="•"/>
      <w:lvlJc w:val="left"/>
      <w:pPr>
        <w:ind w:left="6353" w:hanging="202"/>
      </w:pPr>
      <w:rPr>
        <w:rFonts w:hint="default"/>
        <w:lang w:val="pt-PT" w:eastAsia="en-US" w:bidi="ar-SA"/>
      </w:rPr>
    </w:lvl>
    <w:lvl w:ilvl="7" w:tplc="444EC0E0">
      <w:numFmt w:val="bullet"/>
      <w:lvlText w:val="•"/>
      <w:lvlJc w:val="left"/>
      <w:pPr>
        <w:ind w:left="7282" w:hanging="202"/>
      </w:pPr>
      <w:rPr>
        <w:rFonts w:hint="default"/>
        <w:lang w:val="pt-PT" w:eastAsia="en-US" w:bidi="ar-SA"/>
      </w:rPr>
    </w:lvl>
    <w:lvl w:ilvl="8" w:tplc="07D6F59E">
      <w:numFmt w:val="bullet"/>
      <w:lvlText w:val="•"/>
      <w:lvlJc w:val="left"/>
      <w:pPr>
        <w:ind w:left="8211" w:hanging="202"/>
      </w:pPr>
      <w:rPr>
        <w:rFonts w:hint="default"/>
        <w:lang w:val="pt-PT" w:eastAsia="en-US" w:bidi="ar-SA"/>
      </w:rPr>
    </w:lvl>
  </w:abstractNum>
  <w:abstractNum w:abstractNumId="9" w15:restartNumberingAfterBreak="0">
    <w:nsid w:val="74233BE6"/>
    <w:multiLevelType w:val="hybridMultilevel"/>
    <w:tmpl w:val="30BC2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77072">
    <w:abstractNumId w:val="7"/>
  </w:num>
  <w:num w:numId="2" w16cid:durableId="1478262155">
    <w:abstractNumId w:val="8"/>
  </w:num>
  <w:num w:numId="3" w16cid:durableId="1124468974">
    <w:abstractNumId w:val="6"/>
  </w:num>
  <w:num w:numId="4" w16cid:durableId="59133664">
    <w:abstractNumId w:val="4"/>
  </w:num>
  <w:num w:numId="5" w16cid:durableId="1430158700">
    <w:abstractNumId w:val="9"/>
  </w:num>
  <w:num w:numId="6" w16cid:durableId="659239345">
    <w:abstractNumId w:val="3"/>
  </w:num>
  <w:num w:numId="7" w16cid:durableId="2104180651">
    <w:abstractNumId w:val="1"/>
  </w:num>
  <w:num w:numId="8" w16cid:durableId="1298947733">
    <w:abstractNumId w:val="0"/>
  </w:num>
  <w:num w:numId="9" w16cid:durableId="1755663442">
    <w:abstractNumId w:val="5"/>
  </w:num>
  <w:num w:numId="10" w16cid:durableId="1838038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74"/>
    <w:rsid w:val="00015D78"/>
    <w:rsid w:val="00016F01"/>
    <w:rsid w:val="000752BB"/>
    <w:rsid w:val="000828A7"/>
    <w:rsid w:val="00093231"/>
    <w:rsid w:val="000D4B3F"/>
    <w:rsid w:val="000F1678"/>
    <w:rsid w:val="00100CBD"/>
    <w:rsid w:val="001049E9"/>
    <w:rsid w:val="0012706B"/>
    <w:rsid w:val="0014180E"/>
    <w:rsid w:val="001854E5"/>
    <w:rsid w:val="001A3BBA"/>
    <w:rsid w:val="001C29E9"/>
    <w:rsid w:val="001C5F86"/>
    <w:rsid w:val="001D5C2A"/>
    <w:rsid w:val="001D7CA4"/>
    <w:rsid w:val="00221906"/>
    <w:rsid w:val="00236A93"/>
    <w:rsid w:val="0027529F"/>
    <w:rsid w:val="0028347D"/>
    <w:rsid w:val="002A2C68"/>
    <w:rsid w:val="002E044D"/>
    <w:rsid w:val="00330841"/>
    <w:rsid w:val="00332F38"/>
    <w:rsid w:val="00342025"/>
    <w:rsid w:val="00350DBC"/>
    <w:rsid w:val="00361051"/>
    <w:rsid w:val="003631D0"/>
    <w:rsid w:val="00386AB9"/>
    <w:rsid w:val="003A06A8"/>
    <w:rsid w:val="003A322B"/>
    <w:rsid w:val="003F7A69"/>
    <w:rsid w:val="004011AC"/>
    <w:rsid w:val="00427EBB"/>
    <w:rsid w:val="00433491"/>
    <w:rsid w:val="00433DA7"/>
    <w:rsid w:val="00443F36"/>
    <w:rsid w:val="004445F0"/>
    <w:rsid w:val="00460717"/>
    <w:rsid w:val="00464812"/>
    <w:rsid w:val="00476786"/>
    <w:rsid w:val="00480974"/>
    <w:rsid w:val="004A09DA"/>
    <w:rsid w:val="004D36AA"/>
    <w:rsid w:val="004E1233"/>
    <w:rsid w:val="004E7F42"/>
    <w:rsid w:val="00500DBE"/>
    <w:rsid w:val="0050159A"/>
    <w:rsid w:val="00514373"/>
    <w:rsid w:val="00552D26"/>
    <w:rsid w:val="00560ACD"/>
    <w:rsid w:val="005A29FD"/>
    <w:rsid w:val="005A64CC"/>
    <w:rsid w:val="005B26FB"/>
    <w:rsid w:val="005C7F14"/>
    <w:rsid w:val="00614163"/>
    <w:rsid w:val="00615600"/>
    <w:rsid w:val="00671A9A"/>
    <w:rsid w:val="0069632F"/>
    <w:rsid w:val="006D19DF"/>
    <w:rsid w:val="006F3D68"/>
    <w:rsid w:val="00706930"/>
    <w:rsid w:val="00707EA4"/>
    <w:rsid w:val="007206F2"/>
    <w:rsid w:val="007313AE"/>
    <w:rsid w:val="00766BF7"/>
    <w:rsid w:val="00780C0B"/>
    <w:rsid w:val="007E0362"/>
    <w:rsid w:val="007F18FC"/>
    <w:rsid w:val="008016F4"/>
    <w:rsid w:val="00802E4B"/>
    <w:rsid w:val="008620AA"/>
    <w:rsid w:val="00871026"/>
    <w:rsid w:val="008D3167"/>
    <w:rsid w:val="009032C1"/>
    <w:rsid w:val="00921A5E"/>
    <w:rsid w:val="009B1EC0"/>
    <w:rsid w:val="009B326D"/>
    <w:rsid w:val="009D5D9D"/>
    <w:rsid w:val="009E4FD0"/>
    <w:rsid w:val="00A17708"/>
    <w:rsid w:val="00A2613D"/>
    <w:rsid w:val="00A26F01"/>
    <w:rsid w:val="00A33947"/>
    <w:rsid w:val="00A87784"/>
    <w:rsid w:val="00AA16B0"/>
    <w:rsid w:val="00AA705D"/>
    <w:rsid w:val="00AA718C"/>
    <w:rsid w:val="00AB1083"/>
    <w:rsid w:val="00AC057C"/>
    <w:rsid w:val="00B12626"/>
    <w:rsid w:val="00B64E67"/>
    <w:rsid w:val="00B84633"/>
    <w:rsid w:val="00B97EFC"/>
    <w:rsid w:val="00BB2FA8"/>
    <w:rsid w:val="00BB4175"/>
    <w:rsid w:val="00BD6166"/>
    <w:rsid w:val="00BE257B"/>
    <w:rsid w:val="00C76B59"/>
    <w:rsid w:val="00C87FAA"/>
    <w:rsid w:val="00C90E5E"/>
    <w:rsid w:val="00CA089A"/>
    <w:rsid w:val="00CA3316"/>
    <w:rsid w:val="00CA6F1C"/>
    <w:rsid w:val="00CB1167"/>
    <w:rsid w:val="00CC1C9C"/>
    <w:rsid w:val="00CE1878"/>
    <w:rsid w:val="00D146FD"/>
    <w:rsid w:val="00D47B03"/>
    <w:rsid w:val="00D974EE"/>
    <w:rsid w:val="00DB1BC8"/>
    <w:rsid w:val="00DB5A2D"/>
    <w:rsid w:val="00DF07A1"/>
    <w:rsid w:val="00E76392"/>
    <w:rsid w:val="00E815B1"/>
    <w:rsid w:val="00E90173"/>
    <w:rsid w:val="00E9050C"/>
    <w:rsid w:val="00E95891"/>
    <w:rsid w:val="00E97949"/>
    <w:rsid w:val="00EA43AE"/>
    <w:rsid w:val="00EB009F"/>
    <w:rsid w:val="00EE1BA2"/>
    <w:rsid w:val="00F2037C"/>
    <w:rsid w:val="00F22DA2"/>
    <w:rsid w:val="00F23B0D"/>
    <w:rsid w:val="00F24BF4"/>
    <w:rsid w:val="00F4396F"/>
    <w:rsid w:val="00F66143"/>
    <w:rsid w:val="00F763CE"/>
    <w:rsid w:val="00F85CF9"/>
    <w:rsid w:val="00FB5259"/>
    <w:rsid w:val="00FD20EF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8166"/>
  <w15:docId w15:val="{1708A11E-5631-44AC-930F-0049C91F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69" w:hanging="2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74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146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146FD"/>
    <w:rPr>
      <w:b/>
      <w:bCs/>
    </w:rPr>
  </w:style>
  <w:style w:type="table" w:styleId="Tabelacomgrade">
    <w:name w:val="Table Grid"/>
    <w:basedOn w:val="Tabelanormal"/>
    <w:uiPriority w:val="39"/>
    <w:qFormat/>
    <w:rsid w:val="00F22DA2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7A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28A7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74E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onsurge.saude.mg.go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icitacao@consurge.saude.m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4520-8326-4FD4-91B6-E99597CF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1047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Rosalvo</dc:creator>
  <cp:lastModifiedBy>Kleyton Costa</cp:lastModifiedBy>
  <cp:revision>37</cp:revision>
  <dcterms:created xsi:type="dcterms:W3CDTF">2025-08-21T19:09:00Z</dcterms:created>
  <dcterms:modified xsi:type="dcterms:W3CDTF">2025-12-12T14:33:00Z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2019</vt:lpwstr>
  </property>
</Properties>
</file>