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dos projetos será realizada mediante atribuição de notas aos critérios de seleção, conforme descrição a seguir:  </w:t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2"/>
        <w:gridCol w:w="3943"/>
        <w:gridCol w:w="2953"/>
        <w:tblGridChange w:id="0">
          <w:tblGrid>
            <w:gridCol w:w="1592"/>
            <w:gridCol w:w="3943"/>
            <w:gridCol w:w="295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Qualidade do Projeto - Coerência do objeto, objetivos, justificativa e metas do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evidente os resultados que serão obtidos.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Relevância da ação proposta para o cenário cultural 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Campo Limpo Paulista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Campo Limpo Paulista.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nas metas, resultados e desdobramentos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 Cronograma, Objetivos e Metas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Será considerada,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para fins de análise, a carreira do proponente, com base no currículo e comprovações enviadas juntamente com a proposta.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7"/>
        <w:gridCol w:w="3442"/>
        <w:gridCol w:w="3867"/>
        <w:tblGridChange w:id="0">
          <w:tblGrid>
            <w:gridCol w:w="1717"/>
            <w:gridCol w:w="3442"/>
            <w:gridCol w:w="386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BÔNUS PARA PROPONENTES PESSOAS FÍSICAS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 REPRESENTANTE DE COL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ETIVOS/GRUPOS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do gênero 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negros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PONTOS</w:t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consideradas as seguintes regras de contabilização de notas: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média das notas que cada membro da Comissão de Análise atribuir a cada um dos critérios e a soma total deverá seguir a seguinte classificação: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="240" w:lineRule="auto"/>
        <w:ind w:left="144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Grau pleno de atendimento do critério - 60 a 80 pontos;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="240" w:lineRule="auto"/>
        <w:ind w:left="144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Grau satisfatório de atendimento do critério – 40 a 59 pontos;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="240" w:lineRule="auto"/>
        <w:ind w:left="144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Grau insatisfatório de atendimento do critério – 20 a 39 pontos;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120" w:before="0" w:beforeAutospacing="0" w:line="240" w:lineRule="auto"/>
        <w:ind w:left="144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atendimento do critério – 0 a 19 pontos.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right="1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Exemplo: 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right="1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Item A -  primeiro parecerista atribuiu nota 4; segundo parecerista atribuiu nota 6 e terceiro parecerista atribuiu 8.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right="1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Média: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4+6+8</w:t>
      </w:r>
      <w:r w:rsidDel="00000000" w:rsidR="00000000" w:rsidRPr="00000000">
        <w:rPr>
          <w:i w:val="1"/>
          <w:sz w:val="24"/>
          <w:szCs w:val="24"/>
          <w:rtl w:val="0"/>
        </w:rPr>
        <w:t xml:space="preserve"> = 6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right="1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     3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right="1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As médias de cada item foram: A (6); B (8); C (5); D (6); E (7); F (8). A soma de todos os itens é 40 pontos. Nesse exemplo, a proponente é negra e do gênero feminino, o que lhe atribui pontuação extra de 5 pontos em cada critério. Sendo assim, a sua nota final é 50 pontos, o que classifica o projeto como “Grau satisfatório de atendimento do critério”.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eliminatórios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modo que o agente cultural que receber pontuação 0 em algum dos critérios será desclassificado do Edital.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 de modo que a pontuação 0 em algum dos pontos bônus não desclassifica o agente cultural.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critérios acima elencados seja capaz de promover o desempate, serão adotados critérios de desempate na ordem a seguir: maior tempo de atuação dos profissionais de acordo com o portfólio; maior idade do proponente; sorteio.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projetos que receberem nota final igual ou superior a 40 pontos.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120" w:before="0" w:beforeAutospacing="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41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41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apresentem quaisquer formas de preconceito de origem, raça, etnia, gênero, cor, idade ou outras formas de discriminação, com fundamento no disposto no 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120" w:before="0" w:beforeAutospacing="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resultados parcial e final serão publicados em Diário Oficial cujos projetos serão dispostos em tabela classificatória em ordem decrescente. 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-1056281</wp:posOffset>
          </wp:positionH>
          <wp:positionV relativeFrom="paragraph">
            <wp:posOffset>-441627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9413676</wp:posOffset>
          </wp:positionV>
          <wp:extent cx="1943903" cy="388781"/>
          <wp:effectExtent b="0" l="0" r="0" t="0"/>
          <wp:wrapNone/>
          <wp:docPr id="8562594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903" cy="3887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Bu60YZ0Sisk/ZmchNFZgq+X9g==">CgMxLjA4AHIhMVFIaC1WbkdFUE53OEduN2FlYks5RGpyNW9vY0xXYVR6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