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566" w:righ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Rule="auto"/>
        <w:ind w:left="566" w:right="123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n.º 19/2024 — PRODUÇÃO, DIFUSÃO E FORMAÇÃO AUDIOVISUAL</w:t>
      </w:r>
    </w:p>
    <w:p w:rsidR="00000000" w:rsidDel="00000000" w:rsidP="00000000" w:rsidRDefault="00000000" w:rsidRPr="00000000" w14:paraId="00000003">
      <w:pPr>
        <w:spacing w:after="120" w:before="120" w:lineRule="auto"/>
        <w:ind w:left="566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CATEGORIAS DE APOIO — AUDIOVISUAL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RECURSOS DO EDITAL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possui valor total de R$ 119.000,00 (cento e dezenove mil reais)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distribuídos da seguinte forma: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I —  Até R$ 119.000,00 (cento e dezenove mil reais)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​apoio a produção de obras audiovisuais, de curta-metragem e/ou videoclipe e desenvolvimento de roteiro, divididos nos valores abaixo: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120" w:line="276" w:lineRule="auto"/>
        <w:ind w:left="720" w:right="120" w:hanging="11.33858267716533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Pequeno porte: R$ 12.000,00 (doze mil reais);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right="120" w:hanging="11.33858267716533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Médio porte: R$ 30.000,00 (trinta mil reais);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0" w:beforeAutospacing="0" w:line="276" w:lineRule="auto"/>
        <w:ind w:left="720" w:right="120" w:hanging="11.33858267716533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Grande porte: R$35.000,00 (trinta e cinco mil reais).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DESCRIÇÃO DA CATEGORIA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I —  Inciso I do art. 6º da LPG: apoio a produção de obras audiovisuais, de curta-metragem e/ou videoclipe.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Produção de curtas-metragens: (pequeno porte)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refere-se ao apoio concedido à produção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curta-metragem</w:t>
      </w:r>
      <w:r w:rsidDel="00000000" w:rsidR="00000000" w:rsidRPr="00000000">
        <w:rPr>
          <w:sz w:val="24"/>
          <w:szCs w:val="24"/>
          <w:rtl w:val="0"/>
        </w:rPr>
        <w:t xml:space="preserve"> com duração de no </w:t>
      </w:r>
      <w:r w:rsidDel="00000000" w:rsidR="00000000" w:rsidRPr="00000000">
        <w:rPr>
          <w:sz w:val="24"/>
          <w:szCs w:val="24"/>
          <w:rtl w:val="0"/>
        </w:rPr>
        <w:t xml:space="preserve">mínimo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minutos</w:t>
      </w:r>
      <w:r w:rsidDel="00000000" w:rsidR="00000000" w:rsidRPr="00000000">
        <w:rPr>
          <w:sz w:val="24"/>
          <w:szCs w:val="24"/>
          <w:rtl w:val="0"/>
        </w:rPr>
        <w:t xml:space="preserve"> e no máximo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minutos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[ficção, documentário, animação, etc.]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recursos fornecidos podem ser direcionados para financiar todo o processo de produção, desde o desenvolvimento do projeto até a distribuição do filme.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Produção de videoclipes: (médio porte)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este edital, refere-se ao apoio concedido à produção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videoclipe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artistas locais</w:t>
      </w:r>
      <w:r w:rsidDel="00000000" w:rsidR="00000000" w:rsidRPr="00000000">
        <w:rPr>
          <w:sz w:val="24"/>
          <w:szCs w:val="24"/>
          <w:rtl w:val="0"/>
        </w:rPr>
        <w:t xml:space="preserve"> com duração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3 a 6 minutos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Desenvolvimento de roteiro de longa-metragem: (grande porte)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edital refere-se ao apoio para 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 de roteiro de curtas ou médias-metragens</w:t>
      </w:r>
      <w:r w:rsidDel="00000000" w:rsidR="00000000" w:rsidRPr="00000000">
        <w:rPr>
          <w:sz w:val="24"/>
          <w:szCs w:val="24"/>
          <w:rtl w:val="0"/>
        </w:rPr>
        <w:t xml:space="preserve">, com duração de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70 minutos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[ficção, documentário, animação, etc.]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iniciativa visa incentivar a criação de projetos sólidos, com narrativas bem estruturadas e conteúdo relevante.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DISTRIBUIÇÃO DE VAGAS E VALORES</w:t>
      </w:r>
    </w:p>
    <w:tbl>
      <w:tblPr>
        <w:tblStyle w:val="Table1"/>
        <w:tblW w:w="9525.0" w:type="dxa"/>
        <w:jc w:val="left"/>
        <w:tblInd w:w="6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210"/>
        <w:gridCol w:w="1470"/>
        <w:gridCol w:w="2580"/>
        <w:gridCol w:w="2265"/>
        <w:tblGridChange w:id="0">
          <w:tblGrid>
            <w:gridCol w:w="3210"/>
            <w:gridCol w:w="1470"/>
            <w:gridCol w:w="2580"/>
            <w:gridCol w:w="2265"/>
          </w:tblGrid>
        </w:tblGridChange>
      </w:tblGrid>
      <w:tr>
        <w:trPr>
          <w:cantSplit w:val="1"/>
          <w:trHeight w:val="87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 DE PROJETOS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MÁXIMO POR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DA CATEGORIA</w:t>
            </w:r>
          </w:p>
        </w:tc>
      </w:tr>
      <w:tr>
        <w:trPr>
          <w:cantSplit w:val="1"/>
          <w:trHeight w:val="84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— Produção Audiovisual — Pequeno Porte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R$ 12.000,00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R$ 24.000,00</w:t>
            </w:r>
          </w:p>
        </w:tc>
      </w:tr>
      <w:tr>
        <w:trPr>
          <w:cantSplit w:val="1"/>
          <w:trHeight w:val="84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— Produção Audiovisual — Médio Porte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R$ 30.000,00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R$ 60.000,00</w:t>
            </w:r>
          </w:p>
        </w:tc>
      </w:tr>
      <w:tr>
        <w:trPr>
          <w:cantSplit w:val="1"/>
          <w:trHeight w:val="84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76" w:lineRule="auto"/>
              <w:ind w:left="141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— Produção Audiovisual — Grande Porte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R$ 35.000,00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76" w:lineRule="auto"/>
              <w:ind w:left="141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R$ 35.000,00</w:t>
            </w:r>
          </w:p>
        </w:tc>
      </w:tr>
    </w:tbl>
    <w:p w:rsidR="00000000" w:rsidDel="00000000" w:rsidP="00000000" w:rsidRDefault="00000000" w:rsidRPr="00000000" w14:paraId="0000002A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DISTRIBUIÇÃO DE COTAS </w:t>
      </w:r>
    </w:p>
    <w:tbl>
      <w:tblPr>
        <w:tblStyle w:val="Table2"/>
        <w:tblpPr w:leftFromText="180" w:rightFromText="180" w:topFromText="180" w:bottomFromText="180" w:vertAnchor="text" w:horzAnchor="text" w:tblpX="705" w:tblpY="0"/>
        <w:tblW w:w="97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75"/>
        <w:gridCol w:w="2430"/>
        <w:gridCol w:w="2430"/>
        <w:gridCol w:w="2415"/>
        <w:tblGridChange w:id="0">
          <w:tblGrid>
            <w:gridCol w:w="2475"/>
            <w:gridCol w:w="2430"/>
            <w:gridCol w:w="2430"/>
            <w:gridCol w:w="2415"/>
          </w:tblGrid>
        </w:tblGridChange>
      </w:tblGrid>
      <w:tr>
        <w:trPr>
          <w:cantSplit w:val="1"/>
          <w:trHeight w:val="81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76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PROJETOS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76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AMPLA CONCORRÊNCIA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76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 PARA NEGROS (20%)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76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 PARA INDÍGENAS (10%)</w:t>
            </w:r>
          </w:p>
        </w:tc>
      </w:tr>
      <w:tr>
        <w:trPr>
          <w:cantSplit w:val="1"/>
          <w:trHeight w:val="54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76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76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76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76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ind w:left="56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24C86"/>
  </w:style>
  <w:style w:type="paragraph" w:styleId="Ttulo1">
    <w:name w:val="heading 1"/>
    <w:basedOn w:val="normal0"/>
    <w:next w:val="normal0"/>
    <w:rsid w:val="00224C8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224C8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224C8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224C8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224C8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224C8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224C86"/>
  </w:style>
  <w:style w:type="table" w:styleId="TableNormal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224C8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224C86"/>
  </w:style>
  <w:style w:type="table" w:styleId="TableNormal0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224C86"/>
  </w:style>
  <w:style w:type="table" w:styleId="TableNormal1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224C86"/>
  </w:style>
  <w:style w:type="table" w:styleId="TableNormal2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224C86"/>
  </w:style>
  <w:style w:type="table" w:styleId="TableNormal3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224C86"/>
  </w:style>
  <w:style w:type="table" w:styleId="TableNormal4" w:customStyle="1">
    <w:name w:val="Table Normal"/>
    <w:rsid w:val="00224C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224C8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224C8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rsid w:val="00224C8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rsid w:val="00224C8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9+zADy8Kz6oet6A7zi4WaXMuqg==">CgMxLjAyDmguMnhneXRqY2xzMGxmOAByITFOQUpMdnBwVktPR0lFZGVhQ3ZadlVuWkZ6N1VIc0UtYg==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2024-08-09T17:30:00Z</dcterms:created>
  <dc:creator>Fagner de Oliveira</dc:creator>
</cp:coreProperties>
</file>