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Nº 005/2025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PONTOS E PONTÕES DE CULTURA DE SÃO PAULO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categoria para inscrição da entidade ou coletivo cultural:</w:t>
      </w:r>
    </w:p>
    <w:p w:rsidR="00000000" w:rsidDel="00000000" w:rsidP="00000000" w:rsidRDefault="00000000" w:rsidRPr="00000000" w14:paraId="0000000E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Entidade ou Coletivo Cultural com no mínimo 02 (dois) anos de atuação;</w:t>
      </w:r>
    </w:p>
    <w:p w:rsidR="00000000" w:rsidDel="00000000" w:rsidP="00000000" w:rsidRDefault="00000000" w:rsidRPr="00000000" w14:paraId="0000000F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 para contabilização de vaga ou bonificação:</w:t>
      </w:r>
    </w:p>
    <w:p w:rsidR="00000000" w:rsidDel="00000000" w:rsidP="00000000" w:rsidRDefault="00000000" w:rsidRPr="00000000" w14:paraId="00000011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9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A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OU COLETIVO CULTURAL</w:t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147.0" w:type="dxa"/>
        <w:tblLayout w:type="fixed"/>
        <w:tblLook w:val="0000"/>
      </w:tblPr>
      <w:tblGrid>
        <w:gridCol w:w="3855"/>
        <w:gridCol w:w="1335"/>
        <w:gridCol w:w="105"/>
        <w:gridCol w:w="1725"/>
        <w:gridCol w:w="3465"/>
        <w:tblGridChange w:id="0">
          <w:tblGrid>
            <w:gridCol w:w="3855"/>
            <w:gridCol w:w="1335"/>
            <w:gridCol w:w="105"/>
            <w:gridCol w:w="1725"/>
            <w:gridCol w:w="3465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ou coletivo cultural:</w:t>
            </w:r>
          </w:p>
          <w:p w:rsidR="00000000" w:rsidDel="00000000" w:rsidP="00000000" w:rsidRDefault="00000000" w:rsidRPr="00000000" w14:paraId="0000001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 (se entidade):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ou coletivo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A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</w:t>
            </w:r>
          </w:p>
          <w:p w:rsidR="00000000" w:rsidDel="00000000" w:rsidP="00000000" w:rsidRDefault="00000000" w:rsidRPr="00000000" w14:paraId="0000004B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certificados, podendo, ou não, ser certificado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ou coletivo já seja certificada pelo Ministério da Cultura, estando inscrita no Cadastro Nacional de Pontos e Pontões de Cultura, coloque o link do certificado ou envie comprovante (não obrigatório, porém recomendamos para evitar que seja avaliado como não certificado):</w:t>
            </w:r>
          </w:p>
          <w:p w:rsidR="00000000" w:rsidDel="00000000" w:rsidP="00000000" w:rsidRDefault="00000000" w:rsidRPr="00000000" w14:paraId="0000005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147.0" w:type="dxa"/>
        <w:tblLayout w:type="fixed"/>
        <w:tblLook w:val="0000"/>
      </w:tblPr>
      <w:tblGrid>
        <w:gridCol w:w="3405"/>
        <w:gridCol w:w="765"/>
        <w:gridCol w:w="1125"/>
        <w:gridCol w:w="840"/>
        <w:gridCol w:w="585"/>
        <w:gridCol w:w="3765"/>
        <w:tblGridChange w:id="0">
          <w:tblGrid>
            <w:gridCol w:w="3405"/>
            <w:gridCol w:w="765"/>
            <w:gridCol w:w="1125"/>
            <w:gridCol w:w="840"/>
            <w:gridCol w:w="585"/>
            <w:gridCol w:w="3765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6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6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(    ) Gay                                     (    ) Bissexual</w:t>
            </w:r>
          </w:p>
          <w:p w:rsidR="00000000" w:rsidDel="00000000" w:rsidP="00000000" w:rsidRDefault="00000000" w:rsidRPr="00000000" w14:paraId="0000007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(    ) Heterosexual</w:t>
            </w:r>
          </w:p>
          <w:p w:rsidR="00000000" w:rsidDel="00000000" w:rsidP="00000000" w:rsidRDefault="00000000" w:rsidRPr="00000000" w14:paraId="0000007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A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B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C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Qual sua ocupação dentro da cultura?</w:t>
            </w:r>
          </w:p>
          <w:p w:rsidR="00000000" w:rsidDel="00000000" w:rsidP="00000000" w:rsidRDefault="00000000" w:rsidRPr="00000000" w14:paraId="000000C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Há quanto tempo você trabalha neste setor cultural? </w:t>
            </w:r>
          </w:p>
          <w:p w:rsidR="00000000" w:rsidDel="00000000" w:rsidP="00000000" w:rsidRDefault="00000000" w:rsidRPr="00000000" w14:paraId="000000C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ou coletivo cultural atua no setor cultural?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de 2 a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330"/>
        <w:gridCol w:w="630"/>
        <w:gridCol w:w="5955"/>
        <w:tblGridChange w:id="0">
          <w:tblGrid>
            <w:gridCol w:w="570"/>
            <w:gridCol w:w="3330"/>
            <w:gridCol w:w="630"/>
            <w:gridCol w:w="5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0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A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DADOS BANCÁRIOS (PARA O CASO DE PREMIAÇÃO)</w:t>
      </w: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17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1B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1C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Praça de Pagamento*:</w:t>
            </w:r>
          </w:p>
          <w:p w:rsidR="00000000" w:rsidDel="00000000" w:rsidP="00000000" w:rsidRDefault="00000000" w:rsidRPr="00000000" w14:paraId="0000021E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after="120" w:before="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000000" w:rsidDel="00000000" w:rsidP="00000000" w:rsidRDefault="00000000" w:rsidRPr="00000000" w14:paraId="00000220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tanto, não poderá ser indicada a conta utilizada para convênio ou instrumentos similares.</w:t>
            </w:r>
          </w:p>
          <w:p w:rsidR="00000000" w:rsidDel="00000000" w:rsidP="00000000" w:rsidRDefault="00000000" w:rsidRPr="00000000" w14:paraId="00000221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*A praça de pagamento é a cidade indicada para pagamento. Portanto, não pode ser um bairro ou endereço e não se confunde com o domicílio das partes ou local de emissão.</w:t>
            </w:r>
          </w:p>
        </w:tc>
      </w:tr>
    </w:tbl>
    <w:p w:rsidR="00000000" w:rsidDel="00000000" w:rsidP="00000000" w:rsidRDefault="00000000" w:rsidRPr="00000000" w14:paraId="00000226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28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29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2A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2B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2C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2D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2E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Prefeitura de Campo Limpo Paulista, através da Secretaria Municipal de Cultura e Turismo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2F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230">
      <w:pPr>
        <w:shd w:fill="ffffff" w:val="clear"/>
        <w:tabs>
          <w:tab w:val="left" w:leader="none" w:pos="567"/>
        </w:tabs>
        <w:spacing w:after="120" w:befor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31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 Limpo Paulista, (data) de maio de 2025.</w:t>
      </w:r>
    </w:p>
    <w:p w:rsidR="00000000" w:rsidDel="00000000" w:rsidP="00000000" w:rsidRDefault="00000000" w:rsidRPr="00000000" w14:paraId="00000232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3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34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(Nome completo do Responsável Legal da Entidade Cultural)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5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190500</wp:posOffset>
          </wp:positionH>
          <wp:positionV relativeFrom="paragraph">
            <wp:posOffset>-245744</wp:posOffset>
          </wp:positionV>
          <wp:extent cx="674991" cy="674991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1876425</wp:posOffset>
          </wp:positionH>
          <wp:positionV relativeFrom="paragraph">
            <wp:posOffset>-190499</wp:posOffset>
          </wp:positionV>
          <wp:extent cx="4154170" cy="51943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295275</wp:posOffset>
              </wp:positionH>
              <wp:positionV relativeFrom="paragraph">
                <wp:posOffset>40301</wp:posOffset>
              </wp:positionV>
              <wp:extent cx="5827395" cy="3175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295275</wp:posOffset>
              </wp:positionH>
              <wp:positionV relativeFrom="paragraph">
                <wp:posOffset>40301</wp:posOffset>
              </wp:positionV>
              <wp:extent cx="5827395" cy="3175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8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9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A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3B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C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5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PDz8x6/dS/YoWCpOGpeUxvP8A==">CgMxLjAyCGguZ2pkZ3hzOAByITFsQmtsWExPeTBERXFrcVdEZ3Z2YnhVdldabU9fVDBpYQ==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