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w:t>
      </w:r>
      <w:r w:rsidDel="00000000" w:rsidR="00000000" w:rsidRPr="00000000">
        <w:rPr>
          <w:rFonts w:ascii="Calibri" w:cs="Calibri" w:eastAsia="Calibri" w:hAnsi="Calibri"/>
          <w:b w:val="1"/>
          <w:sz w:val="24"/>
          <w:szCs w:val="24"/>
          <w:rtl w:val="0"/>
        </w:rPr>
        <w:t xml:space="preserve">EDITAL DE CHAMAMENTO PÚBLICO Nº 007/2025 - SELEÇÃO ESPAÇO, AMBIENTES E INICIATIVAS ARTÍSTICO-CULTURAIS PARA RECEBER SUBSÍDIO PARA MANUTENÇÃO COM RECURSOS DA POLÍTICA NACIONAL ALDIR BLANC DE FOMENTO À CULTURA – PNAB (LEI Nº 14.399/2022)</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 PREFEITURA DE CAMPO LIMPO PAULISTA, neste ato representado pelo SECRETÁRIO MUNICIPAL DE CULTURA E TURISMO, Senhor(a) ANTONIO CARLOS CAMACHO,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R$6.000,00 (seis mil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PREFEITURA:</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Secretaria de Cultura e Turismo  por meio de Relatório de Execução do Objeto, apresentado no prazo máximo de 30 dias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de Cultura e Turismo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30 dias a contar do fim da vigência deste Termo de Execução Cultural.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30 dias contados do recebimento da notificação.</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3">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E">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r w:rsidDel="00000000" w:rsidR="00000000" w:rsidRPr="00000000">
        <w:rPr>
          <w:rtl w:val="0"/>
        </w:rPr>
      </w:r>
    </w:p>
    <w:p w:rsidR="00000000" w:rsidDel="00000000" w:rsidP="00000000" w:rsidRDefault="00000000" w:rsidRPr="00000000" w14:paraId="0000004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6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A Comissão de Acompanhamento da PNAB e a Secretaria Municipal de Cultura e Turismo ficam responsáveis pelo monitoramento e controle do projeto através de análise da prestação de contas e elaboração de relatórios.</w:t>
      </w:r>
      <w:r w:rsidDel="00000000" w:rsidR="00000000" w:rsidRPr="00000000">
        <w:rPr>
          <w:rtl w:val="0"/>
        </w:rPr>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180 dias, podendo ser prorrogado por 180 dias.</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PUBLICAÇÃO </w:t>
      </w:r>
      <w:r w:rsidDel="00000000" w:rsidR="00000000" w:rsidRPr="00000000">
        <w:rPr>
          <w:rtl w:val="0"/>
        </w:rPr>
      </w:r>
    </w:p>
    <w:p w:rsidR="00000000" w:rsidDel="00000000" w:rsidP="00000000" w:rsidRDefault="00000000" w:rsidRPr="00000000" w14:paraId="00000065">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Diário Oficial</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6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Campo Limpo Paulista para dirimir quaisquer dúvidas relativas ao presente Termo de Execução Cultural.</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Campo Limpo Paulista, [INDICAR DIA, MÊS E ANO].</w:t>
      </w:r>
    </w:p>
    <w:p w:rsidR="00000000" w:rsidDel="00000000" w:rsidP="00000000" w:rsidRDefault="00000000" w:rsidRPr="00000000" w14:paraId="0000006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ANTONIO CARLOS CAMACHO</w:t>
      </w:r>
    </w:p>
    <w:p w:rsidR="00000000" w:rsidDel="00000000" w:rsidP="00000000" w:rsidRDefault="00000000" w:rsidRPr="00000000" w14:paraId="0000006D">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Secretário Municipal de Cultura e Turismo</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0">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-742949</wp:posOffset>
          </wp:positionH>
          <wp:positionV relativeFrom="paragraph">
            <wp:posOffset>-390524</wp:posOffset>
          </wp:positionV>
          <wp:extent cx="7540809" cy="10662699"/>
          <wp:effectExtent b="0" l="0" r="0" t="0"/>
          <wp:wrapNone/>
          <wp:docPr descr="Fundo preto com letras brancas&#10;&#10;Descrição gerada automaticamente" id="387604893"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9320400</wp:posOffset>
          </wp:positionV>
          <wp:extent cx="856800" cy="856800"/>
          <wp:effectExtent b="0" l="0" r="0" t="0"/>
          <wp:wrapNone/>
          <wp:docPr id="38760489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56800" cy="85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Mx5GWJpTKmbeH0gGGox1qUOUw==">CgMxLjA4AHIhMWdEUndDd3drTVFtUkpNeXVQc1hUNExkRDlBX0dJM0FR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