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4571D" w14:textId="6744C148" w:rsidR="004B1BA5" w:rsidRDefault="00400448" w:rsidP="004B1BA5">
      <w:pPr>
        <w:jc w:val="center"/>
        <w:rPr>
          <w:rFonts w:ascii="Arial" w:hAnsi="Arial" w:cs="Arial"/>
          <w:b/>
          <w:sz w:val="24"/>
          <w:szCs w:val="24"/>
        </w:rPr>
      </w:pPr>
      <w:r w:rsidRPr="0007767C">
        <w:rPr>
          <w:rFonts w:ascii="Arial" w:hAnsi="Arial" w:cs="Arial"/>
          <w:b/>
          <w:sz w:val="24"/>
          <w:szCs w:val="24"/>
        </w:rPr>
        <w:t xml:space="preserve">Relatório Anual </w:t>
      </w:r>
      <w:r w:rsidR="000F3E94">
        <w:rPr>
          <w:rFonts w:ascii="Arial" w:hAnsi="Arial" w:cs="Arial"/>
          <w:b/>
          <w:sz w:val="24"/>
          <w:szCs w:val="24"/>
        </w:rPr>
        <w:t>d</w:t>
      </w:r>
      <w:r w:rsidR="000A47D1">
        <w:rPr>
          <w:rFonts w:ascii="Arial" w:hAnsi="Arial" w:cs="Arial"/>
          <w:b/>
          <w:sz w:val="24"/>
          <w:szCs w:val="24"/>
        </w:rPr>
        <w:t xml:space="preserve">e </w:t>
      </w:r>
      <w:r w:rsidR="003B0A28">
        <w:rPr>
          <w:rFonts w:ascii="Arial" w:hAnsi="Arial" w:cs="Arial"/>
          <w:b/>
          <w:sz w:val="24"/>
          <w:szCs w:val="24"/>
        </w:rPr>
        <w:t>Monitoramento</w:t>
      </w:r>
      <w:r w:rsidR="000A47D1">
        <w:rPr>
          <w:rFonts w:ascii="Arial" w:hAnsi="Arial" w:cs="Arial"/>
          <w:b/>
          <w:sz w:val="24"/>
          <w:szCs w:val="24"/>
        </w:rPr>
        <w:t xml:space="preserve"> </w:t>
      </w:r>
      <w:r w:rsidRPr="0007767C">
        <w:rPr>
          <w:rFonts w:ascii="Arial" w:hAnsi="Arial" w:cs="Arial"/>
          <w:b/>
          <w:sz w:val="24"/>
          <w:szCs w:val="24"/>
        </w:rPr>
        <w:t>do Plano Municipal de Educação</w:t>
      </w:r>
    </w:p>
    <w:p w14:paraId="6044485E" w14:textId="77777777" w:rsidR="00692D9E" w:rsidRDefault="00692D9E" w:rsidP="004B1B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Meta 6 – Período Integral</w:t>
      </w:r>
    </w:p>
    <w:p w14:paraId="19BEDCD0" w14:textId="3DD656A0" w:rsidR="00400448" w:rsidRPr="0007767C" w:rsidRDefault="00400448" w:rsidP="004B1BA5">
      <w:pPr>
        <w:jc w:val="center"/>
        <w:rPr>
          <w:rFonts w:ascii="Arial" w:hAnsi="Arial" w:cs="Arial"/>
          <w:b/>
          <w:sz w:val="24"/>
          <w:szCs w:val="24"/>
        </w:rPr>
      </w:pPr>
      <w:r w:rsidRPr="0007767C">
        <w:rPr>
          <w:rFonts w:ascii="Arial" w:hAnsi="Arial" w:cs="Arial"/>
          <w:b/>
          <w:sz w:val="24"/>
          <w:szCs w:val="24"/>
        </w:rPr>
        <w:t xml:space="preserve">PME de </w:t>
      </w:r>
      <w:r w:rsidR="00282FB6">
        <w:rPr>
          <w:rFonts w:ascii="Arial" w:hAnsi="Arial" w:cs="Arial"/>
          <w:b/>
          <w:sz w:val="24"/>
          <w:szCs w:val="24"/>
        </w:rPr>
        <w:t>Laranjal Paulista</w:t>
      </w:r>
      <w:r w:rsidR="00294C11">
        <w:rPr>
          <w:rFonts w:ascii="Arial" w:hAnsi="Arial" w:cs="Arial"/>
          <w:b/>
          <w:sz w:val="24"/>
          <w:szCs w:val="24"/>
        </w:rPr>
        <w:t>/SP</w:t>
      </w:r>
      <w:r w:rsidR="00294C11">
        <w:rPr>
          <w:rFonts w:ascii="Arial" w:hAnsi="Arial" w:cs="Arial"/>
          <w:b/>
          <w:sz w:val="24"/>
          <w:szCs w:val="24"/>
        </w:rPr>
        <w:tab/>
      </w:r>
    </w:p>
    <w:p w14:paraId="4A29D2E8" w14:textId="77777777" w:rsidR="004B1BA5" w:rsidRDefault="004B1BA5" w:rsidP="004B1BA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E247387" w14:textId="3FC1E349" w:rsidR="0076035A" w:rsidRDefault="004B1BA5" w:rsidP="00294C1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7767C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ei</w:t>
      </w:r>
      <w:r w:rsidR="00282FB6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Municipa</w:t>
      </w:r>
      <w:r w:rsidR="00282FB6">
        <w:rPr>
          <w:rFonts w:ascii="Arial" w:hAnsi="Arial" w:cs="Arial"/>
          <w:b/>
          <w:sz w:val="24"/>
          <w:szCs w:val="24"/>
        </w:rPr>
        <w:t>is</w:t>
      </w:r>
      <w:r w:rsidR="0076035A">
        <w:rPr>
          <w:rFonts w:ascii="Arial" w:hAnsi="Arial" w:cs="Arial"/>
          <w:b/>
          <w:sz w:val="24"/>
          <w:szCs w:val="24"/>
        </w:rPr>
        <w:t>:</w:t>
      </w:r>
    </w:p>
    <w:p w14:paraId="1B28E817" w14:textId="30898041" w:rsidR="004B1BA5" w:rsidRDefault="00F63AFF" w:rsidP="00282FB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B1BA5">
        <w:rPr>
          <w:rFonts w:ascii="Arial" w:hAnsi="Arial" w:cs="Arial"/>
          <w:b/>
          <w:sz w:val="24"/>
          <w:szCs w:val="24"/>
        </w:rPr>
        <w:t xml:space="preserve">nº </w:t>
      </w:r>
      <w:r w:rsidR="00282FB6">
        <w:rPr>
          <w:rFonts w:ascii="Arial" w:hAnsi="Arial" w:cs="Arial"/>
          <w:b/>
          <w:sz w:val="24"/>
          <w:szCs w:val="24"/>
        </w:rPr>
        <w:t>3.089, de 23 de junho de 2.015;</w:t>
      </w:r>
    </w:p>
    <w:p w14:paraId="68447C13" w14:textId="0F7ED1AE" w:rsidR="00282FB6" w:rsidRDefault="00282FB6" w:rsidP="00282FB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nº 3.108, de 10 de novembro de 2.015;</w:t>
      </w:r>
    </w:p>
    <w:p w14:paraId="74E4A892" w14:textId="6474265A" w:rsidR="00282FB6" w:rsidRDefault="00282FB6" w:rsidP="00282FB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nº 3.3352, de 13 de setembro de 2.021</w:t>
      </w:r>
    </w:p>
    <w:p w14:paraId="0B5C6D9C" w14:textId="5A0EDB64" w:rsidR="00400448" w:rsidRPr="0007767C" w:rsidRDefault="00400448" w:rsidP="00400448">
      <w:pPr>
        <w:jc w:val="center"/>
        <w:rPr>
          <w:rFonts w:ascii="Arial" w:hAnsi="Arial" w:cs="Arial"/>
          <w:b/>
          <w:sz w:val="24"/>
          <w:szCs w:val="24"/>
        </w:rPr>
      </w:pPr>
      <w:r w:rsidRPr="0007767C">
        <w:rPr>
          <w:rFonts w:ascii="Arial" w:hAnsi="Arial" w:cs="Arial"/>
          <w:b/>
          <w:sz w:val="24"/>
          <w:szCs w:val="24"/>
        </w:rPr>
        <w:t>Período</w:t>
      </w:r>
      <w:r w:rsidR="0007767C">
        <w:rPr>
          <w:rFonts w:ascii="Arial" w:hAnsi="Arial" w:cs="Arial"/>
          <w:b/>
          <w:sz w:val="24"/>
          <w:szCs w:val="24"/>
        </w:rPr>
        <w:t xml:space="preserve">: </w:t>
      </w:r>
      <w:r w:rsidR="006C2854">
        <w:rPr>
          <w:rFonts w:ascii="Arial" w:hAnsi="Arial" w:cs="Arial"/>
          <w:b/>
          <w:sz w:val="24"/>
          <w:szCs w:val="24"/>
        </w:rPr>
        <w:t>20</w:t>
      </w:r>
      <w:r w:rsidR="0076035A">
        <w:rPr>
          <w:rFonts w:ascii="Arial" w:hAnsi="Arial" w:cs="Arial"/>
          <w:b/>
          <w:sz w:val="24"/>
          <w:szCs w:val="24"/>
        </w:rPr>
        <w:t>16</w:t>
      </w:r>
      <w:r w:rsidR="006C2854">
        <w:rPr>
          <w:rFonts w:ascii="Arial" w:hAnsi="Arial" w:cs="Arial"/>
          <w:b/>
          <w:sz w:val="24"/>
          <w:szCs w:val="24"/>
        </w:rPr>
        <w:t xml:space="preserve"> - 202</w:t>
      </w:r>
      <w:r w:rsidR="00282FB6">
        <w:rPr>
          <w:rFonts w:ascii="Arial" w:hAnsi="Arial" w:cs="Arial"/>
          <w:b/>
          <w:sz w:val="24"/>
          <w:szCs w:val="24"/>
        </w:rPr>
        <w:t>1</w:t>
      </w:r>
    </w:p>
    <w:p w14:paraId="73E5B670" w14:textId="77777777" w:rsidR="00400448" w:rsidRPr="0007767C" w:rsidRDefault="00400448" w:rsidP="00400448">
      <w:pPr>
        <w:jc w:val="center"/>
        <w:rPr>
          <w:rFonts w:ascii="Arial" w:hAnsi="Arial" w:cs="Arial"/>
          <w:sz w:val="24"/>
          <w:szCs w:val="24"/>
        </w:rPr>
      </w:pPr>
    </w:p>
    <w:p w14:paraId="4E94CC71" w14:textId="77777777" w:rsidR="00400448" w:rsidRPr="0007767C" w:rsidRDefault="00400448" w:rsidP="00400448">
      <w:pPr>
        <w:jc w:val="center"/>
        <w:rPr>
          <w:rFonts w:ascii="Arial" w:hAnsi="Arial" w:cs="Arial"/>
          <w:sz w:val="24"/>
          <w:szCs w:val="24"/>
        </w:rPr>
      </w:pPr>
    </w:p>
    <w:p w14:paraId="3D73D84D" w14:textId="77777777" w:rsidR="00400448" w:rsidRPr="0007767C" w:rsidRDefault="00400448" w:rsidP="00400448">
      <w:pPr>
        <w:jc w:val="center"/>
        <w:rPr>
          <w:rFonts w:ascii="Arial" w:hAnsi="Arial" w:cs="Arial"/>
          <w:sz w:val="24"/>
          <w:szCs w:val="24"/>
        </w:rPr>
      </w:pPr>
    </w:p>
    <w:p w14:paraId="203DE63B" w14:textId="77777777" w:rsidR="00400448" w:rsidRPr="0007767C" w:rsidRDefault="00400448" w:rsidP="00400448">
      <w:pPr>
        <w:jc w:val="center"/>
        <w:rPr>
          <w:rFonts w:ascii="Arial" w:hAnsi="Arial" w:cs="Arial"/>
          <w:sz w:val="24"/>
          <w:szCs w:val="24"/>
        </w:rPr>
      </w:pPr>
    </w:p>
    <w:p w14:paraId="01B61A43" w14:textId="77777777" w:rsidR="00400448" w:rsidRPr="0007767C" w:rsidRDefault="00400448" w:rsidP="00400448">
      <w:pPr>
        <w:jc w:val="center"/>
        <w:rPr>
          <w:rFonts w:ascii="Arial" w:hAnsi="Arial" w:cs="Arial"/>
          <w:sz w:val="24"/>
          <w:szCs w:val="24"/>
        </w:rPr>
      </w:pPr>
    </w:p>
    <w:p w14:paraId="421A31FD" w14:textId="77777777" w:rsidR="00400448" w:rsidRPr="0007767C" w:rsidRDefault="00400448" w:rsidP="00400448">
      <w:pPr>
        <w:jc w:val="center"/>
        <w:rPr>
          <w:rFonts w:ascii="Arial" w:hAnsi="Arial" w:cs="Arial"/>
          <w:sz w:val="24"/>
          <w:szCs w:val="24"/>
        </w:rPr>
      </w:pPr>
    </w:p>
    <w:p w14:paraId="01FC92DB" w14:textId="77777777" w:rsidR="00400448" w:rsidRPr="0007767C" w:rsidRDefault="00400448" w:rsidP="00400448">
      <w:pPr>
        <w:jc w:val="center"/>
        <w:rPr>
          <w:rFonts w:ascii="Arial" w:hAnsi="Arial" w:cs="Arial"/>
          <w:sz w:val="24"/>
          <w:szCs w:val="24"/>
        </w:rPr>
      </w:pPr>
    </w:p>
    <w:p w14:paraId="519A7ACE" w14:textId="77777777" w:rsidR="00400448" w:rsidRPr="0007767C" w:rsidRDefault="00400448" w:rsidP="00400448">
      <w:pPr>
        <w:jc w:val="center"/>
        <w:rPr>
          <w:rFonts w:ascii="Arial" w:hAnsi="Arial" w:cs="Arial"/>
          <w:sz w:val="24"/>
          <w:szCs w:val="24"/>
        </w:rPr>
      </w:pPr>
    </w:p>
    <w:p w14:paraId="2E6600DD" w14:textId="77777777" w:rsidR="00400448" w:rsidRPr="0007767C" w:rsidRDefault="00400448" w:rsidP="00400448">
      <w:pPr>
        <w:jc w:val="center"/>
        <w:rPr>
          <w:rFonts w:ascii="Arial" w:hAnsi="Arial" w:cs="Arial"/>
          <w:sz w:val="24"/>
          <w:szCs w:val="24"/>
        </w:rPr>
      </w:pPr>
    </w:p>
    <w:p w14:paraId="70869E23" w14:textId="4A153604" w:rsidR="00400448" w:rsidRPr="0007767C" w:rsidRDefault="00282FB6" w:rsidP="004004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Laranjal Paulista</w:t>
      </w:r>
      <w:r w:rsidR="00317A33">
        <w:rPr>
          <w:rFonts w:ascii="Arial" w:hAnsi="Arial" w:cs="Arial"/>
          <w:b/>
          <w:sz w:val="24"/>
          <w:szCs w:val="24"/>
        </w:rPr>
        <w:t xml:space="preserve"> (SP), </w:t>
      </w:r>
      <w:r>
        <w:rPr>
          <w:rFonts w:ascii="Arial" w:hAnsi="Arial" w:cs="Arial"/>
          <w:b/>
          <w:sz w:val="24"/>
          <w:szCs w:val="24"/>
        </w:rPr>
        <w:t>07 de junho</w:t>
      </w:r>
      <w:r w:rsidR="00317A33">
        <w:rPr>
          <w:rFonts w:ascii="Arial" w:hAnsi="Arial" w:cs="Arial"/>
          <w:b/>
          <w:sz w:val="24"/>
          <w:szCs w:val="24"/>
        </w:rPr>
        <w:t xml:space="preserve"> de 2.02</w:t>
      </w:r>
      <w:r>
        <w:rPr>
          <w:rFonts w:ascii="Arial" w:hAnsi="Arial" w:cs="Arial"/>
          <w:b/>
          <w:sz w:val="24"/>
          <w:szCs w:val="24"/>
        </w:rPr>
        <w:t>1</w:t>
      </w:r>
      <w:r w:rsidR="00317A33">
        <w:rPr>
          <w:rFonts w:ascii="Arial" w:hAnsi="Arial" w:cs="Arial"/>
          <w:b/>
          <w:sz w:val="24"/>
          <w:szCs w:val="24"/>
        </w:rPr>
        <w:t>.</w:t>
      </w:r>
    </w:p>
    <w:p w14:paraId="5FA8FAA3" w14:textId="77777777" w:rsidR="00212B6C" w:rsidRDefault="00212B6C" w:rsidP="00212B6C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0A4372C" w14:textId="77777777" w:rsidR="00212B6C" w:rsidRDefault="00212B6C" w:rsidP="00212B6C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APRESENTAÇÃO:</w:t>
      </w:r>
    </w:p>
    <w:p w14:paraId="0F2FD6EA" w14:textId="77777777" w:rsidR="00212B6C" w:rsidRDefault="00212B6C" w:rsidP="00212B6C">
      <w:pPr>
        <w:autoSpaceDE w:val="0"/>
        <w:autoSpaceDN w:val="0"/>
        <w:adjustRightInd w:val="0"/>
        <w:spacing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Plano Nacional de Educação (PNE), Lei nº 13.005, de 25 de junho de 2014, só se efetivará a partir do esforço de todos os entes federativos na consecução das suas diretrizes, metas e estratégias. Nesse sentido, um grande movimento ocorreu no País, onde os Estados, O Distrito Federal e os municípios elaboraram planos de educação à luz do PNE, a partir de ampla mobilização e participação social.</w:t>
      </w:r>
    </w:p>
    <w:p w14:paraId="39549A63" w14:textId="77777777" w:rsidR="00212B6C" w:rsidRDefault="00212B6C" w:rsidP="00212B6C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momento agora requer que esses planos sejam monitorados continuamente e avaliados periodicamente, de forma a efetivar os direitos constitucionalmente consagrados a todos os cidadãos, concretizando, assim, o PNE.</w:t>
      </w:r>
    </w:p>
    <w:p w14:paraId="7DB39776" w14:textId="77777777" w:rsidR="00212B6C" w:rsidRDefault="00212B6C" w:rsidP="00212B6C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sentido, o Ministério da Educação (MEC), por meio da Secretaria de Articulação com os Sistemas de Ensino (SASE), em parceria com o Conselho Nacional dos Secretários de Educação (CONSED) e com a União Nacional dos Dirigentes Municipais de Educação (UNDIME), constituiu a Rede de Assistência Técnica para Monitoramento e Avaliação dos Planos de Educação com o objetivo de apoiar os entes federativos no processo em pauta.</w:t>
      </w:r>
    </w:p>
    <w:p w14:paraId="6DC67F5A" w14:textId="40A430DA" w:rsidR="00212B6C" w:rsidRDefault="00212B6C" w:rsidP="00212B6C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Plano Municipal de Educação do Município de </w:t>
      </w:r>
      <w:r w:rsidR="00614DB8">
        <w:rPr>
          <w:rFonts w:ascii="Arial" w:hAnsi="Arial" w:cs="Arial"/>
          <w:sz w:val="24"/>
          <w:szCs w:val="24"/>
        </w:rPr>
        <w:t>Laranjal Paulista</w:t>
      </w:r>
      <w:r>
        <w:rPr>
          <w:rFonts w:ascii="Arial" w:hAnsi="Arial" w:cs="Arial"/>
          <w:sz w:val="24"/>
          <w:szCs w:val="24"/>
        </w:rPr>
        <w:t xml:space="preserve">, </w:t>
      </w:r>
      <w:r w:rsidRPr="00BF0B26">
        <w:rPr>
          <w:rFonts w:ascii="Arial" w:hAnsi="Arial" w:cs="Arial"/>
          <w:sz w:val="24"/>
          <w:szCs w:val="24"/>
        </w:rPr>
        <w:t xml:space="preserve">sancionado pela </w:t>
      </w:r>
      <w:r w:rsidR="00BF0B26" w:rsidRPr="00BF0B26">
        <w:rPr>
          <w:rFonts w:ascii="Arial" w:hAnsi="Arial" w:cs="Arial"/>
          <w:sz w:val="24"/>
          <w:szCs w:val="24"/>
        </w:rPr>
        <w:t xml:space="preserve">nº </w:t>
      </w:r>
      <w:r w:rsidR="00282FB6">
        <w:rPr>
          <w:rFonts w:ascii="Arial" w:hAnsi="Arial" w:cs="Arial"/>
          <w:sz w:val="24"/>
          <w:szCs w:val="24"/>
        </w:rPr>
        <w:t>3.089, de 23 de junho de 2.015</w:t>
      </w:r>
      <w:r w:rsidR="00BF0B26">
        <w:rPr>
          <w:rFonts w:ascii="Arial" w:hAnsi="Arial" w:cs="Arial"/>
          <w:sz w:val="24"/>
          <w:szCs w:val="24"/>
        </w:rPr>
        <w:t xml:space="preserve"> </w:t>
      </w:r>
      <w:r w:rsidR="003B0A28" w:rsidRPr="00BF0B26">
        <w:rPr>
          <w:rStyle w:val="nfase"/>
          <w:rFonts w:ascii="Arial" w:hAnsi="Arial" w:cs="Arial"/>
          <w:i w:val="0"/>
          <w:iCs w:val="0"/>
          <w:sz w:val="24"/>
          <w:szCs w:val="24"/>
        </w:rPr>
        <w:t>foi</w:t>
      </w:r>
      <w:r>
        <w:rPr>
          <w:rStyle w:val="nfase"/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elaborado em conjunto com a Secretaria Municipal de Educação e Comissão avaliadora.</w:t>
      </w:r>
    </w:p>
    <w:p w14:paraId="5EBF18B7" w14:textId="58B80A69" w:rsidR="00212B6C" w:rsidRDefault="00212B6C" w:rsidP="00212B6C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conseguinte, para o Processo de Monitoramento e Avaliação do referido Plano Municipal, </w:t>
      </w:r>
      <w:r w:rsidRPr="00614DB8">
        <w:rPr>
          <w:rFonts w:ascii="Arial" w:hAnsi="Arial" w:cs="Arial"/>
          <w:sz w:val="24"/>
          <w:szCs w:val="24"/>
        </w:rPr>
        <w:t>Secretaria Municipal de Educação</w:t>
      </w:r>
      <w:r>
        <w:rPr>
          <w:rFonts w:ascii="Arial" w:hAnsi="Arial" w:cs="Arial"/>
          <w:sz w:val="24"/>
          <w:szCs w:val="24"/>
        </w:rPr>
        <w:t xml:space="preserve">, no uso de suas atribuições que lhes são concedidas pela Prefeitura Municipal de </w:t>
      </w:r>
      <w:r w:rsidR="00282FB6">
        <w:rPr>
          <w:rFonts w:ascii="Arial" w:hAnsi="Arial" w:cs="Arial"/>
          <w:sz w:val="24"/>
          <w:szCs w:val="24"/>
        </w:rPr>
        <w:t>Laranjal Paulista/</w:t>
      </w:r>
      <w:r>
        <w:rPr>
          <w:rFonts w:ascii="Arial" w:hAnsi="Arial" w:cs="Arial"/>
          <w:sz w:val="24"/>
          <w:szCs w:val="24"/>
        </w:rPr>
        <w:t xml:space="preserve">SP designou a Equipe Técnica, a fim de executar os trabalhos em quatro etapas: </w:t>
      </w:r>
    </w:p>
    <w:p w14:paraId="642410E6" w14:textId="77777777" w:rsidR="00212B6C" w:rsidRDefault="00212B6C" w:rsidP="00212B6C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Organizar o trabalho;</w:t>
      </w:r>
    </w:p>
    <w:p w14:paraId="56A94163" w14:textId="77777777" w:rsidR="00212B6C" w:rsidRDefault="00212B6C" w:rsidP="00212B6C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Estudar o Plano e</w:t>
      </w:r>
    </w:p>
    <w:p w14:paraId="363E5A24" w14:textId="77777777" w:rsidR="00212B6C" w:rsidRDefault="00212B6C" w:rsidP="00212B6C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Monitorar continuamente as metas e estratégias e avaliar o Plano periodicamente. </w:t>
      </w:r>
    </w:p>
    <w:p w14:paraId="6C1A9127" w14:textId="77777777" w:rsidR="00212B6C" w:rsidRDefault="00212B6C" w:rsidP="003B0A28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 sendo, este documento traz o relatório anual sobre o processo de monitoramento e avaliação do PME supracitado.</w:t>
      </w:r>
    </w:p>
    <w:p w14:paraId="63B0281E" w14:textId="77777777" w:rsidR="00614DB8" w:rsidRDefault="00614DB8" w:rsidP="00D60CD0">
      <w:pPr>
        <w:spacing w:after="0" w:line="360" w:lineRule="auto"/>
        <w:jc w:val="both"/>
        <w:rPr>
          <w:rFonts w:ascii="Arial" w:hAnsi="Arial" w:cs="Arial"/>
          <w:b/>
          <w:caps/>
          <w:sz w:val="24"/>
          <w:szCs w:val="24"/>
        </w:rPr>
      </w:pPr>
    </w:p>
    <w:p w14:paraId="022935AE" w14:textId="4B785DB8" w:rsidR="00722593" w:rsidRDefault="00E90871" w:rsidP="00D60CD0">
      <w:pPr>
        <w:spacing w:after="0" w:line="36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212B6C">
        <w:rPr>
          <w:rFonts w:ascii="Arial" w:hAnsi="Arial" w:cs="Arial"/>
          <w:b/>
          <w:caps/>
          <w:sz w:val="24"/>
          <w:szCs w:val="24"/>
        </w:rPr>
        <w:lastRenderedPageBreak/>
        <w:t xml:space="preserve">I </w:t>
      </w:r>
      <w:r w:rsidR="00557D47" w:rsidRPr="00212B6C">
        <w:rPr>
          <w:rFonts w:ascii="Arial" w:hAnsi="Arial" w:cs="Arial"/>
          <w:b/>
          <w:caps/>
          <w:sz w:val="24"/>
          <w:szCs w:val="24"/>
        </w:rPr>
        <w:t>–</w:t>
      </w:r>
      <w:r w:rsidRPr="00212B6C">
        <w:rPr>
          <w:rFonts w:ascii="Arial" w:hAnsi="Arial" w:cs="Arial"/>
          <w:b/>
          <w:caps/>
          <w:sz w:val="24"/>
          <w:szCs w:val="24"/>
        </w:rPr>
        <w:t xml:space="preserve"> </w:t>
      </w:r>
      <w:r w:rsidR="00557D47" w:rsidRPr="00212B6C">
        <w:rPr>
          <w:rFonts w:ascii="Arial" w:hAnsi="Arial" w:cs="Arial"/>
          <w:b/>
          <w:caps/>
          <w:sz w:val="24"/>
          <w:szCs w:val="24"/>
        </w:rPr>
        <w:t>ARTICULADOR:</w:t>
      </w:r>
      <w:r w:rsidR="00212B6C" w:rsidRPr="00212B6C">
        <w:rPr>
          <w:rFonts w:ascii="Arial" w:hAnsi="Arial" w:cs="Arial"/>
          <w:b/>
          <w:caps/>
          <w:sz w:val="24"/>
          <w:szCs w:val="24"/>
        </w:rPr>
        <w:t xml:space="preserve"> </w:t>
      </w:r>
      <w:r w:rsidR="00282FB6" w:rsidRPr="00282FB6">
        <w:rPr>
          <w:rFonts w:ascii="Arial" w:hAnsi="Arial" w:cs="Arial"/>
          <w:b/>
          <w:caps/>
          <w:sz w:val="24"/>
          <w:szCs w:val="24"/>
        </w:rPr>
        <w:t>MARIA LUIZA LISBOA DE CAMARGO</w:t>
      </w:r>
    </w:p>
    <w:p w14:paraId="42C5DEBF" w14:textId="36AFB1FC" w:rsidR="00E866E0" w:rsidRDefault="00E90871" w:rsidP="00614DB8">
      <w:pPr>
        <w:rPr>
          <w:rFonts w:ascii="Arial" w:hAnsi="Arial" w:cs="Arial"/>
          <w:sz w:val="24"/>
          <w:szCs w:val="24"/>
        </w:rPr>
      </w:pPr>
      <w:r w:rsidRPr="0007767C">
        <w:rPr>
          <w:rFonts w:ascii="Arial" w:hAnsi="Arial" w:cs="Arial"/>
          <w:b/>
          <w:sz w:val="24"/>
          <w:szCs w:val="24"/>
        </w:rPr>
        <w:t xml:space="preserve">II - </w:t>
      </w:r>
      <w:r w:rsidR="00E866E0" w:rsidRPr="0007767C">
        <w:rPr>
          <w:rFonts w:ascii="Arial" w:hAnsi="Arial" w:cs="Arial"/>
          <w:b/>
          <w:sz w:val="24"/>
          <w:szCs w:val="24"/>
        </w:rPr>
        <w:t>ORGANIZAÇÃO E METODOLOGIA:</w:t>
      </w:r>
      <w:r w:rsidR="00614DB8">
        <w:rPr>
          <w:rFonts w:ascii="Arial" w:hAnsi="Arial" w:cs="Arial"/>
          <w:sz w:val="24"/>
          <w:szCs w:val="24"/>
        </w:rPr>
        <w:t xml:space="preserve"> </w:t>
      </w:r>
      <w:r w:rsidR="000A47D1">
        <w:rPr>
          <w:rFonts w:ascii="Arial" w:hAnsi="Arial" w:cs="Arial"/>
          <w:sz w:val="24"/>
          <w:szCs w:val="24"/>
        </w:rPr>
        <w:t>Perfil + PNE – SIMEC: Sistema Integrado de Monitoramento, execução e Controle.</w:t>
      </w:r>
    </w:p>
    <w:p w14:paraId="18B7643D" w14:textId="77777777" w:rsidR="00356CB5" w:rsidRPr="00356CB5" w:rsidRDefault="00B03B97" w:rsidP="00356CB5">
      <w:pPr>
        <w:spacing w:after="0" w:line="360" w:lineRule="auto"/>
        <w:rPr>
          <w:rFonts w:ascii="Arial" w:hAnsi="Arial" w:cs="Arial"/>
          <w:b/>
          <w:caps/>
          <w:sz w:val="24"/>
          <w:szCs w:val="24"/>
        </w:rPr>
      </w:pPr>
      <w:r w:rsidRPr="00356CB5">
        <w:rPr>
          <w:rFonts w:ascii="Arial" w:hAnsi="Arial" w:cs="Arial"/>
          <w:b/>
          <w:bCs/>
          <w:caps/>
          <w:sz w:val="24"/>
          <w:szCs w:val="24"/>
        </w:rPr>
        <w:t xml:space="preserve">III – </w:t>
      </w:r>
      <w:r w:rsidR="00E90871" w:rsidRPr="00356CB5">
        <w:rPr>
          <w:rFonts w:ascii="Arial" w:hAnsi="Arial" w:cs="Arial"/>
          <w:b/>
          <w:bCs/>
          <w:caps/>
          <w:sz w:val="24"/>
          <w:szCs w:val="24"/>
        </w:rPr>
        <w:t xml:space="preserve">META DO PLANO MUNICIPAL DE EDUCAÇÃO INSTITUIDO PELA </w:t>
      </w:r>
      <w:r w:rsidR="00356CB5" w:rsidRPr="00356CB5">
        <w:rPr>
          <w:rFonts w:ascii="Arial" w:hAnsi="Arial" w:cs="Arial"/>
          <w:b/>
          <w:caps/>
          <w:sz w:val="24"/>
          <w:szCs w:val="24"/>
        </w:rPr>
        <w:t>nº 2.064 de 06 de outubro de 2.015.</w:t>
      </w:r>
    </w:p>
    <w:p w14:paraId="2BB234C3" w14:textId="4E8D2E8F" w:rsidR="00982542" w:rsidRDefault="00723571" w:rsidP="00356CB5">
      <w:pPr>
        <w:spacing w:after="0" w:line="360" w:lineRule="auto"/>
        <w:rPr>
          <w:rFonts w:ascii="Arial" w:hAnsi="Arial" w:cs="Arial"/>
          <w:color w:val="000000"/>
        </w:rPr>
      </w:pPr>
      <w:r w:rsidRPr="00723571">
        <w:rPr>
          <w:rFonts w:ascii="Arial" w:hAnsi="Arial" w:cs="Arial"/>
          <w:b/>
        </w:rPr>
        <w:t xml:space="preserve">META 6 – </w:t>
      </w:r>
      <w:r w:rsidR="00982542">
        <w:rPr>
          <w:rFonts w:ascii="Arial" w:hAnsi="Arial" w:cs="Arial"/>
          <w:color w:val="000000"/>
        </w:rPr>
        <w:t>Oferecer educação em tempo integral em, no mínimo, 50% (cinquenta por cento) das escolas públicas, de forma a atender, pelo menos, 25% (vinte e cinco por cento) dos alunos da educação básica municipal.</w:t>
      </w:r>
    </w:p>
    <w:p w14:paraId="4CC839A3" w14:textId="77777777" w:rsidR="00982542" w:rsidRDefault="00982542" w:rsidP="00982542">
      <w:pPr>
        <w:pStyle w:val="NormalWeb"/>
        <w:spacing w:before="0" w:beforeAutospacing="0" w:after="0" w:afterAutospacing="0"/>
        <w:jc w:val="both"/>
      </w:pPr>
    </w:p>
    <w:tbl>
      <w:tblPr>
        <w:tblStyle w:val="Tabelacomgrade"/>
        <w:tblW w:w="14596" w:type="dxa"/>
        <w:jc w:val="center"/>
        <w:tblLook w:val="04A0" w:firstRow="1" w:lastRow="0" w:firstColumn="1" w:lastColumn="0" w:noHBand="0" w:noVBand="1"/>
      </w:tblPr>
      <w:tblGrid>
        <w:gridCol w:w="2256"/>
        <w:gridCol w:w="1017"/>
        <w:gridCol w:w="999"/>
        <w:gridCol w:w="1134"/>
        <w:gridCol w:w="1342"/>
        <w:gridCol w:w="1305"/>
        <w:gridCol w:w="1391"/>
        <w:gridCol w:w="1476"/>
        <w:gridCol w:w="922"/>
        <w:gridCol w:w="918"/>
        <w:gridCol w:w="918"/>
        <w:gridCol w:w="918"/>
      </w:tblGrid>
      <w:tr w:rsidR="005C5344" w:rsidRPr="00E34419" w14:paraId="6801A12B" w14:textId="77777777" w:rsidTr="00614DB8">
        <w:trPr>
          <w:jc w:val="center"/>
        </w:trPr>
        <w:tc>
          <w:tcPr>
            <w:tcW w:w="2314" w:type="dxa"/>
          </w:tcPr>
          <w:p w14:paraId="698347AA" w14:textId="19D9021D" w:rsidR="00D032FF" w:rsidRPr="00E34419" w:rsidRDefault="00D032FF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  <w:r w:rsidRPr="00E34419"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  <w:t>INDICADOR 6A</w:t>
            </w:r>
          </w:p>
        </w:tc>
        <w:tc>
          <w:tcPr>
            <w:tcW w:w="12282" w:type="dxa"/>
            <w:gridSpan w:val="11"/>
          </w:tcPr>
          <w:p w14:paraId="6C613380" w14:textId="3AE4F59F" w:rsidR="00D032FF" w:rsidRPr="00E34419" w:rsidRDefault="000D7149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  <w:r w:rsidRPr="00E34419">
              <w:rPr>
                <w:rFonts w:ascii="Open Sans" w:hAnsi="Open Sans" w:cs="Open Sans"/>
                <w:color w:val="676A6C"/>
                <w:sz w:val="20"/>
                <w:szCs w:val="20"/>
              </w:rPr>
              <w:t>Percentual de alunos da educação básica pública em tempo integral</w:t>
            </w:r>
          </w:p>
        </w:tc>
      </w:tr>
      <w:tr w:rsidR="00EF24BD" w:rsidRPr="00E34419" w14:paraId="4B16AF1C" w14:textId="77777777" w:rsidTr="00614DB8">
        <w:trPr>
          <w:jc w:val="center"/>
        </w:trPr>
        <w:tc>
          <w:tcPr>
            <w:tcW w:w="2314" w:type="dxa"/>
          </w:tcPr>
          <w:p w14:paraId="2190EF93" w14:textId="77777777" w:rsidR="00D032FF" w:rsidRPr="00E34419" w:rsidRDefault="00D032FF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</w:p>
        </w:tc>
        <w:tc>
          <w:tcPr>
            <w:tcW w:w="1022" w:type="dxa"/>
          </w:tcPr>
          <w:p w14:paraId="5043A508" w14:textId="77777777" w:rsidR="00D032FF" w:rsidRPr="00E34419" w:rsidRDefault="00D032FF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  <w:r w:rsidRPr="00E34419"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  <w:t>2015</w:t>
            </w:r>
          </w:p>
        </w:tc>
        <w:tc>
          <w:tcPr>
            <w:tcW w:w="1002" w:type="dxa"/>
          </w:tcPr>
          <w:p w14:paraId="4E1EFA73" w14:textId="77777777" w:rsidR="00D032FF" w:rsidRPr="00E34419" w:rsidRDefault="00D032FF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  <w:r w:rsidRPr="00E34419"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  <w:t>2016</w:t>
            </w:r>
          </w:p>
        </w:tc>
        <w:tc>
          <w:tcPr>
            <w:tcW w:w="1134" w:type="dxa"/>
          </w:tcPr>
          <w:p w14:paraId="157ADFC0" w14:textId="77777777" w:rsidR="00D032FF" w:rsidRPr="00E34419" w:rsidRDefault="00D032FF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  <w:r w:rsidRPr="00E34419"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  <w:t>2017</w:t>
            </w:r>
          </w:p>
        </w:tc>
        <w:tc>
          <w:tcPr>
            <w:tcW w:w="1219" w:type="dxa"/>
          </w:tcPr>
          <w:p w14:paraId="25E697A7" w14:textId="77777777" w:rsidR="00D032FF" w:rsidRPr="00E34419" w:rsidRDefault="00D032FF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  <w:r w:rsidRPr="00E34419"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305" w:type="dxa"/>
          </w:tcPr>
          <w:p w14:paraId="1A549F69" w14:textId="77777777" w:rsidR="00D032FF" w:rsidRPr="00E34419" w:rsidRDefault="00D032FF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  <w:r w:rsidRPr="00E34419"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  <w:t>2019</w:t>
            </w:r>
          </w:p>
        </w:tc>
        <w:tc>
          <w:tcPr>
            <w:tcW w:w="1391" w:type="dxa"/>
          </w:tcPr>
          <w:p w14:paraId="3B744C65" w14:textId="77777777" w:rsidR="00D032FF" w:rsidRPr="00E34419" w:rsidRDefault="00D032FF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  <w:r w:rsidRPr="00E34419"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  <w:t>2020</w:t>
            </w:r>
          </w:p>
        </w:tc>
        <w:tc>
          <w:tcPr>
            <w:tcW w:w="1476" w:type="dxa"/>
          </w:tcPr>
          <w:p w14:paraId="77A3A2F1" w14:textId="77777777" w:rsidR="00D032FF" w:rsidRPr="00E34419" w:rsidRDefault="00D032FF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  <w:r w:rsidRPr="00E34419"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  <w:t>2021</w:t>
            </w:r>
          </w:p>
        </w:tc>
        <w:tc>
          <w:tcPr>
            <w:tcW w:w="937" w:type="dxa"/>
          </w:tcPr>
          <w:p w14:paraId="5BAEF91A" w14:textId="77777777" w:rsidR="00D032FF" w:rsidRPr="00E34419" w:rsidRDefault="00D032FF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  <w:r w:rsidRPr="00E34419"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  <w:t>2022</w:t>
            </w:r>
          </w:p>
        </w:tc>
        <w:tc>
          <w:tcPr>
            <w:tcW w:w="932" w:type="dxa"/>
          </w:tcPr>
          <w:p w14:paraId="62973688" w14:textId="77777777" w:rsidR="00D032FF" w:rsidRPr="00E34419" w:rsidRDefault="00D032FF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  <w:r w:rsidRPr="00E34419"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  <w:t>2023</w:t>
            </w:r>
          </w:p>
        </w:tc>
        <w:tc>
          <w:tcPr>
            <w:tcW w:w="932" w:type="dxa"/>
          </w:tcPr>
          <w:p w14:paraId="5E13E24F" w14:textId="77777777" w:rsidR="00D032FF" w:rsidRPr="00E34419" w:rsidRDefault="00D032FF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  <w:r w:rsidRPr="00E34419"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932" w:type="dxa"/>
          </w:tcPr>
          <w:p w14:paraId="3BDDE7E9" w14:textId="77777777" w:rsidR="00D032FF" w:rsidRPr="00E34419" w:rsidRDefault="00D032FF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  <w:r w:rsidRPr="00E34419"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  <w:t>2025</w:t>
            </w:r>
          </w:p>
        </w:tc>
      </w:tr>
      <w:tr w:rsidR="00EF24BD" w:rsidRPr="00E34419" w14:paraId="064883D3" w14:textId="77777777" w:rsidTr="00614DB8">
        <w:trPr>
          <w:jc w:val="center"/>
        </w:trPr>
        <w:tc>
          <w:tcPr>
            <w:tcW w:w="2314" w:type="dxa"/>
          </w:tcPr>
          <w:p w14:paraId="40489A5E" w14:textId="77777777" w:rsidR="00D032FF" w:rsidRPr="00E34419" w:rsidRDefault="00D032FF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  <w:r w:rsidRPr="00E34419"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  <w:t>Meta prevista</w:t>
            </w:r>
          </w:p>
        </w:tc>
        <w:tc>
          <w:tcPr>
            <w:tcW w:w="1022" w:type="dxa"/>
          </w:tcPr>
          <w:p w14:paraId="3C56CFC8" w14:textId="77777777" w:rsidR="00D032FF" w:rsidRPr="00E34419" w:rsidRDefault="00D032FF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</w:p>
        </w:tc>
        <w:tc>
          <w:tcPr>
            <w:tcW w:w="1002" w:type="dxa"/>
          </w:tcPr>
          <w:p w14:paraId="696DF802" w14:textId="77777777" w:rsidR="00D032FF" w:rsidRPr="00E34419" w:rsidRDefault="00D032FF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14:paraId="3AD04216" w14:textId="77777777" w:rsidR="00D032FF" w:rsidRPr="00E34419" w:rsidRDefault="00D032FF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</w:p>
        </w:tc>
        <w:tc>
          <w:tcPr>
            <w:tcW w:w="1219" w:type="dxa"/>
          </w:tcPr>
          <w:p w14:paraId="62842C44" w14:textId="77777777" w:rsidR="00D032FF" w:rsidRPr="00E34419" w:rsidRDefault="00D032FF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</w:p>
        </w:tc>
        <w:tc>
          <w:tcPr>
            <w:tcW w:w="1305" w:type="dxa"/>
          </w:tcPr>
          <w:p w14:paraId="03A32A96" w14:textId="77777777" w:rsidR="00D032FF" w:rsidRPr="00E34419" w:rsidRDefault="00D032FF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</w:p>
        </w:tc>
        <w:tc>
          <w:tcPr>
            <w:tcW w:w="1391" w:type="dxa"/>
          </w:tcPr>
          <w:p w14:paraId="25A575F7" w14:textId="77777777" w:rsidR="00D032FF" w:rsidRPr="00E34419" w:rsidRDefault="00D032FF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</w:p>
        </w:tc>
        <w:tc>
          <w:tcPr>
            <w:tcW w:w="1476" w:type="dxa"/>
          </w:tcPr>
          <w:p w14:paraId="57AB446B" w14:textId="77777777" w:rsidR="00D032FF" w:rsidRPr="00E34419" w:rsidRDefault="00D032FF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</w:p>
        </w:tc>
        <w:tc>
          <w:tcPr>
            <w:tcW w:w="937" w:type="dxa"/>
          </w:tcPr>
          <w:p w14:paraId="606CA5D8" w14:textId="77777777" w:rsidR="00D032FF" w:rsidRPr="00E34419" w:rsidRDefault="00D032FF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</w:p>
        </w:tc>
        <w:tc>
          <w:tcPr>
            <w:tcW w:w="932" w:type="dxa"/>
          </w:tcPr>
          <w:p w14:paraId="43233BAA" w14:textId="77777777" w:rsidR="00D032FF" w:rsidRPr="00E34419" w:rsidRDefault="00D032FF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</w:p>
        </w:tc>
        <w:tc>
          <w:tcPr>
            <w:tcW w:w="932" w:type="dxa"/>
          </w:tcPr>
          <w:p w14:paraId="39B4CDB0" w14:textId="77777777" w:rsidR="00D032FF" w:rsidRPr="00E34419" w:rsidRDefault="00D032FF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</w:p>
        </w:tc>
        <w:tc>
          <w:tcPr>
            <w:tcW w:w="932" w:type="dxa"/>
          </w:tcPr>
          <w:p w14:paraId="6843A61D" w14:textId="32F3A963" w:rsidR="00D032FF" w:rsidRPr="00E34419" w:rsidRDefault="00982542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  <w:r w:rsidRPr="00E34419"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  <w:t>25%</w:t>
            </w:r>
          </w:p>
        </w:tc>
      </w:tr>
      <w:tr w:rsidR="00EF24BD" w:rsidRPr="00E34419" w14:paraId="7E83A843" w14:textId="77777777" w:rsidTr="00614DB8">
        <w:trPr>
          <w:jc w:val="center"/>
        </w:trPr>
        <w:tc>
          <w:tcPr>
            <w:tcW w:w="2314" w:type="dxa"/>
          </w:tcPr>
          <w:p w14:paraId="26F5EE9A" w14:textId="77777777" w:rsidR="007E0D4B" w:rsidRPr="00E34419" w:rsidRDefault="007E0D4B" w:rsidP="007E0D4B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  <w:r w:rsidRPr="00E34419"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  <w:t>Meta executada</w:t>
            </w:r>
          </w:p>
        </w:tc>
        <w:tc>
          <w:tcPr>
            <w:tcW w:w="1022" w:type="dxa"/>
          </w:tcPr>
          <w:p w14:paraId="43CF3F38" w14:textId="53E74502" w:rsidR="007E0D4B" w:rsidRPr="00356CB5" w:rsidRDefault="00EF24BD" w:rsidP="007E0D4B">
            <w:pPr>
              <w:spacing w:line="360" w:lineRule="auto"/>
              <w:jc w:val="both"/>
              <w:rPr>
                <w:rFonts w:ascii="Arial" w:eastAsia="Times New Roman" w:hAnsi="Arial" w:cs="Arial"/>
                <w:color w:val="676A6C"/>
                <w:lang w:eastAsia="pt-BR"/>
              </w:rPr>
            </w:pPr>
            <w:r>
              <w:rPr>
                <w:rFonts w:ascii="Arial" w:eastAsia="Times New Roman" w:hAnsi="Arial" w:cs="Arial"/>
                <w:color w:val="676A6C"/>
                <w:lang w:eastAsia="pt-BR"/>
              </w:rPr>
              <w:t>18,90</w:t>
            </w:r>
            <w:r w:rsidR="009B7EEA" w:rsidRPr="00356CB5">
              <w:rPr>
                <w:rFonts w:ascii="Arial" w:eastAsia="Times New Roman" w:hAnsi="Arial" w:cs="Arial"/>
                <w:color w:val="676A6C"/>
                <w:lang w:eastAsia="pt-BR"/>
              </w:rPr>
              <w:t>%</w:t>
            </w:r>
          </w:p>
        </w:tc>
        <w:tc>
          <w:tcPr>
            <w:tcW w:w="1002" w:type="dxa"/>
          </w:tcPr>
          <w:p w14:paraId="00B926CE" w14:textId="25FB9E9D" w:rsidR="007E0D4B" w:rsidRPr="00356CB5" w:rsidRDefault="00282FB6" w:rsidP="007E0D4B">
            <w:pPr>
              <w:spacing w:line="360" w:lineRule="auto"/>
              <w:jc w:val="both"/>
              <w:rPr>
                <w:rFonts w:ascii="Arial" w:eastAsia="Times New Roman" w:hAnsi="Arial" w:cs="Arial"/>
                <w:color w:val="676A6C"/>
                <w:lang w:eastAsia="pt-BR"/>
              </w:rPr>
            </w:pPr>
            <w:r>
              <w:rPr>
                <w:rFonts w:ascii="Arial" w:eastAsia="Times New Roman" w:hAnsi="Arial" w:cs="Arial"/>
                <w:color w:val="676A6C"/>
                <w:lang w:eastAsia="pt-BR"/>
              </w:rPr>
              <w:t>9,98</w:t>
            </w:r>
            <w:r w:rsidR="00997D20" w:rsidRPr="00356CB5">
              <w:rPr>
                <w:rFonts w:ascii="Arial" w:eastAsia="Times New Roman" w:hAnsi="Arial" w:cs="Arial"/>
                <w:color w:val="676A6C"/>
                <w:lang w:eastAsia="pt-BR"/>
              </w:rPr>
              <w:t>%</w:t>
            </w:r>
            <w:r w:rsidR="007E0D4B" w:rsidRPr="00356CB5">
              <w:rPr>
                <w:rFonts w:ascii="Arial" w:eastAsia="Times New Roman" w:hAnsi="Arial" w:cs="Arial"/>
                <w:color w:val="676A6C"/>
                <w:lang w:eastAsia="pt-BR"/>
              </w:rPr>
              <w:t>*</w:t>
            </w:r>
          </w:p>
        </w:tc>
        <w:tc>
          <w:tcPr>
            <w:tcW w:w="1134" w:type="dxa"/>
          </w:tcPr>
          <w:p w14:paraId="5A12700C" w14:textId="31437517" w:rsidR="007E0D4B" w:rsidRPr="00356CB5" w:rsidRDefault="00282FB6" w:rsidP="007E0D4B">
            <w:pPr>
              <w:spacing w:line="360" w:lineRule="auto"/>
              <w:jc w:val="both"/>
              <w:rPr>
                <w:rFonts w:ascii="Arial" w:eastAsia="Times New Roman" w:hAnsi="Arial" w:cs="Arial"/>
                <w:color w:val="676A6C"/>
                <w:lang w:eastAsia="pt-BR"/>
              </w:rPr>
            </w:pPr>
            <w:r>
              <w:rPr>
                <w:rFonts w:ascii="Arial" w:eastAsia="Times New Roman" w:hAnsi="Arial" w:cs="Arial"/>
                <w:color w:val="676A6C"/>
                <w:lang w:eastAsia="pt-BR"/>
              </w:rPr>
              <w:t>11,50</w:t>
            </w:r>
            <w:r w:rsidR="007E0D4B" w:rsidRPr="00356CB5">
              <w:rPr>
                <w:rFonts w:ascii="Arial" w:eastAsia="Times New Roman" w:hAnsi="Arial" w:cs="Arial"/>
                <w:color w:val="676A6C"/>
                <w:lang w:eastAsia="pt-BR"/>
              </w:rPr>
              <w:t>%**</w:t>
            </w:r>
          </w:p>
        </w:tc>
        <w:tc>
          <w:tcPr>
            <w:tcW w:w="1219" w:type="dxa"/>
          </w:tcPr>
          <w:p w14:paraId="10615395" w14:textId="1252955A" w:rsidR="007E0D4B" w:rsidRPr="00356CB5" w:rsidRDefault="001856D8" w:rsidP="007E0D4B">
            <w:pPr>
              <w:spacing w:line="360" w:lineRule="auto"/>
              <w:jc w:val="both"/>
              <w:rPr>
                <w:rFonts w:ascii="Arial" w:eastAsia="Times New Roman" w:hAnsi="Arial" w:cs="Arial"/>
                <w:color w:val="676A6C"/>
                <w:lang w:eastAsia="pt-BR"/>
              </w:rPr>
            </w:pPr>
            <w:r>
              <w:rPr>
                <w:rFonts w:ascii="Arial" w:eastAsia="Times New Roman" w:hAnsi="Arial" w:cs="Arial"/>
                <w:color w:val="676A6C"/>
                <w:lang w:eastAsia="pt-BR"/>
              </w:rPr>
              <w:t>11,83</w:t>
            </w:r>
            <w:r w:rsidR="00282FB6">
              <w:rPr>
                <w:rFonts w:ascii="Arial" w:eastAsia="Times New Roman" w:hAnsi="Arial" w:cs="Arial"/>
                <w:color w:val="676A6C"/>
                <w:lang w:eastAsia="pt-BR"/>
              </w:rPr>
              <w:t>0</w:t>
            </w:r>
            <w:r w:rsidR="007E0D4B" w:rsidRPr="00356CB5">
              <w:rPr>
                <w:rFonts w:ascii="Arial" w:eastAsia="Times New Roman" w:hAnsi="Arial" w:cs="Arial"/>
                <w:color w:val="676A6C"/>
                <w:lang w:eastAsia="pt-BR"/>
              </w:rPr>
              <w:t>%***</w:t>
            </w:r>
          </w:p>
        </w:tc>
        <w:tc>
          <w:tcPr>
            <w:tcW w:w="1305" w:type="dxa"/>
          </w:tcPr>
          <w:p w14:paraId="00D02432" w14:textId="51C78EF7" w:rsidR="007E0D4B" w:rsidRPr="00356CB5" w:rsidRDefault="00EF24BD" w:rsidP="007E0D4B">
            <w:pPr>
              <w:spacing w:line="360" w:lineRule="auto"/>
              <w:jc w:val="both"/>
              <w:rPr>
                <w:rFonts w:ascii="Arial" w:eastAsia="Times New Roman" w:hAnsi="Arial" w:cs="Arial"/>
                <w:color w:val="676A6C"/>
                <w:lang w:eastAsia="pt-BR"/>
              </w:rPr>
            </w:pPr>
            <w:r>
              <w:rPr>
                <w:rFonts w:ascii="Arial" w:eastAsia="Times New Roman" w:hAnsi="Arial" w:cs="Arial"/>
                <w:color w:val="676A6C"/>
                <w:lang w:eastAsia="pt-BR"/>
              </w:rPr>
              <w:t>12,70</w:t>
            </w:r>
            <w:r w:rsidR="007E0D4B" w:rsidRPr="00356CB5">
              <w:rPr>
                <w:rFonts w:ascii="Arial" w:eastAsia="Times New Roman" w:hAnsi="Arial" w:cs="Arial"/>
                <w:color w:val="676A6C"/>
                <w:lang w:eastAsia="pt-BR"/>
              </w:rPr>
              <w:t>%****</w:t>
            </w:r>
          </w:p>
        </w:tc>
        <w:tc>
          <w:tcPr>
            <w:tcW w:w="1391" w:type="dxa"/>
          </w:tcPr>
          <w:p w14:paraId="4C0933F5" w14:textId="0D87A8A6" w:rsidR="007E0D4B" w:rsidRPr="00356CB5" w:rsidRDefault="00EF24BD" w:rsidP="007E0D4B">
            <w:pPr>
              <w:spacing w:line="360" w:lineRule="auto"/>
              <w:jc w:val="both"/>
              <w:rPr>
                <w:rFonts w:ascii="Arial" w:eastAsia="Times New Roman" w:hAnsi="Arial" w:cs="Arial"/>
                <w:color w:val="676A6C"/>
                <w:lang w:eastAsia="pt-BR"/>
              </w:rPr>
            </w:pPr>
            <w:r>
              <w:rPr>
                <w:rFonts w:ascii="Arial" w:eastAsia="Times New Roman" w:hAnsi="Arial" w:cs="Arial"/>
                <w:color w:val="676A6C"/>
                <w:lang w:eastAsia="pt-BR"/>
              </w:rPr>
              <w:t>12,89</w:t>
            </w:r>
            <w:r w:rsidR="00FF09E7" w:rsidRPr="00356CB5">
              <w:rPr>
                <w:rFonts w:ascii="Arial" w:eastAsia="Times New Roman" w:hAnsi="Arial" w:cs="Arial"/>
                <w:color w:val="676A6C"/>
                <w:lang w:eastAsia="pt-BR"/>
              </w:rPr>
              <w:t>%*****</w:t>
            </w:r>
          </w:p>
        </w:tc>
        <w:tc>
          <w:tcPr>
            <w:tcW w:w="1476" w:type="dxa"/>
          </w:tcPr>
          <w:p w14:paraId="181B14C6" w14:textId="21899044" w:rsidR="007E0D4B" w:rsidRPr="00356CB5" w:rsidRDefault="00EF24BD" w:rsidP="007E0D4B">
            <w:pPr>
              <w:spacing w:line="360" w:lineRule="auto"/>
              <w:jc w:val="both"/>
              <w:rPr>
                <w:rFonts w:ascii="Arial" w:eastAsia="Times New Roman" w:hAnsi="Arial" w:cs="Arial"/>
                <w:color w:val="676A6C"/>
                <w:lang w:eastAsia="pt-BR"/>
              </w:rPr>
            </w:pPr>
            <w:r>
              <w:rPr>
                <w:rFonts w:ascii="Arial" w:eastAsia="Times New Roman" w:hAnsi="Arial" w:cs="Arial"/>
                <w:color w:val="676A6C"/>
                <w:lang w:eastAsia="pt-BR"/>
              </w:rPr>
              <w:t>11,53</w:t>
            </w:r>
            <w:r w:rsidR="005C5344" w:rsidRPr="00356CB5">
              <w:rPr>
                <w:rFonts w:ascii="Arial" w:eastAsia="Times New Roman" w:hAnsi="Arial" w:cs="Arial"/>
                <w:color w:val="676A6C"/>
                <w:lang w:eastAsia="pt-BR"/>
              </w:rPr>
              <w:t>%******</w:t>
            </w:r>
          </w:p>
        </w:tc>
        <w:tc>
          <w:tcPr>
            <w:tcW w:w="937" w:type="dxa"/>
          </w:tcPr>
          <w:p w14:paraId="61F8BBE8" w14:textId="3570554C" w:rsidR="007E0D4B" w:rsidRPr="00356CB5" w:rsidRDefault="007E0D4B" w:rsidP="007E0D4B">
            <w:pPr>
              <w:spacing w:line="360" w:lineRule="auto"/>
              <w:jc w:val="both"/>
              <w:rPr>
                <w:rFonts w:ascii="Arial" w:eastAsia="Times New Roman" w:hAnsi="Arial" w:cs="Arial"/>
                <w:color w:val="676A6C"/>
                <w:lang w:eastAsia="pt-BR"/>
              </w:rPr>
            </w:pPr>
          </w:p>
        </w:tc>
        <w:tc>
          <w:tcPr>
            <w:tcW w:w="932" w:type="dxa"/>
          </w:tcPr>
          <w:p w14:paraId="1E4D942A" w14:textId="77777777" w:rsidR="007E0D4B" w:rsidRPr="00E34419" w:rsidRDefault="007E0D4B" w:rsidP="007E0D4B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</w:p>
        </w:tc>
        <w:tc>
          <w:tcPr>
            <w:tcW w:w="932" w:type="dxa"/>
          </w:tcPr>
          <w:p w14:paraId="2139E3C7" w14:textId="77777777" w:rsidR="007E0D4B" w:rsidRPr="00E34419" w:rsidRDefault="007E0D4B" w:rsidP="007E0D4B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</w:p>
        </w:tc>
        <w:tc>
          <w:tcPr>
            <w:tcW w:w="932" w:type="dxa"/>
          </w:tcPr>
          <w:p w14:paraId="44E41EF0" w14:textId="77777777" w:rsidR="007E0D4B" w:rsidRPr="00E34419" w:rsidRDefault="007E0D4B" w:rsidP="007E0D4B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</w:p>
        </w:tc>
      </w:tr>
      <w:tr w:rsidR="005C5344" w:rsidRPr="00E34419" w14:paraId="4753F63D" w14:textId="77777777" w:rsidTr="00614DB8">
        <w:trPr>
          <w:jc w:val="center"/>
        </w:trPr>
        <w:tc>
          <w:tcPr>
            <w:tcW w:w="2314" w:type="dxa"/>
          </w:tcPr>
          <w:p w14:paraId="3813589B" w14:textId="52518A46" w:rsidR="000D7149" w:rsidRPr="00E34419" w:rsidRDefault="000D7149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  <w:r w:rsidRPr="00E34419"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  <w:t>INDICADOR 6B</w:t>
            </w:r>
          </w:p>
        </w:tc>
        <w:tc>
          <w:tcPr>
            <w:tcW w:w="12282" w:type="dxa"/>
            <w:gridSpan w:val="11"/>
          </w:tcPr>
          <w:p w14:paraId="593AFEF6" w14:textId="4D698634" w:rsidR="000D7149" w:rsidRPr="00E34419" w:rsidRDefault="000D7149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  <w:r w:rsidRPr="00E34419">
              <w:rPr>
                <w:rFonts w:ascii="Open Sans" w:hAnsi="Open Sans" w:cs="Open Sans"/>
                <w:color w:val="676A6C"/>
                <w:sz w:val="20"/>
                <w:szCs w:val="20"/>
              </w:rPr>
              <w:t>Percentual de escolas públicas com ao menos um aluno que permanece no mínimo 7 horas diárias em atividades escolares</w:t>
            </w:r>
          </w:p>
        </w:tc>
      </w:tr>
      <w:tr w:rsidR="00EF24BD" w:rsidRPr="00E34419" w14:paraId="4DCB28DC" w14:textId="77777777" w:rsidTr="00614DB8">
        <w:trPr>
          <w:jc w:val="center"/>
        </w:trPr>
        <w:tc>
          <w:tcPr>
            <w:tcW w:w="2314" w:type="dxa"/>
          </w:tcPr>
          <w:p w14:paraId="7B1A57F3" w14:textId="77777777" w:rsidR="000D7149" w:rsidRPr="00E34419" w:rsidRDefault="000D7149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</w:p>
        </w:tc>
        <w:tc>
          <w:tcPr>
            <w:tcW w:w="1022" w:type="dxa"/>
          </w:tcPr>
          <w:p w14:paraId="3CAD04A8" w14:textId="77777777" w:rsidR="000D7149" w:rsidRPr="00E34419" w:rsidRDefault="000D7149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  <w:r w:rsidRPr="00E34419"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  <w:t>2015</w:t>
            </w:r>
          </w:p>
        </w:tc>
        <w:tc>
          <w:tcPr>
            <w:tcW w:w="1002" w:type="dxa"/>
          </w:tcPr>
          <w:p w14:paraId="549872C7" w14:textId="77777777" w:rsidR="000D7149" w:rsidRPr="00E34419" w:rsidRDefault="000D7149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  <w:r w:rsidRPr="00E34419"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  <w:t>2016</w:t>
            </w:r>
          </w:p>
        </w:tc>
        <w:tc>
          <w:tcPr>
            <w:tcW w:w="1134" w:type="dxa"/>
          </w:tcPr>
          <w:p w14:paraId="77781CA6" w14:textId="77777777" w:rsidR="000D7149" w:rsidRPr="00E34419" w:rsidRDefault="000D7149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  <w:r w:rsidRPr="00E34419"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  <w:t>2017</w:t>
            </w:r>
          </w:p>
        </w:tc>
        <w:tc>
          <w:tcPr>
            <w:tcW w:w="1219" w:type="dxa"/>
          </w:tcPr>
          <w:p w14:paraId="55EFFCC5" w14:textId="77777777" w:rsidR="000D7149" w:rsidRPr="00E34419" w:rsidRDefault="000D7149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  <w:r w:rsidRPr="00E34419"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305" w:type="dxa"/>
          </w:tcPr>
          <w:p w14:paraId="72C10421" w14:textId="77777777" w:rsidR="000D7149" w:rsidRPr="00E34419" w:rsidRDefault="000D7149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  <w:r w:rsidRPr="00E34419"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  <w:t>2019</w:t>
            </w:r>
          </w:p>
        </w:tc>
        <w:tc>
          <w:tcPr>
            <w:tcW w:w="1391" w:type="dxa"/>
          </w:tcPr>
          <w:p w14:paraId="71C85BC6" w14:textId="77777777" w:rsidR="000D7149" w:rsidRPr="00E34419" w:rsidRDefault="000D7149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  <w:r w:rsidRPr="00E34419"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  <w:t>2020</w:t>
            </w:r>
          </w:p>
        </w:tc>
        <w:tc>
          <w:tcPr>
            <w:tcW w:w="1476" w:type="dxa"/>
          </w:tcPr>
          <w:p w14:paraId="2E75A973" w14:textId="77777777" w:rsidR="000D7149" w:rsidRPr="00E34419" w:rsidRDefault="000D7149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  <w:r w:rsidRPr="00E34419"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  <w:t>2021</w:t>
            </w:r>
          </w:p>
        </w:tc>
        <w:tc>
          <w:tcPr>
            <w:tcW w:w="937" w:type="dxa"/>
          </w:tcPr>
          <w:p w14:paraId="72F2779E" w14:textId="77777777" w:rsidR="000D7149" w:rsidRPr="00E34419" w:rsidRDefault="000D7149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  <w:r w:rsidRPr="00E34419"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  <w:t>2022</w:t>
            </w:r>
          </w:p>
        </w:tc>
        <w:tc>
          <w:tcPr>
            <w:tcW w:w="932" w:type="dxa"/>
          </w:tcPr>
          <w:p w14:paraId="5AE3D63E" w14:textId="77777777" w:rsidR="000D7149" w:rsidRPr="00E34419" w:rsidRDefault="000D7149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  <w:r w:rsidRPr="00E34419"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  <w:t>2023</w:t>
            </w:r>
          </w:p>
        </w:tc>
        <w:tc>
          <w:tcPr>
            <w:tcW w:w="932" w:type="dxa"/>
          </w:tcPr>
          <w:p w14:paraId="719EED73" w14:textId="77777777" w:rsidR="000D7149" w:rsidRPr="00E34419" w:rsidRDefault="000D7149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  <w:r w:rsidRPr="00E34419"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932" w:type="dxa"/>
          </w:tcPr>
          <w:p w14:paraId="79084850" w14:textId="77777777" w:rsidR="000D7149" w:rsidRPr="00E34419" w:rsidRDefault="000D7149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  <w:r w:rsidRPr="00E34419"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  <w:t>2025</w:t>
            </w:r>
          </w:p>
        </w:tc>
      </w:tr>
      <w:tr w:rsidR="00EF24BD" w:rsidRPr="00E34419" w14:paraId="17F568F2" w14:textId="77777777" w:rsidTr="00614DB8">
        <w:trPr>
          <w:jc w:val="center"/>
        </w:trPr>
        <w:tc>
          <w:tcPr>
            <w:tcW w:w="2314" w:type="dxa"/>
          </w:tcPr>
          <w:p w14:paraId="05EB6D3F" w14:textId="77777777" w:rsidR="000D7149" w:rsidRPr="00E34419" w:rsidRDefault="000D7149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  <w:r w:rsidRPr="00E34419"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  <w:t>Meta prevista</w:t>
            </w:r>
          </w:p>
        </w:tc>
        <w:tc>
          <w:tcPr>
            <w:tcW w:w="1022" w:type="dxa"/>
          </w:tcPr>
          <w:p w14:paraId="33CABDE3" w14:textId="77777777" w:rsidR="000D7149" w:rsidRPr="00E34419" w:rsidRDefault="000D7149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</w:p>
        </w:tc>
        <w:tc>
          <w:tcPr>
            <w:tcW w:w="1002" w:type="dxa"/>
          </w:tcPr>
          <w:p w14:paraId="03E3898E" w14:textId="77777777" w:rsidR="000D7149" w:rsidRPr="00E34419" w:rsidRDefault="000D7149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14:paraId="4B20C921" w14:textId="77777777" w:rsidR="000D7149" w:rsidRPr="00E34419" w:rsidRDefault="000D7149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</w:p>
        </w:tc>
        <w:tc>
          <w:tcPr>
            <w:tcW w:w="1219" w:type="dxa"/>
          </w:tcPr>
          <w:p w14:paraId="43D0C7D6" w14:textId="77777777" w:rsidR="000D7149" w:rsidRPr="00E34419" w:rsidRDefault="000D7149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</w:p>
        </w:tc>
        <w:tc>
          <w:tcPr>
            <w:tcW w:w="1305" w:type="dxa"/>
          </w:tcPr>
          <w:p w14:paraId="3B8F3635" w14:textId="77777777" w:rsidR="000D7149" w:rsidRPr="00E34419" w:rsidRDefault="000D7149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</w:p>
        </w:tc>
        <w:tc>
          <w:tcPr>
            <w:tcW w:w="1391" w:type="dxa"/>
          </w:tcPr>
          <w:p w14:paraId="001F6474" w14:textId="77777777" w:rsidR="000D7149" w:rsidRPr="00E34419" w:rsidRDefault="000D7149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</w:p>
        </w:tc>
        <w:tc>
          <w:tcPr>
            <w:tcW w:w="1476" w:type="dxa"/>
          </w:tcPr>
          <w:p w14:paraId="4F5D5768" w14:textId="77777777" w:rsidR="000D7149" w:rsidRPr="00E34419" w:rsidRDefault="000D7149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</w:p>
        </w:tc>
        <w:tc>
          <w:tcPr>
            <w:tcW w:w="937" w:type="dxa"/>
          </w:tcPr>
          <w:p w14:paraId="4AEF237F" w14:textId="365D39D3" w:rsidR="000D7149" w:rsidRPr="00E34419" w:rsidRDefault="000D7149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</w:p>
        </w:tc>
        <w:tc>
          <w:tcPr>
            <w:tcW w:w="932" w:type="dxa"/>
          </w:tcPr>
          <w:p w14:paraId="5331AAE2" w14:textId="77777777" w:rsidR="000D7149" w:rsidRPr="00E34419" w:rsidRDefault="000D7149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</w:p>
        </w:tc>
        <w:tc>
          <w:tcPr>
            <w:tcW w:w="932" w:type="dxa"/>
          </w:tcPr>
          <w:p w14:paraId="33758196" w14:textId="77777777" w:rsidR="000D7149" w:rsidRPr="00E34419" w:rsidRDefault="000D7149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</w:p>
        </w:tc>
        <w:tc>
          <w:tcPr>
            <w:tcW w:w="932" w:type="dxa"/>
          </w:tcPr>
          <w:p w14:paraId="3DF91708" w14:textId="3946BFAE" w:rsidR="000D7149" w:rsidRPr="00E34419" w:rsidRDefault="00982542" w:rsidP="00701A2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  <w:r w:rsidRPr="00E34419"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  <w:t>50%</w:t>
            </w:r>
          </w:p>
        </w:tc>
      </w:tr>
      <w:tr w:rsidR="00614DB8" w:rsidRPr="00963654" w14:paraId="4E957CE2" w14:textId="77777777" w:rsidTr="00614DB8">
        <w:trPr>
          <w:jc w:val="center"/>
        </w:trPr>
        <w:tc>
          <w:tcPr>
            <w:tcW w:w="2314" w:type="dxa"/>
          </w:tcPr>
          <w:p w14:paraId="3CC7D9FD" w14:textId="77777777" w:rsidR="00614DB8" w:rsidRPr="00E34419" w:rsidRDefault="00614DB8" w:rsidP="00614DB8">
            <w:pPr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  <w:r w:rsidRPr="00E34419"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  <w:t>Meta executada</w:t>
            </w:r>
          </w:p>
        </w:tc>
        <w:tc>
          <w:tcPr>
            <w:tcW w:w="1022" w:type="dxa"/>
          </w:tcPr>
          <w:p w14:paraId="5A02A317" w14:textId="6CDC2944" w:rsidR="00614DB8" w:rsidRPr="00356CB5" w:rsidRDefault="00614DB8" w:rsidP="00614DB8">
            <w:pPr>
              <w:rPr>
                <w:rFonts w:ascii="Arial" w:eastAsia="Times New Roman" w:hAnsi="Arial" w:cs="Arial"/>
                <w:color w:val="676A6C"/>
                <w:lang w:eastAsia="pt-BR"/>
              </w:rPr>
            </w:pPr>
            <w:r>
              <w:rPr>
                <w:rFonts w:ascii="Arial" w:eastAsia="Times New Roman" w:hAnsi="Arial" w:cs="Arial"/>
                <w:color w:val="676A6C"/>
                <w:lang w:eastAsia="pt-BR"/>
              </w:rPr>
              <w:t>75</w:t>
            </w:r>
            <w:r w:rsidRPr="00356CB5">
              <w:rPr>
                <w:rFonts w:ascii="Arial" w:eastAsia="Times New Roman" w:hAnsi="Arial" w:cs="Arial"/>
                <w:color w:val="676A6C"/>
                <w:lang w:eastAsia="pt-BR"/>
              </w:rPr>
              <w:t>%</w:t>
            </w:r>
          </w:p>
        </w:tc>
        <w:tc>
          <w:tcPr>
            <w:tcW w:w="1002" w:type="dxa"/>
          </w:tcPr>
          <w:p w14:paraId="32377D93" w14:textId="04A4A292" w:rsidR="00614DB8" w:rsidRPr="00356CB5" w:rsidRDefault="00614DB8" w:rsidP="00614DB8">
            <w:pPr>
              <w:rPr>
                <w:rFonts w:ascii="Arial" w:eastAsia="Times New Roman" w:hAnsi="Arial" w:cs="Arial"/>
                <w:color w:val="676A6C"/>
                <w:lang w:eastAsia="pt-BR"/>
              </w:rPr>
            </w:pPr>
            <w:r>
              <w:rPr>
                <w:rFonts w:ascii="Arial" w:eastAsia="Times New Roman" w:hAnsi="Arial" w:cs="Arial"/>
                <w:color w:val="676A6C"/>
                <w:lang w:eastAsia="pt-BR"/>
              </w:rPr>
              <w:t>33,33%</w:t>
            </w:r>
          </w:p>
        </w:tc>
        <w:tc>
          <w:tcPr>
            <w:tcW w:w="1134" w:type="dxa"/>
          </w:tcPr>
          <w:p w14:paraId="15D9508A" w14:textId="63CB3AAA" w:rsidR="00614DB8" w:rsidRPr="00356CB5" w:rsidRDefault="00614DB8" w:rsidP="00614DB8">
            <w:pPr>
              <w:rPr>
                <w:rFonts w:ascii="Arial" w:eastAsia="Times New Roman" w:hAnsi="Arial" w:cs="Arial"/>
                <w:color w:val="676A6C"/>
                <w:lang w:eastAsia="pt-BR"/>
              </w:rPr>
            </w:pPr>
            <w:r>
              <w:rPr>
                <w:rFonts w:ascii="Arial" w:eastAsia="Times New Roman" w:hAnsi="Arial" w:cs="Arial"/>
                <w:color w:val="676A6C"/>
                <w:lang w:eastAsia="pt-BR"/>
              </w:rPr>
              <w:t>33,33%</w:t>
            </w:r>
          </w:p>
        </w:tc>
        <w:tc>
          <w:tcPr>
            <w:tcW w:w="1219" w:type="dxa"/>
          </w:tcPr>
          <w:p w14:paraId="4CF37355" w14:textId="568A44CD" w:rsidR="00614DB8" w:rsidRPr="00356CB5" w:rsidRDefault="00614DB8" w:rsidP="00614DB8">
            <w:pPr>
              <w:rPr>
                <w:rFonts w:ascii="Arial" w:eastAsia="Times New Roman" w:hAnsi="Arial" w:cs="Arial"/>
                <w:color w:val="676A6C"/>
                <w:lang w:eastAsia="pt-BR"/>
              </w:rPr>
            </w:pPr>
            <w:r>
              <w:rPr>
                <w:rFonts w:ascii="Arial" w:eastAsia="Times New Roman" w:hAnsi="Arial" w:cs="Arial"/>
                <w:color w:val="676A6C"/>
                <w:lang w:eastAsia="pt-BR"/>
              </w:rPr>
              <w:t>33,33%</w:t>
            </w:r>
          </w:p>
        </w:tc>
        <w:tc>
          <w:tcPr>
            <w:tcW w:w="1305" w:type="dxa"/>
          </w:tcPr>
          <w:p w14:paraId="329C5C5F" w14:textId="33C103B8" w:rsidR="00614DB8" w:rsidRPr="00356CB5" w:rsidRDefault="00614DB8" w:rsidP="00614DB8">
            <w:pPr>
              <w:rPr>
                <w:rFonts w:ascii="Arial" w:eastAsia="Times New Roman" w:hAnsi="Arial" w:cs="Arial"/>
                <w:color w:val="676A6C"/>
                <w:lang w:eastAsia="pt-BR"/>
              </w:rPr>
            </w:pPr>
            <w:r>
              <w:rPr>
                <w:rFonts w:ascii="Arial" w:eastAsia="Times New Roman" w:hAnsi="Arial" w:cs="Arial"/>
                <w:color w:val="676A6C"/>
                <w:lang w:eastAsia="pt-BR"/>
              </w:rPr>
              <w:t>33,33%</w:t>
            </w:r>
          </w:p>
        </w:tc>
        <w:tc>
          <w:tcPr>
            <w:tcW w:w="1391" w:type="dxa"/>
          </w:tcPr>
          <w:p w14:paraId="33906FD8" w14:textId="566A3036" w:rsidR="00614DB8" w:rsidRPr="00356CB5" w:rsidRDefault="00614DB8" w:rsidP="00614DB8">
            <w:pPr>
              <w:rPr>
                <w:rFonts w:ascii="Arial" w:eastAsia="Times New Roman" w:hAnsi="Arial" w:cs="Arial"/>
                <w:color w:val="676A6C"/>
                <w:lang w:eastAsia="pt-BR"/>
              </w:rPr>
            </w:pPr>
            <w:r>
              <w:rPr>
                <w:rFonts w:ascii="Arial" w:eastAsia="Times New Roman" w:hAnsi="Arial" w:cs="Arial"/>
                <w:color w:val="676A6C"/>
                <w:lang w:eastAsia="pt-BR"/>
              </w:rPr>
              <w:t>33,33%</w:t>
            </w:r>
          </w:p>
        </w:tc>
        <w:tc>
          <w:tcPr>
            <w:tcW w:w="1476" w:type="dxa"/>
          </w:tcPr>
          <w:p w14:paraId="471F884F" w14:textId="1FB3B01F" w:rsidR="00614DB8" w:rsidRPr="00356CB5" w:rsidRDefault="00614DB8" w:rsidP="00614DB8">
            <w:pPr>
              <w:rPr>
                <w:rFonts w:ascii="Arial" w:eastAsia="Times New Roman" w:hAnsi="Arial" w:cs="Arial"/>
                <w:color w:val="676A6C"/>
                <w:lang w:eastAsia="pt-BR"/>
              </w:rPr>
            </w:pPr>
            <w:r>
              <w:rPr>
                <w:rFonts w:ascii="Arial" w:eastAsia="Times New Roman" w:hAnsi="Arial" w:cs="Arial"/>
                <w:color w:val="676A6C"/>
                <w:lang w:eastAsia="pt-BR"/>
              </w:rPr>
              <w:t>33,33%</w:t>
            </w:r>
          </w:p>
        </w:tc>
        <w:tc>
          <w:tcPr>
            <w:tcW w:w="937" w:type="dxa"/>
          </w:tcPr>
          <w:p w14:paraId="1FBD2C8C" w14:textId="31852139" w:rsidR="00614DB8" w:rsidRPr="00356CB5" w:rsidRDefault="00614DB8" w:rsidP="00614DB8">
            <w:pPr>
              <w:rPr>
                <w:rFonts w:ascii="Arial" w:eastAsia="Times New Roman" w:hAnsi="Arial" w:cs="Arial"/>
                <w:color w:val="676A6C"/>
                <w:lang w:eastAsia="pt-BR"/>
              </w:rPr>
            </w:pPr>
          </w:p>
        </w:tc>
        <w:tc>
          <w:tcPr>
            <w:tcW w:w="932" w:type="dxa"/>
          </w:tcPr>
          <w:p w14:paraId="3762B547" w14:textId="56B13743" w:rsidR="00614DB8" w:rsidRPr="00963654" w:rsidRDefault="00614DB8" w:rsidP="00614DB8">
            <w:pPr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</w:p>
        </w:tc>
        <w:tc>
          <w:tcPr>
            <w:tcW w:w="932" w:type="dxa"/>
          </w:tcPr>
          <w:p w14:paraId="60D12408" w14:textId="77777777" w:rsidR="00614DB8" w:rsidRPr="00963654" w:rsidRDefault="00614DB8" w:rsidP="00614DB8">
            <w:pPr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</w:p>
        </w:tc>
        <w:tc>
          <w:tcPr>
            <w:tcW w:w="932" w:type="dxa"/>
          </w:tcPr>
          <w:p w14:paraId="52602C6F" w14:textId="77777777" w:rsidR="00614DB8" w:rsidRPr="00963654" w:rsidRDefault="00614DB8" w:rsidP="00614DB8">
            <w:pPr>
              <w:rPr>
                <w:rFonts w:ascii="Arial" w:eastAsia="Times New Roman" w:hAnsi="Arial" w:cs="Arial"/>
                <w:b/>
                <w:bCs/>
                <w:color w:val="676A6C"/>
                <w:sz w:val="24"/>
                <w:szCs w:val="24"/>
                <w:lang w:eastAsia="pt-BR"/>
              </w:rPr>
            </w:pPr>
          </w:p>
        </w:tc>
      </w:tr>
    </w:tbl>
    <w:p w14:paraId="18416E18" w14:textId="478B03A7" w:rsidR="0043222D" w:rsidRPr="005445FB" w:rsidRDefault="0043222D" w:rsidP="00B03B9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F09E7">
        <w:rPr>
          <w:rFonts w:ascii="Arial" w:hAnsi="Arial" w:cs="Arial"/>
        </w:rPr>
        <w:t xml:space="preserve">* </w:t>
      </w:r>
      <w:r w:rsidRPr="005445FB">
        <w:rPr>
          <w:rFonts w:ascii="Arial" w:hAnsi="Arial" w:cs="Arial"/>
          <w:sz w:val="20"/>
          <w:szCs w:val="20"/>
        </w:rPr>
        <w:t>MATRÍCULAS DA EDUCAÇÃO BÁSICA CONSIDERADAS NO FUNDEB EM 2016, ESTIMATIVA DA RECEITA ANUAL DO FUNDO E COEFICIENTES DE DISTRIBUIÇÃO DOS RECURSOS POR ENTE GOVERNAMENTAL - PORTARIA Nº 11, DE 30 DE DEZEMBRO DE 2015.</w:t>
      </w:r>
    </w:p>
    <w:p w14:paraId="5D14CDD2" w14:textId="6C43200A" w:rsidR="0043222D" w:rsidRPr="005445FB" w:rsidRDefault="0043222D" w:rsidP="00B03B9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445FB">
        <w:rPr>
          <w:rFonts w:ascii="Arial" w:eastAsia="Times New Roman" w:hAnsi="Arial" w:cs="Arial"/>
          <w:color w:val="676A6C"/>
          <w:sz w:val="20"/>
          <w:szCs w:val="20"/>
          <w:lang w:eastAsia="pt-BR"/>
        </w:rPr>
        <w:t xml:space="preserve">** </w:t>
      </w:r>
      <w:r w:rsidRPr="005445FB">
        <w:rPr>
          <w:rFonts w:ascii="Arial" w:hAnsi="Arial" w:cs="Arial"/>
          <w:sz w:val="20"/>
          <w:szCs w:val="20"/>
        </w:rPr>
        <w:t>MATRÍCULAS DA EDUCAÇÃO BÁSICA CONSIDERADAS NO FUNDEB EM 2017, ESTIMATIVA DA RECEITA ANUAL DO FUNDO E COEFICIENTES DE DISTRIBUIÇÃO DOS RECURSOS POR ENTE GOVERNAMENTAL - PORTARIA INTERMINISTERIAL Nº 8, DE 29 DE NOVEMBRO DE 2017.</w:t>
      </w:r>
    </w:p>
    <w:p w14:paraId="049F5214" w14:textId="371D7DC6" w:rsidR="0043222D" w:rsidRPr="005445FB" w:rsidRDefault="0043222D" w:rsidP="00B03B9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445FB">
        <w:rPr>
          <w:rFonts w:ascii="Arial" w:hAnsi="Arial" w:cs="Arial"/>
          <w:sz w:val="20"/>
          <w:szCs w:val="20"/>
        </w:rPr>
        <w:t>***MATRÍCULAS DA EDUCAÇÃO BÁSICA CONSIDERADAS NO FUNDEB EM 2018, ESTIMATIVA DA RECEITA ANUAL DO FUNDO E COEFICIENTES DE DISTRIBUIÇÃO DOS RECURSOS POR ENTE GOVERNAMENTAL - PORTARIA INTERMINISTERIAL Nº 06, DE 26 DE DEZEMBRO DE 2018.</w:t>
      </w:r>
    </w:p>
    <w:p w14:paraId="2E678A8C" w14:textId="452C7B93" w:rsidR="007E0D4B" w:rsidRPr="005445FB" w:rsidRDefault="007E0D4B" w:rsidP="00B03B9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445FB">
        <w:rPr>
          <w:rFonts w:ascii="Arial" w:hAnsi="Arial" w:cs="Arial"/>
          <w:sz w:val="20"/>
          <w:szCs w:val="20"/>
        </w:rPr>
        <w:t>**** MATRÍCULAS DA EDUCAÇÃO BÁSICA CONSIDERADAS NO FUNDEB EM 2019, ESTIMATIVA DA RECEITA ANUAL DO FUNDO E COEFICIENTES DE DISTRIBUIÇÃO DOS RECURSOS POR ENTE GOVERNAMENTAL - PORTARIA INTERMINISTERIAL Nº 3, DE 13 DE DEZEMBRO DE 2019.</w:t>
      </w:r>
    </w:p>
    <w:p w14:paraId="0E9FB210" w14:textId="27079C90" w:rsidR="005C5344" w:rsidRPr="005445FB" w:rsidRDefault="00FF09E7" w:rsidP="00B03B9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445FB">
        <w:rPr>
          <w:rFonts w:ascii="Arial" w:hAnsi="Arial" w:cs="Arial"/>
          <w:sz w:val="20"/>
          <w:szCs w:val="20"/>
        </w:rPr>
        <w:t>*****MATRÍCULAS DA EDUCAÇÃO BÁSICA CONSIDERADAS NO FUNDEB EM 2020, ESTIMATIVA DA RECEITA ANUAL DO FUNDO E COEFICIENTES DE DISTRIBUIÇÃO DOS RECURSOS POR ENTE GOVERNAMENTAL - PORTARIA INTERMINISTERIAL Nº 3, DE 25 DE NOVEMBRO DE 2020</w:t>
      </w:r>
    </w:p>
    <w:p w14:paraId="3CD9F2E2" w14:textId="014472AF" w:rsidR="007E0D4B" w:rsidRPr="005445FB" w:rsidRDefault="005C5344" w:rsidP="00B03B9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445FB">
        <w:rPr>
          <w:rFonts w:ascii="Arial" w:eastAsia="Times New Roman" w:hAnsi="Arial" w:cs="Arial"/>
          <w:color w:val="676A6C"/>
          <w:sz w:val="20"/>
          <w:szCs w:val="20"/>
          <w:lang w:eastAsia="pt-BR"/>
        </w:rPr>
        <w:lastRenderedPageBreak/>
        <w:t>******</w:t>
      </w:r>
      <w:r w:rsidRPr="005445FB">
        <w:rPr>
          <w:rFonts w:ascii="Arial" w:hAnsi="Arial" w:cs="Arial"/>
          <w:sz w:val="20"/>
          <w:szCs w:val="20"/>
        </w:rPr>
        <w:t>MATRÍCULAS DA EDUCAÇÃO BÁSICA CONSIDERADAS NO FUNDEB EM 2021, ESTIMATIVA DA RECEITA ANUAL DO FUNDO E COEFICIENTES DE DISTRIBUIÇÃO DOS RECURSOS POR ENTE GOVERNAMENTAL - PORTARIA INTERMINISTERIAL Nº 10, DE 20 DE DEZEMBRO DE 2021</w:t>
      </w:r>
    </w:p>
    <w:p w14:paraId="751D728F" w14:textId="578A0B7B" w:rsidR="005C5344" w:rsidRPr="00723571" w:rsidRDefault="005C5344" w:rsidP="00B03B97">
      <w:pPr>
        <w:spacing w:after="0" w:line="360" w:lineRule="auto"/>
        <w:jc w:val="both"/>
        <w:rPr>
          <w:rFonts w:ascii="Arial" w:eastAsia="Times New Roman" w:hAnsi="Arial" w:cs="Arial"/>
          <w:color w:val="676A6C"/>
          <w:sz w:val="24"/>
          <w:szCs w:val="24"/>
          <w:lang w:eastAsia="pt-BR"/>
        </w:rPr>
      </w:pPr>
    </w:p>
    <w:sectPr w:rsidR="005C5344" w:rsidRPr="00723571" w:rsidSect="006C2854">
      <w:foot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6289F" w14:textId="77777777" w:rsidR="004479F2" w:rsidRDefault="004479F2" w:rsidP="00E866E0">
      <w:pPr>
        <w:spacing w:after="0" w:line="240" w:lineRule="auto"/>
      </w:pPr>
      <w:r>
        <w:separator/>
      </w:r>
    </w:p>
  </w:endnote>
  <w:endnote w:type="continuationSeparator" w:id="0">
    <w:p w14:paraId="1F450CA4" w14:textId="77777777" w:rsidR="004479F2" w:rsidRDefault="004479F2" w:rsidP="00E8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50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seo 30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seo 70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10958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866C75B" w14:textId="77777777" w:rsidR="00A61859" w:rsidRPr="00400448" w:rsidRDefault="00A61859">
        <w:pPr>
          <w:pStyle w:val="Rodap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0044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0044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0044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F328D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40044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9FAAFB3" w14:textId="77777777" w:rsidR="00A61859" w:rsidRDefault="00A618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B2D64" w14:textId="77777777" w:rsidR="004479F2" w:rsidRDefault="004479F2" w:rsidP="00E866E0">
      <w:pPr>
        <w:spacing w:after="0" w:line="240" w:lineRule="auto"/>
      </w:pPr>
      <w:r>
        <w:separator/>
      </w:r>
    </w:p>
  </w:footnote>
  <w:footnote w:type="continuationSeparator" w:id="0">
    <w:p w14:paraId="4D6EE214" w14:textId="77777777" w:rsidR="004479F2" w:rsidRDefault="004479F2" w:rsidP="00E86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362E6"/>
    <w:multiLevelType w:val="hybridMultilevel"/>
    <w:tmpl w:val="CC625814"/>
    <w:lvl w:ilvl="0" w:tplc="6CA0BF80">
      <w:start w:val="1"/>
      <w:numFmt w:val="decimal"/>
      <w:lvlText w:val="%1."/>
      <w:lvlJc w:val="left"/>
      <w:pPr>
        <w:ind w:left="4755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4BF408C1"/>
    <w:multiLevelType w:val="hybridMultilevel"/>
    <w:tmpl w:val="FA2AA970"/>
    <w:lvl w:ilvl="0" w:tplc="00D2BE88">
      <w:start w:val="3"/>
      <w:numFmt w:val="bullet"/>
      <w:lvlText w:val=""/>
      <w:lvlJc w:val="left"/>
      <w:pPr>
        <w:ind w:left="1494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7A4C7AD9"/>
    <w:multiLevelType w:val="hybridMultilevel"/>
    <w:tmpl w:val="63F08DC8"/>
    <w:lvl w:ilvl="0" w:tplc="4202C95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494080">
    <w:abstractNumId w:val="0"/>
  </w:num>
  <w:num w:numId="2" w16cid:durableId="862017381">
    <w:abstractNumId w:val="2"/>
  </w:num>
  <w:num w:numId="3" w16cid:durableId="1093934104">
    <w:abstractNumId w:val="1"/>
  </w:num>
  <w:num w:numId="4" w16cid:durableId="1996646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6E0"/>
    <w:rsid w:val="00002DB3"/>
    <w:rsid w:val="0000404B"/>
    <w:rsid w:val="00004E62"/>
    <w:rsid w:val="00025D0B"/>
    <w:rsid w:val="0004773C"/>
    <w:rsid w:val="0007767C"/>
    <w:rsid w:val="000838DD"/>
    <w:rsid w:val="000A47D1"/>
    <w:rsid w:val="000B4298"/>
    <w:rsid w:val="000D7149"/>
    <w:rsid w:val="000F3E94"/>
    <w:rsid w:val="00106F65"/>
    <w:rsid w:val="00107972"/>
    <w:rsid w:val="00110F7D"/>
    <w:rsid w:val="00112696"/>
    <w:rsid w:val="0011334D"/>
    <w:rsid w:val="00120C7B"/>
    <w:rsid w:val="0014069D"/>
    <w:rsid w:val="00145C7A"/>
    <w:rsid w:val="00164200"/>
    <w:rsid w:val="00165A7B"/>
    <w:rsid w:val="001856D8"/>
    <w:rsid w:val="001D45E7"/>
    <w:rsid w:val="001E3185"/>
    <w:rsid w:val="00212B6C"/>
    <w:rsid w:val="00256932"/>
    <w:rsid w:val="00273239"/>
    <w:rsid w:val="00282FB6"/>
    <w:rsid w:val="002847E3"/>
    <w:rsid w:val="00292BDE"/>
    <w:rsid w:val="0029313D"/>
    <w:rsid w:val="00294C11"/>
    <w:rsid w:val="002A4310"/>
    <w:rsid w:val="002E56AA"/>
    <w:rsid w:val="00317A33"/>
    <w:rsid w:val="0034200B"/>
    <w:rsid w:val="00356CB5"/>
    <w:rsid w:val="00386CF0"/>
    <w:rsid w:val="003B0A28"/>
    <w:rsid w:val="003C61C7"/>
    <w:rsid w:val="003C777E"/>
    <w:rsid w:val="003D2DEB"/>
    <w:rsid w:val="003E556B"/>
    <w:rsid w:val="003F6B3C"/>
    <w:rsid w:val="00400448"/>
    <w:rsid w:val="0041294F"/>
    <w:rsid w:val="0043222D"/>
    <w:rsid w:val="004353E0"/>
    <w:rsid w:val="00444390"/>
    <w:rsid w:val="004479F2"/>
    <w:rsid w:val="004508DA"/>
    <w:rsid w:val="0045744C"/>
    <w:rsid w:val="004727C7"/>
    <w:rsid w:val="004B1BA5"/>
    <w:rsid w:val="004B7928"/>
    <w:rsid w:val="004E1E34"/>
    <w:rsid w:val="00515A39"/>
    <w:rsid w:val="00516B11"/>
    <w:rsid w:val="0052659A"/>
    <w:rsid w:val="0053652B"/>
    <w:rsid w:val="005445FB"/>
    <w:rsid w:val="00545B4D"/>
    <w:rsid w:val="00555778"/>
    <w:rsid w:val="00557D47"/>
    <w:rsid w:val="00584860"/>
    <w:rsid w:val="005928EB"/>
    <w:rsid w:val="005A2421"/>
    <w:rsid w:val="005C35D9"/>
    <w:rsid w:val="005C5344"/>
    <w:rsid w:val="00607CBE"/>
    <w:rsid w:val="00614DB8"/>
    <w:rsid w:val="00617DFE"/>
    <w:rsid w:val="00653BBD"/>
    <w:rsid w:val="00656A85"/>
    <w:rsid w:val="0067181D"/>
    <w:rsid w:val="00683C06"/>
    <w:rsid w:val="00692D9E"/>
    <w:rsid w:val="006B07A3"/>
    <w:rsid w:val="006C0280"/>
    <w:rsid w:val="006C2854"/>
    <w:rsid w:val="006D2EFD"/>
    <w:rsid w:val="00715BC0"/>
    <w:rsid w:val="00722593"/>
    <w:rsid w:val="00723571"/>
    <w:rsid w:val="0076035A"/>
    <w:rsid w:val="007653A5"/>
    <w:rsid w:val="00777DAF"/>
    <w:rsid w:val="007D250B"/>
    <w:rsid w:val="007D3622"/>
    <w:rsid w:val="007E0D4B"/>
    <w:rsid w:val="007F3EC8"/>
    <w:rsid w:val="008009C7"/>
    <w:rsid w:val="0083240B"/>
    <w:rsid w:val="008514FA"/>
    <w:rsid w:val="00884455"/>
    <w:rsid w:val="00887E39"/>
    <w:rsid w:val="008B1707"/>
    <w:rsid w:val="008D6B2D"/>
    <w:rsid w:val="009122E3"/>
    <w:rsid w:val="00933A70"/>
    <w:rsid w:val="0093478B"/>
    <w:rsid w:val="00963654"/>
    <w:rsid w:val="00972799"/>
    <w:rsid w:val="00975ECF"/>
    <w:rsid w:val="00982542"/>
    <w:rsid w:val="00997D20"/>
    <w:rsid w:val="009A4EC5"/>
    <w:rsid w:val="009B2759"/>
    <w:rsid w:val="009B7EEA"/>
    <w:rsid w:val="009C73C6"/>
    <w:rsid w:val="009D1DF8"/>
    <w:rsid w:val="009F328D"/>
    <w:rsid w:val="009F7160"/>
    <w:rsid w:val="00A61859"/>
    <w:rsid w:val="00AA79E4"/>
    <w:rsid w:val="00AC2195"/>
    <w:rsid w:val="00AF2798"/>
    <w:rsid w:val="00B01BD3"/>
    <w:rsid w:val="00B03B97"/>
    <w:rsid w:val="00B2715F"/>
    <w:rsid w:val="00B321A8"/>
    <w:rsid w:val="00B75F7A"/>
    <w:rsid w:val="00B865B0"/>
    <w:rsid w:val="00BA3050"/>
    <w:rsid w:val="00BE7C7B"/>
    <w:rsid w:val="00BF0B26"/>
    <w:rsid w:val="00C01A79"/>
    <w:rsid w:val="00C13747"/>
    <w:rsid w:val="00C64513"/>
    <w:rsid w:val="00C64514"/>
    <w:rsid w:val="00C775FA"/>
    <w:rsid w:val="00CB6FA3"/>
    <w:rsid w:val="00CC7595"/>
    <w:rsid w:val="00CD33E7"/>
    <w:rsid w:val="00CD47ED"/>
    <w:rsid w:val="00D032FF"/>
    <w:rsid w:val="00D60CD0"/>
    <w:rsid w:val="00D7766D"/>
    <w:rsid w:val="00D86E3E"/>
    <w:rsid w:val="00DA1D3D"/>
    <w:rsid w:val="00DD33F6"/>
    <w:rsid w:val="00E05F44"/>
    <w:rsid w:val="00E34419"/>
    <w:rsid w:val="00E4285A"/>
    <w:rsid w:val="00E54298"/>
    <w:rsid w:val="00E61DAB"/>
    <w:rsid w:val="00E83B2A"/>
    <w:rsid w:val="00E866E0"/>
    <w:rsid w:val="00E90871"/>
    <w:rsid w:val="00EB2A46"/>
    <w:rsid w:val="00EC476F"/>
    <w:rsid w:val="00EF24BD"/>
    <w:rsid w:val="00EF6F43"/>
    <w:rsid w:val="00F03C4B"/>
    <w:rsid w:val="00F42C53"/>
    <w:rsid w:val="00F63AFF"/>
    <w:rsid w:val="00F67DD4"/>
    <w:rsid w:val="00FA74C3"/>
    <w:rsid w:val="00FF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0F07"/>
  <w15:docId w15:val="{B2ADC498-023D-48E9-892E-F56F397F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CB5"/>
  </w:style>
  <w:style w:type="paragraph" w:styleId="Ttulo1">
    <w:name w:val="heading 1"/>
    <w:basedOn w:val="Normal"/>
    <w:next w:val="Normal"/>
    <w:link w:val="Ttulo1Char"/>
    <w:uiPriority w:val="9"/>
    <w:qFormat/>
    <w:rsid w:val="004004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2854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2854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C2854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C2854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C2854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66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6E0"/>
  </w:style>
  <w:style w:type="paragraph" w:styleId="Rodap">
    <w:name w:val="footer"/>
    <w:basedOn w:val="Normal"/>
    <w:link w:val="RodapChar"/>
    <w:uiPriority w:val="99"/>
    <w:unhideWhenUsed/>
    <w:rsid w:val="00E866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6E0"/>
  </w:style>
  <w:style w:type="paragraph" w:styleId="Textodebalo">
    <w:name w:val="Balloon Text"/>
    <w:basedOn w:val="Normal"/>
    <w:link w:val="TextodebaloChar"/>
    <w:uiPriority w:val="99"/>
    <w:semiHidden/>
    <w:unhideWhenUsed/>
    <w:rsid w:val="00E8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66E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86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09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00448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004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qFormat/>
    <w:rsid w:val="00400448"/>
    <w:pPr>
      <w:spacing w:line="259" w:lineRule="auto"/>
      <w:outlineLvl w:val="9"/>
    </w:pPr>
    <w:rPr>
      <w:rFonts w:ascii="Cambria" w:eastAsia="MS Gothic" w:hAnsi="Cambria" w:cs="Times New Roman"/>
      <w:color w:val="365F91"/>
      <w:lang w:val="x-none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00448"/>
    <w:pPr>
      <w:tabs>
        <w:tab w:val="left" w:pos="440"/>
        <w:tab w:val="right" w:leader="dot" w:pos="8494"/>
      </w:tabs>
      <w:spacing w:after="100"/>
      <w:jc w:val="center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400448"/>
    <w:rPr>
      <w:i/>
      <w:iCs/>
    </w:rPr>
  </w:style>
  <w:style w:type="paragraph" w:customStyle="1" w:styleId="Pa0">
    <w:name w:val="Pa0"/>
    <w:basedOn w:val="Normal"/>
    <w:next w:val="Normal"/>
    <w:rsid w:val="0007767C"/>
    <w:pPr>
      <w:autoSpaceDE w:val="0"/>
      <w:autoSpaceDN w:val="0"/>
      <w:adjustRightInd w:val="0"/>
      <w:spacing w:after="0" w:line="221" w:lineRule="atLeast"/>
    </w:pPr>
    <w:rPr>
      <w:rFonts w:ascii="Museo 500" w:eastAsia="Times New Roman" w:hAnsi="Museo 500" w:cs="Times New Roman"/>
      <w:sz w:val="24"/>
      <w:szCs w:val="24"/>
      <w:lang w:eastAsia="pt-BR"/>
    </w:rPr>
  </w:style>
  <w:style w:type="character" w:customStyle="1" w:styleId="A6">
    <w:name w:val="A6"/>
    <w:rsid w:val="0007767C"/>
    <w:rPr>
      <w:rFonts w:cs="Museo 500"/>
      <w:color w:val="000000"/>
      <w:sz w:val="18"/>
      <w:szCs w:val="18"/>
    </w:rPr>
  </w:style>
  <w:style w:type="paragraph" w:customStyle="1" w:styleId="Pa4">
    <w:name w:val="Pa4"/>
    <w:basedOn w:val="Normal"/>
    <w:next w:val="Normal"/>
    <w:rsid w:val="0007767C"/>
    <w:pPr>
      <w:autoSpaceDE w:val="0"/>
      <w:autoSpaceDN w:val="0"/>
      <w:adjustRightInd w:val="0"/>
      <w:spacing w:after="0" w:line="221" w:lineRule="atLeast"/>
    </w:pPr>
    <w:rPr>
      <w:rFonts w:ascii="Museo 300" w:eastAsia="Times New Roman" w:hAnsi="Museo 300" w:cs="Times New Roman"/>
      <w:sz w:val="24"/>
      <w:szCs w:val="24"/>
      <w:lang w:eastAsia="pt-BR"/>
    </w:rPr>
  </w:style>
  <w:style w:type="character" w:customStyle="1" w:styleId="A7">
    <w:name w:val="A7"/>
    <w:rsid w:val="0007767C"/>
    <w:rPr>
      <w:rFonts w:cs="Museo 300"/>
      <w:i/>
      <w:iCs/>
      <w:color w:val="000000"/>
      <w:sz w:val="16"/>
      <w:szCs w:val="16"/>
    </w:rPr>
  </w:style>
  <w:style w:type="paragraph" w:customStyle="1" w:styleId="Pa2">
    <w:name w:val="Pa2"/>
    <w:basedOn w:val="Normal"/>
    <w:next w:val="Normal"/>
    <w:rsid w:val="0007767C"/>
    <w:pPr>
      <w:autoSpaceDE w:val="0"/>
      <w:autoSpaceDN w:val="0"/>
      <w:adjustRightInd w:val="0"/>
      <w:spacing w:after="0" w:line="221" w:lineRule="atLeast"/>
    </w:pPr>
    <w:rPr>
      <w:rFonts w:ascii="Museo 700" w:eastAsia="Times New Roman" w:hAnsi="Museo 700" w:cs="Times New Roman"/>
      <w:sz w:val="24"/>
      <w:szCs w:val="24"/>
      <w:lang w:eastAsia="pt-BR"/>
    </w:rPr>
  </w:style>
  <w:style w:type="paragraph" w:customStyle="1" w:styleId="Pa3">
    <w:name w:val="Pa3"/>
    <w:basedOn w:val="Normal"/>
    <w:next w:val="Normal"/>
    <w:rsid w:val="0007767C"/>
    <w:pPr>
      <w:autoSpaceDE w:val="0"/>
      <w:autoSpaceDN w:val="0"/>
      <w:adjustRightInd w:val="0"/>
      <w:spacing w:after="0" w:line="241" w:lineRule="atLeast"/>
    </w:pPr>
    <w:rPr>
      <w:rFonts w:ascii="Museo 500" w:eastAsia="Times New Roman" w:hAnsi="Museo 500" w:cs="Times New Roman"/>
      <w:sz w:val="24"/>
      <w:szCs w:val="24"/>
      <w:lang w:eastAsia="pt-BR"/>
    </w:rPr>
  </w:style>
  <w:style w:type="paragraph" w:customStyle="1" w:styleId="PME1">
    <w:name w:val="PME 1"/>
    <w:basedOn w:val="Normal"/>
    <w:link w:val="PME1Char"/>
    <w:qFormat/>
    <w:rsid w:val="0007767C"/>
    <w:pPr>
      <w:spacing w:after="0" w:line="360" w:lineRule="auto"/>
      <w:jc w:val="center"/>
    </w:pPr>
    <w:rPr>
      <w:rFonts w:ascii="Arial" w:eastAsia="Times New Roman" w:hAnsi="Arial" w:cs="Arial"/>
      <w:b/>
      <w:iCs/>
      <w:sz w:val="24"/>
      <w:szCs w:val="24"/>
      <w:lang w:eastAsia="ar-SA" w:bidi="en-US"/>
    </w:rPr>
  </w:style>
  <w:style w:type="character" w:customStyle="1" w:styleId="PME1Char">
    <w:name w:val="PME 1 Char"/>
    <w:basedOn w:val="Fontepargpadro"/>
    <w:link w:val="PME1"/>
    <w:rsid w:val="0007767C"/>
    <w:rPr>
      <w:rFonts w:ascii="Arial" w:eastAsia="Times New Roman" w:hAnsi="Arial" w:cs="Arial"/>
      <w:b/>
      <w:iCs/>
      <w:sz w:val="24"/>
      <w:szCs w:val="24"/>
      <w:lang w:eastAsia="ar-SA" w:bidi="en-US"/>
    </w:rPr>
  </w:style>
  <w:style w:type="paragraph" w:styleId="PargrafodaLista">
    <w:name w:val="List Paragraph"/>
    <w:basedOn w:val="Normal"/>
    <w:uiPriority w:val="34"/>
    <w:qFormat/>
    <w:rsid w:val="004B1B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C2854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C2854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C2854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C2854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C2854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TableNormal">
    <w:name w:val="Table Normal"/>
    <w:rsid w:val="006C2854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6C285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6C2854"/>
    <w:rPr>
      <w:rFonts w:ascii="Calibri" w:eastAsia="Calibri" w:hAnsi="Calibri" w:cs="Calibri"/>
      <w:b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28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6C2854"/>
    <w:rPr>
      <w:rFonts w:ascii="Georgia" w:eastAsia="Georgia" w:hAnsi="Georgia" w:cs="Georgia"/>
      <w:i/>
      <w:color w:val="66666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28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29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8B6AC-063B-4213-9BBD-8ED84DFD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rcvendas</dc:creator>
  <cp:lastModifiedBy>Daiane Cavalcante</cp:lastModifiedBy>
  <cp:revision>4</cp:revision>
  <dcterms:created xsi:type="dcterms:W3CDTF">2023-08-20T15:03:00Z</dcterms:created>
  <dcterms:modified xsi:type="dcterms:W3CDTF">2023-08-20T15:09:00Z</dcterms:modified>
</cp:coreProperties>
</file>