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F66C" w14:textId="4BF95FB1" w:rsidR="007E5AB6" w:rsidRPr="00345080" w:rsidRDefault="007E5AB6" w:rsidP="007E5AB6">
      <w:pPr>
        <w:shd w:val="clear" w:color="auto" w:fill="F2F2F2" w:themeFill="background1" w:themeFillShade="F2"/>
        <w:ind w:right="79"/>
        <w:jc w:val="center"/>
        <w:rPr>
          <w:rFonts w:cstheme="minorHAnsi"/>
          <w:b/>
          <w:bCs/>
          <w:i/>
          <w:iCs/>
          <w:noProof/>
          <w:snapToGrid w:val="0"/>
          <w:sz w:val="28"/>
          <w:szCs w:val="28"/>
        </w:rPr>
      </w:pPr>
      <w:r w:rsidRPr="00345080">
        <w:rPr>
          <w:rFonts w:cstheme="minorHAnsi"/>
          <w:b/>
          <w:bCs/>
          <w:i/>
          <w:iCs/>
          <w:noProof/>
          <w:snapToGrid w:val="0"/>
          <w:sz w:val="28"/>
          <w:szCs w:val="28"/>
        </w:rPr>
        <w:t>RESPOSTA À IMPUGNAÇÃO</w:t>
      </w:r>
    </w:p>
    <w:p w14:paraId="5C2BFE6B" w14:textId="7F294068" w:rsidR="007E5AB6" w:rsidRPr="00345080" w:rsidRDefault="007E5AB6" w:rsidP="007E5AB6">
      <w:pPr>
        <w:spacing w:after="0" w:line="240" w:lineRule="auto"/>
        <w:ind w:right="79"/>
        <w:jc w:val="center"/>
        <w:rPr>
          <w:rFonts w:cstheme="minorHAnsi"/>
          <w:b/>
          <w:bCs/>
          <w:sz w:val="18"/>
          <w:szCs w:val="18"/>
        </w:rPr>
      </w:pPr>
      <w:r w:rsidRPr="00345080">
        <w:rPr>
          <w:rFonts w:cstheme="minorHAnsi"/>
          <w:b/>
          <w:bCs/>
          <w:noProof/>
          <w:snapToGrid w:val="0"/>
          <w:sz w:val="18"/>
          <w:szCs w:val="18"/>
        </w:rPr>
        <w:t xml:space="preserve">TOMADA DE PREÇOS </w:t>
      </w:r>
      <w:r w:rsidRPr="00345080">
        <w:rPr>
          <w:rFonts w:cstheme="minorHAnsi"/>
          <w:b/>
          <w:bCs/>
          <w:sz w:val="18"/>
          <w:szCs w:val="18"/>
        </w:rPr>
        <w:t>N.º 046/2023</w:t>
      </w:r>
    </w:p>
    <w:p w14:paraId="3DF29D33" w14:textId="4C35181D" w:rsidR="007E5AB6" w:rsidRPr="00345080" w:rsidRDefault="007E5AB6" w:rsidP="007E5AB6">
      <w:pPr>
        <w:spacing w:after="0" w:line="240" w:lineRule="auto"/>
        <w:ind w:right="79"/>
        <w:jc w:val="center"/>
        <w:rPr>
          <w:rFonts w:cstheme="minorHAnsi"/>
          <w:b/>
          <w:bCs/>
          <w:sz w:val="18"/>
          <w:szCs w:val="18"/>
        </w:rPr>
      </w:pPr>
      <w:r w:rsidRPr="00345080">
        <w:rPr>
          <w:rFonts w:cstheme="minorHAnsi"/>
          <w:b/>
          <w:bCs/>
          <w:sz w:val="18"/>
          <w:szCs w:val="18"/>
        </w:rPr>
        <w:t>PROCESSO LICITATÓRIO N.º 5254/2023</w:t>
      </w:r>
    </w:p>
    <w:p w14:paraId="713373C1" w14:textId="77777777" w:rsidR="007E5AB6" w:rsidRPr="00345080" w:rsidRDefault="007E5AB6" w:rsidP="007E5AB6">
      <w:pPr>
        <w:spacing w:after="0" w:line="240" w:lineRule="auto"/>
        <w:ind w:right="79"/>
        <w:jc w:val="center"/>
        <w:rPr>
          <w:rFonts w:cstheme="minorHAnsi"/>
          <w:b/>
          <w:bCs/>
          <w:sz w:val="18"/>
          <w:szCs w:val="18"/>
        </w:rPr>
      </w:pPr>
    </w:p>
    <w:p w14:paraId="2736917F" w14:textId="77777777" w:rsidR="007E5AB6" w:rsidRPr="00345080" w:rsidRDefault="007E5AB6" w:rsidP="007E5AB6">
      <w:pPr>
        <w:spacing w:after="0" w:line="240" w:lineRule="auto"/>
        <w:ind w:right="79"/>
        <w:jc w:val="center"/>
        <w:rPr>
          <w:rFonts w:cstheme="minorHAnsi"/>
          <w:sz w:val="18"/>
          <w:szCs w:val="18"/>
        </w:rPr>
      </w:pPr>
    </w:p>
    <w:p w14:paraId="56D8DDC9" w14:textId="4AA349A7" w:rsidR="00342BB9" w:rsidRPr="00345080" w:rsidRDefault="007E5AB6" w:rsidP="007E5AB6">
      <w:pPr>
        <w:pStyle w:val="NormalWeb"/>
        <w:ind w:firstLine="1134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 xml:space="preserve">Vimos, em relação ao processo licitatório cujo objeto é a </w:t>
      </w:r>
      <w:r w:rsidRPr="00345080">
        <w:rPr>
          <w:rFonts w:asciiTheme="minorHAnsi" w:hAnsiTheme="minorHAnsi" w:cstheme="minorHAnsi"/>
          <w:sz w:val="18"/>
          <w:szCs w:val="18"/>
        </w:rPr>
        <w:t>CONTRATAÇÃO DE EMPRESA ESPECIALIZADA PARA REFORMA E AMPLIAÇÃO DO – ESTÁDIO MUNICIPAL “DR. LUIZ BENTO PALAMONE” – CAMPO DO ACCO”, LOCALIZADO NA RUA RUI BARBOSA, VILA XAVIER, ARARAQUARA, CONFORME MEMORIAL DESCRITIVO E DEMAIS ANEXOS QUE FAZEM PARTE INTEGRANTE DESTE EDITAL</w:t>
      </w:r>
      <w:r w:rsidRPr="00345080">
        <w:rPr>
          <w:rFonts w:asciiTheme="minorHAnsi" w:hAnsiTheme="minorHAnsi" w:cstheme="minorHAnsi"/>
          <w:sz w:val="18"/>
          <w:szCs w:val="18"/>
        </w:rPr>
        <w:t>, tendo em vista impugnação interposta pela empresa PEMCEL, PROJETO DE ENGENHARIA, CONSTRUÇÃO CIVIL, ENGENHARIA E LOCAÇÃO LTDA, expor o que segue:</w:t>
      </w:r>
    </w:p>
    <w:p w14:paraId="77846D88" w14:textId="7E240A6D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A</w:t>
      </w:r>
      <w:r w:rsidRPr="00345080">
        <w:rPr>
          <w:rFonts w:asciiTheme="minorHAnsi" w:hAnsiTheme="minorHAnsi" w:cstheme="minorHAnsi"/>
          <w:sz w:val="18"/>
          <w:szCs w:val="18"/>
        </w:rPr>
        <w:t xml:space="preserve"> empresa PEMCEL tem este seu intento frustrado perante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as imperfeições do Edital, contra as quais se investe, justificando-se tal procedimento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ante as dificuldades observadas para participar de forma competitiva do certame.</w:t>
      </w:r>
    </w:p>
    <w:p w14:paraId="016FACC1" w14:textId="460FD29F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Saliente-se que o objetivo da Administração Pública ao iniciar um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processo licitatório é exatamente obter proposta mais vantajosa para contratação de bem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ou serviço que lhe seja necessário, observados os termos da legislação aplicável,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inclusive quanto à promoção da máxima competitividade possível entre os interessados.</w:t>
      </w:r>
    </w:p>
    <w:p w14:paraId="40553344" w14:textId="47F52CF1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Entretanto, com a manutenção das referidas exigências, a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competitividade pretendida e a melhor contratação almejada, poderão restar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comprometidos o que não se espera, motivo pelo qual a empresa PEMCEL impugna os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termos do Edital e seus anexos, o que o faz por meio da presente manifestação.</w:t>
      </w:r>
    </w:p>
    <w:p w14:paraId="53887EAD" w14:textId="15FB2FF6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1. DO PRAZO PARA REALIZAÇÃO DOS SERVIÇOS/ APLICAÇÃO DO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PRINCÍPIO DA RAZOABILIDADE</w:t>
      </w:r>
    </w:p>
    <w:p w14:paraId="19F9C945" w14:textId="1B515477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A cláusula XVIII do Edital dispõe sobre o prazo de 120 (cento e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vinte) dias corridos para execução do objeto, senão vejamos:</w:t>
      </w:r>
    </w:p>
    <w:p w14:paraId="1EAB2E57" w14:textId="77777777" w:rsidR="007E5AB6" w:rsidRPr="00345080" w:rsidRDefault="007E5AB6" w:rsidP="007E5AB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XVIII. DA REALIZAÇÃO DOS SERVIÇOS</w:t>
      </w:r>
    </w:p>
    <w:p w14:paraId="32BEE4A7" w14:textId="4100589C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18.01. As áreas a receberem os serviços deverão ser entregues no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estado em que se encontram, cabendo ao contratado pô-la em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condições de serem trabalhadas.</w:t>
      </w:r>
    </w:p>
    <w:p w14:paraId="78CAD73B" w14:textId="4B05B30B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18.02. Os serviços obedecerão às respectivas especificações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constantes dos anexos deste edital.</w:t>
      </w:r>
    </w:p>
    <w:p w14:paraId="5785815F" w14:textId="533A307A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18.03 Consideram-se integrantes do projeto básico e, portanto, dos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serviços a executar, todos e quaisquer serviços ou materiais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previstos em pelo menos uma das peças do memorial descritivo, do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roteiro e dos demais projetos pertinentes à obra e ao serviço de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engenharia.</w:t>
      </w:r>
    </w:p>
    <w:p w14:paraId="6BA584DB" w14:textId="491A490E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18.04. O regime de execução das obras e dos serviços de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engenharia será o de execução indireta sob empreitada por preço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global.</w:t>
      </w:r>
    </w:p>
    <w:p w14:paraId="781BB6AB" w14:textId="6BDED318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18.05. A medição das obras e dos serviços será realizada e paga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pelas quantidades atestadas como devidamente executadas.</w:t>
      </w:r>
    </w:p>
    <w:p w14:paraId="3D3BCE4B" w14:textId="0AE7D0B5" w:rsidR="007E5AB6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18.06. O prazo de execução do objeto é de 120 (cento e vinte) dias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corridos, contados a partir da data da emissão da Ordem de Serviço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Inicial, vedada a prorrogação ou o retardamento imotivado do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prazo de execução do objeto, salvo se houver atraso na liberação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dos recursos provenientes da operação de crédito e nas hipóteses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previstas pelos incisos do § 1º, do art. 57 da Lei Federal nº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8.666/1993, desde que, neste último caso, não haja penalidade ou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fatos imputáveis ao contratado.</w:t>
      </w:r>
    </w:p>
    <w:p w14:paraId="0BA90856" w14:textId="56ABB210" w:rsidR="00342BB9" w:rsidRPr="00345080" w:rsidRDefault="007E5AB6" w:rsidP="007E5AB6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lastRenderedPageBreak/>
        <w:t>18.07. A CONTRATADA terá 05 (cinco) dias para início da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execução das atividades e trabalhos após a notificação da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expedição da respectiva ordem de serviço, emitida pela Secretaria</w:t>
      </w:r>
      <w:r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 Secretaria de Obras e Serviços Públicos.</w:t>
      </w:r>
    </w:p>
    <w:p w14:paraId="647847DB" w14:textId="2A1E2326" w:rsidR="007E5AB6" w:rsidRPr="00345080" w:rsidRDefault="007E5AB6" w:rsidP="00BA2708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Ocorre que Instrumento Convocatório determina prazo insuficiente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para a realização e conclusão dos serviços após a solicitação da Administração. É cediço,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entretanto, a necessidade de estipulação de prazo exequível, condizente com a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complexidade do objeto e segurança contratual que se pretende obter, considerando,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dentre outros fatores, a realização do escopo previsto no termo de referência – memorial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descritivo dos serviços, sendo que alguns serviços só podem ser feitas após a conclusão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 outros. Manter tal prazo prejudicará frontalmente à execução do Contrato, o que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afronta o Princípio da Isonomia entre Licitantes. Para tanto, pugnamos para que tal prazo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não seja inferior a 180 (cento e oitenta) dias após a assinatura do Contrato.</w:t>
      </w:r>
    </w:p>
    <w:p w14:paraId="2ACBFEBB" w14:textId="207FEB7B" w:rsidR="007E5AB6" w:rsidRPr="00345080" w:rsidRDefault="007E5AB6" w:rsidP="00BA2708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Há que se invocar a razoabilidade e a boa fé objetiva inerentes ao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presente certame, visto que do contrário, as licitantes incorrerão em grave 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desproporcionado risco de penalidades contratuais. Faz-se absolutamente necessária a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previsão de prazos dentro de parâmetros revestidos de razoabilidade e proporcionalidade.</w:t>
      </w:r>
    </w:p>
    <w:p w14:paraId="0389C813" w14:textId="5D0CF9BE" w:rsidR="007E5AB6" w:rsidRPr="00345080" w:rsidRDefault="007E5AB6" w:rsidP="00BA2708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Desta feita, é imperioso que o prazo para ativação dos serviços ora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contratados sejam fixados em 180 (cento e oitenta) dias após a assinatura do Contrato, de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modo a tornar plenamente exequível o futuro Contrato. Quaisquer outros prazos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ensejarão aumento abrupto e desnecessário dos riscos de penalidades para o particular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quando da contratação dos serviços, o que além de acarretar uma maior oneração para a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Administração sob a forma de repasse financeiro nas propostas a serem apresentadas,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configura-se como uma regra que fugirá às inteiras da razoabilidade e da comutatividade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contratual que se pretende com a licitação. Ademais, há que se cogitar os sérios riscos de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aplicação de outras penalidades contratuais, inclusive as decorrentes da hipótese de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rescisão do contrato, cujo risco imensurável poderá afastar deste Certame os eventuais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interessados.</w:t>
      </w:r>
    </w:p>
    <w:p w14:paraId="75DE5809" w14:textId="095C1CA2" w:rsidR="007E5AB6" w:rsidRPr="00345080" w:rsidRDefault="007E5AB6" w:rsidP="00BA2708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Há que se salientar, por oportuno, que os atos Administração devem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ser balizados pelo Princípio da Razoabilidade. Neste diapasão, cabe-nos transcrever o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que ensina a melhor doutrina acerca de tal Princípio, que se não alterados os termos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editalícios, será completamente ferido. Sobre este princípio, vejamos:</w:t>
      </w:r>
    </w:p>
    <w:p w14:paraId="2B71D1B8" w14:textId="77777777" w:rsidR="00BA2708" w:rsidRPr="00345080" w:rsidRDefault="007E5AB6" w:rsidP="00BA2708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“Trata-se de princípio aplicado ao Direito Administrativo como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mais uma das tentativas de impor-se limitações à discricionariedade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administrativa, ampliando-se o âmbito e apreciação do ato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administrativo pelo Poder Judiciário. A decisão discricionária do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funcionário será ilegítima, apesar de não transgredir nenhuma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norma concreta e expressa, se é ‘irrazoável’, o que pode ocorrer,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 xml:space="preserve">principalmente, quando: </w:t>
      </w:r>
    </w:p>
    <w:p w14:paraId="07D98AAB" w14:textId="77777777" w:rsidR="00BA2708" w:rsidRPr="00345080" w:rsidRDefault="007E5AB6" w:rsidP="00BA2708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a) não dê os fundamentos de fato ou de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 xml:space="preserve">direito a que a sustentam ou; </w:t>
      </w:r>
    </w:p>
    <w:p w14:paraId="45003367" w14:textId="446653A2" w:rsidR="007E5AB6" w:rsidRPr="00345080" w:rsidRDefault="007E5AB6" w:rsidP="00BA2708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b) não leve em conta os fatos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constantes do expediente ou públicos e notórios; ou c) não guarde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uma proporção adequada entre os meios que emprega e o fim que a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lei deseja alcançar, ou seja, que se trate de uma medida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desproporcionada, excessiva em relação ao que se deseja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alcançar.” (grifos nossos) (DI PIETRO, Maria Sylvia Zanella,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Direito Administrativo, 16ª Ed. Atlas, São Paulo) grifo nosso</w:t>
      </w:r>
    </w:p>
    <w:p w14:paraId="68ADA164" w14:textId="5261D396" w:rsidR="007E5AB6" w:rsidRPr="00345080" w:rsidRDefault="007E5AB6" w:rsidP="00BA2708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Já o i. Doutrinador Celso Ribeiro Bastos define a Razoabilidade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como sendo “um Princípio que a Administração, ao atuar no exercício da discrição, terá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 obedecer a critérios aceitáveis do ponto de vista racional, em sintonia com o senso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normal de pessoas equilibradas e respeitosa das finalidades que presidiram a outorga da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competência exercida.”</w:t>
      </w:r>
    </w:p>
    <w:p w14:paraId="7F035FE8" w14:textId="45EE412F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Nesta mesma esteira, ensina-nos o Administrativista Hely Lopes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Meirelles em sua obra “Direito Administrativo” (Ed. Malheiros, 26ª edição, 2000, págs.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86 e 87) sobre o princípio administrativo da razoabilidade: “Razoabilidade 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proporcionalidade: sem dúvida, pode ser chamado de princípio da proibição do excesso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que, em última análise, objetiva aferir a compatibilidade entre os meios e os fins, de</w:t>
      </w:r>
      <w:r w:rsidR="00BA2708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modo a evitar restrições desnecessárias ou abusivas por parte da Administração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Pública, com lesão aos direitos fundamentais... não pode ser lançada como instrumento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 substituição da vontade da lei pela vontade do julgador ou intérprete. ...” (grifos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nossos).</w:t>
      </w:r>
    </w:p>
    <w:p w14:paraId="5790A7CE" w14:textId="191684F4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lastRenderedPageBreak/>
        <w:t>Desta feita, considerando que o prazo para realização dos serviços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atualmente previsto no Instrumento Convocatório é ínfimo e inatingível, esta licitante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vem por esta requerer o deferimento do prazo ora pleiteado nesta Impugnação.</w:t>
      </w:r>
    </w:p>
    <w:p w14:paraId="1F83CF80" w14:textId="1009CDE7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2. DA DEFASAGEM DA PLANILHA ORÇAMENTÁRIA E DA NECESIDADE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 ATUALIZAÇÃO DOS VALORES DE REFERÊNCIA</w:t>
      </w:r>
    </w:p>
    <w:p w14:paraId="104C1EA9" w14:textId="525779E1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Ao verificamos a planilha orçamentária apresentada constatamos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que os dados e valores contidos nesta possuem bases de valores de tabelas de pelo 10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meses antes da realização da licitação, cujos valores encontram-se defasados e não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condizem com a realidade mercadológica atual, sendo:</w:t>
      </w:r>
    </w:p>
    <w:p w14:paraId="5341018D" w14:textId="77777777" w:rsidR="007E5AB6" w:rsidRPr="00345080" w:rsidRDefault="007E5AB6" w:rsidP="007E5AB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SINAPI 09/2023 SÃO PAULO</w:t>
      </w:r>
    </w:p>
    <w:p w14:paraId="7FE554FC" w14:textId="77777777" w:rsidR="007E5AB6" w:rsidRPr="00345080" w:rsidRDefault="007E5AB6" w:rsidP="007E5AB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SBC 10/2023 SÃO PAULO</w:t>
      </w:r>
    </w:p>
    <w:p w14:paraId="1BFA54CA" w14:textId="77777777" w:rsidR="007E5AB6" w:rsidRPr="00345080" w:rsidRDefault="007E5AB6" w:rsidP="007E5AB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SICRO03 07/2023 SÃO PAULO</w:t>
      </w:r>
    </w:p>
    <w:p w14:paraId="6D938BFE" w14:textId="77777777" w:rsidR="007E5AB6" w:rsidRPr="00345080" w:rsidRDefault="007E5AB6" w:rsidP="007E5AB6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SIURB 07/2023 SÃO PAULO</w:t>
      </w:r>
    </w:p>
    <w:p w14:paraId="39838F86" w14:textId="501A74B4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Ora, todos os valores apresentados foram calculados com preços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praticados a pelo menos 6 meses atrás.</w:t>
      </w:r>
    </w:p>
    <w:p w14:paraId="015898EF" w14:textId="25F24203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Por certos aqueles que pretendem participar de qualquer processo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licitatório precisam seguir normas fundamentadas em lei, com o fim de se buscar a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proposta mais vantajosa para a coletividade, respeitando certos princípios, visando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garantir assim, principalmente, igualdade e a competitividade entre os licitantes.</w:t>
      </w:r>
    </w:p>
    <w:p w14:paraId="27CEACBB" w14:textId="0E1E44EF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A utilização de orçamento desatualizado na licitação, quando o lapso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de tempo é significativo ou é verificada uma situação extraordinária, pode significar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contrariedade ao disposto no art. 6º, inciso IX c/c art. 7º, da Lei n.º 8.666/93, naquilo em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que prejudique a avaliação do custo real da obra por parte da Administração e licitante.</w:t>
      </w:r>
    </w:p>
    <w:p w14:paraId="0B4805C5" w14:textId="1192ABEB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Segundo referidos artigos, o projeto básico, cujo os custos fazem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parte, é indispensável para seguimento de qualquer licitação. Assim, ao analisar a Súmula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261 do TCU, verifica-se que é indispensável que o projeto básico seja atualizado. No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presente caso, essa determinação não foi observada.</w:t>
      </w:r>
    </w:p>
    <w:p w14:paraId="00371ECF" w14:textId="673C48DC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Súmula 261 TCU: “Em licitações de obras e serviços de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engenharia, é necessária a elaboração de projeto básico adequado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 atualizado, assim considerado aquele aprovado com todos os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elementos descritos no art. 6º, inciso IX, da Lei nº 8.666, de 21 de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junho de 1993, constituindo prática ilegal a revisão de projeto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básico ou a elaboração de projeto executivo que transfigurem 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objeto originalmente contratado em outro de natureza e propósito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diversos.”</w:t>
      </w:r>
    </w:p>
    <w:p w14:paraId="6982DB36" w14:textId="4CA3AA21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Existem fontes públicas de preços especializados em engenharia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civil, como no orçamento em questão a tabela SETOP, quase em sua maioria, tabela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SINAPI, que possuem periodicidade mensal de atualização de preços referência de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mercado. Aparentemente, esta municipalidade considerou preços/custos formulados em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entre julho e setembro/2023, ou seja, muito distante da realidade do mercado.</w:t>
      </w:r>
    </w:p>
    <w:p w14:paraId="122E6F91" w14:textId="6FEE077C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Consoante ao já afirmado, a Lei 8.666/93 prevê em seu Art. 48,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inciso II, a necessidade de aferição de preços exequíveis durante o processo licitatório. A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administração deve se assegurar de que as propostas apresentadas sejam viáveis e para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tanto, deve certificar por meio de documentos que comprovem os custos envolvidos são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coerentes com os preços de mercado.</w:t>
      </w:r>
    </w:p>
    <w:p w14:paraId="588632A1" w14:textId="056C0293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Logo, sendo um valor insuficiente para cobrir os custos de serviço 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em clara desconformidade com os preços praticados no mercado, esse valor inviabilizará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 contratação por preço justo e razoável. Nesse sentido, a lição de Marçal Justen Filho.</w:t>
      </w:r>
    </w:p>
    <w:p w14:paraId="7777D469" w14:textId="76E60608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lastRenderedPageBreak/>
        <w:t>“Ressalta-se que o preço máximo fixado pode ser objeto de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questionamento por parte dos licitantes, na medida em que se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caracterize como inexequível. Fixar preço máximo não é a via para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 Administração inviabilizar contratação por preço justo. Quando a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administração apurar certo valor como sendo o máximo admissível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 produzir redução que tornar inviável a execução do contrato,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caracterizar-se-á desvio de poder”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(In Comentários a Lei de Licitações e Contratos Administrativos,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11ª Edição, 2005, Ed. Dialética, pág. 393) (Grifo nosso)</w:t>
      </w:r>
    </w:p>
    <w:p w14:paraId="4E412604" w14:textId="10F928E2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Assim, ao estabelecer preço máximo composto por preços unitários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inexequíveis de itens relevantes, o edital fere regras e princípios norteadores do processo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licitatório.</w:t>
      </w:r>
    </w:p>
    <w:p w14:paraId="6BA92DC5" w14:textId="7B841097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Requer por derradeiro:</w:t>
      </w:r>
    </w:p>
    <w:p w14:paraId="2AA56018" w14:textId="3E7AF551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que sejam alteradas as cláusulas e condições previstas no edital, e,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por conseguinte, alteradas as exigências previstas nas cláusulas do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Edital, quanto ao prazo de execução dos serviços de reforma 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ampliação contratados;</w:t>
      </w:r>
    </w:p>
    <w:p w14:paraId="11255323" w14:textId="4655A8B5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b) que seja realizada a revisão da planilha orçamentária que encontra-se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com os preços desatualizados;</w:t>
      </w:r>
    </w:p>
    <w:p w14:paraId="362530FF" w14:textId="4BE8F359" w:rsidR="007E5AB6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b) seja determinada a republicação do Edital, reabrindo-se o prazo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inicialmente previsto, conforme § 4º, do art. 21, da Lei Federal nº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8666/93.</w:t>
      </w:r>
    </w:p>
    <w:p w14:paraId="41AA6586" w14:textId="3549E9E4" w:rsidR="00342BB9" w:rsidRPr="00345080" w:rsidRDefault="007E5AB6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c) sejam expressamente pre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questionados os dispositivos legais 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constitucionais invocados, para fins de interposição de mandado de</w:t>
      </w:r>
      <w:r w:rsidR="00483DD1" w:rsidRPr="00345080">
        <w:rPr>
          <w:rFonts w:asciiTheme="minorHAnsi" w:hAnsiTheme="minorHAnsi" w:cstheme="minorHAnsi"/>
          <w:sz w:val="18"/>
          <w:szCs w:val="18"/>
        </w:rPr>
        <w:t xml:space="preserve"> </w:t>
      </w:r>
      <w:r w:rsidRPr="00345080">
        <w:rPr>
          <w:rFonts w:asciiTheme="minorHAnsi" w:hAnsiTheme="minorHAnsi" w:cstheme="minorHAnsi"/>
          <w:sz w:val="18"/>
          <w:szCs w:val="18"/>
        </w:rPr>
        <w:t>segurança no caso de não acolhimento da presente impugnaçã</w:t>
      </w:r>
      <w:r w:rsidR="00483DD1" w:rsidRPr="00345080">
        <w:rPr>
          <w:rFonts w:asciiTheme="minorHAnsi" w:hAnsiTheme="minorHAnsi" w:cstheme="minorHAnsi"/>
          <w:sz w:val="18"/>
          <w:szCs w:val="18"/>
        </w:rPr>
        <w:t>o.</w:t>
      </w:r>
    </w:p>
    <w:p w14:paraId="50BF8A28" w14:textId="5DBDC61F" w:rsidR="00342BB9" w:rsidRPr="00345080" w:rsidRDefault="00483DD1" w:rsidP="00342BB9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Recebida a presente impugnação, vista que tempestiva, foi a mesma encaminhada ao s</w:t>
      </w:r>
      <w:r w:rsidR="00116109" w:rsidRPr="00345080">
        <w:rPr>
          <w:rFonts w:asciiTheme="minorHAnsi" w:hAnsiTheme="minorHAnsi" w:cstheme="minorHAnsi"/>
          <w:sz w:val="18"/>
          <w:szCs w:val="18"/>
        </w:rPr>
        <w:t>e</w:t>
      </w:r>
      <w:r w:rsidRPr="00345080">
        <w:rPr>
          <w:rFonts w:asciiTheme="minorHAnsi" w:hAnsiTheme="minorHAnsi" w:cstheme="minorHAnsi"/>
          <w:sz w:val="18"/>
          <w:szCs w:val="18"/>
        </w:rPr>
        <w:t>tor técnico da Secretaria de Desenvolvimento Urbano que atestou o seguinte:</w:t>
      </w:r>
    </w:p>
    <w:p w14:paraId="6C61CACD" w14:textId="131C8138" w:rsidR="00342BB9" w:rsidRPr="00345080" w:rsidRDefault="00342BB9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 xml:space="preserve">O prazo de 120 (cento e vinte) dias é </w:t>
      </w:r>
      <w:r w:rsidR="00483DD1" w:rsidRPr="00345080">
        <w:rPr>
          <w:rFonts w:asciiTheme="minorHAnsi" w:hAnsiTheme="minorHAnsi" w:cstheme="minorHAnsi"/>
          <w:sz w:val="18"/>
          <w:szCs w:val="18"/>
        </w:rPr>
        <w:t>exequível</w:t>
      </w:r>
      <w:r w:rsidRPr="00345080">
        <w:rPr>
          <w:rFonts w:asciiTheme="minorHAnsi" w:hAnsiTheme="minorHAnsi" w:cstheme="minorHAnsi"/>
          <w:sz w:val="18"/>
          <w:szCs w:val="18"/>
        </w:rPr>
        <w:t>. Trata-se de Obra Comum, com estrutura convencional, com metragem quadrada proporcional ao tempo de execução. </w:t>
      </w:r>
    </w:p>
    <w:p w14:paraId="7EAE11C1" w14:textId="67511FF1" w:rsidR="00342BB9" w:rsidRPr="00345080" w:rsidRDefault="00483DD1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 xml:space="preserve">Em relação ao pedido de </w:t>
      </w:r>
      <w:r w:rsidR="00342BB9" w:rsidRPr="00345080">
        <w:rPr>
          <w:rFonts w:asciiTheme="minorHAnsi" w:hAnsiTheme="minorHAnsi" w:cstheme="minorHAnsi"/>
          <w:sz w:val="18"/>
          <w:szCs w:val="18"/>
        </w:rPr>
        <w:t>revisão da planilha orçamentária</w:t>
      </w:r>
      <w:r w:rsidRPr="00345080">
        <w:rPr>
          <w:rFonts w:asciiTheme="minorHAnsi" w:hAnsiTheme="minorHAnsi" w:cstheme="minorHAnsi"/>
          <w:sz w:val="18"/>
          <w:szCs w:val="18"/>
        </w:rPr>
        <w:t>, temos a ressaltar que o</w:t>
      </w:r>
      <w:r w:rsidR="00342BB9" w:rsidRPr="00345080">
        <w:rPr>
          <w:rFonts w:asciiTheme="minorHAnsi" w:hAnsiTheme="minorHAnsi" w:cstheme="minorHAnsi"/>
          <w:sz w:val="18"/>
          <w:szCs w:val="18"/>
        </w:rPr>
        <w:t>s valores praticados estão a menos de 6 meses da data de início do processo</w:t>
      </w:r>
      <w:r w:rsidRPr="00345080">
        <w:rPr>
          <w:rFonts w:asciiTheme="minorHAnsi" w:hAnsiTheme="minorHAnsi" w:cstheme="minorHAnsi"/>
          <w:sz w:val="18"/>
          <w:szCs w:val="18"/>
        </w:rPr>
        <w:t>.</w:t>
      </w:r>
    </w:p>
    <w:p w14:paraId="7AB05661" w14:textId="1E400CD6" w:rsidR="00116109" w:rsidRPr="00345080" w:rsidRDefault="00116109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  <w:r w:rsidRPr="00345080">
        <w:rPr>
          <w:rFonts w:asciiTheme="minorHAnsi" w:hAnsiTheme="minorHAnsi" w:cstheme="minorHAnsi"/>
          <w:sz w:val="18"/>
          <w:szCs w:val="18"/>
        </w:rPr>
        <w:t>Face ao exposto, nega-se provimento à impugnação ora interposta, mantendo o edital em todos os seus termos.</w:t>
      </w:r>
    </w:p>
    <w:p w14:paraId="530DFCE0" w14:textId="77777777" w:rsidR="00B41FB3" w:rsidRPr="00345080" w:rsidRDefault="00B41FB3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</w:p>
    <w:p w14:paraId="6A6DBB13" w14:textId="77777777" w:rsidR="00B41FB3" w:rsidRPr="00345080" w:rsidRDefault="00B41FB3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</w:p>
    <w:p w14:paraId="67AE3A74" w14:textId="77777777" w:rsidR="00B41FB3" w:rsidRPr="00345080" w:rsidRDefault="00B41FB3" w:rsidP="00B41FB3">
      <w:pPr>
        <w:tabs>
          <w:tab w:val="center" w:pos="4252"/>
          <w:tab w:val="right" w:pos="8504"/>
        </w:tabs>
        <w:jc w:val="center"/>
        <w:rPr>
          <w:rFonts w:cstheme="minorHAnsi"/>
          <w:b/>
          <w:sz w:val="18"/>
          <w:szCs w:val="18"/>
        </w:rPr>
      </w:pPr>
      <w:r w:rsidRPr="00345080">
        <w:rPr>
          <w:rFonts w:cstheme="minorHAnsi"/>
          <w:b/>
          <w:sz w:val="18"/>
          <w:szCs w:val="18"/>
        </w:rPr>
        <w:t>MICHELLE VICENTINE DE ARRUDA GOMES</w:t>
      </w:r>
    </w:p>
    <w:p w14:paraId="22055998" w14:textId="0EAEB9F2" w:rsidR="00B41FB3" w:rsidRPr="00345080" w:rsidRDefault="00B41FB3" w:rsidP="00B41FB3">
      <w:pPr>
        <w:tabs>
          <w:tab w:val="center" w:pos="4252"/>
          <w:tab w:val="right" w:pos="8504"/>
        </w:tabs>
        <w:jc w:val="center"/>
        <w:rPr>
          <w:rFonts w:cstheme="minorHAnsi"/>
          <w:sz w:val="18"/>
          <w:szCs w:val="18"/>
        </w:rPr>
      </w:pPr>
      <w:r w:rsidRPr="00345080">
        <w:rPr>
          <w:rFonts w:cstheme="minorHAnsi"/>
          <w:sz w:val="18"/>
          <w:szCs w:val="18"/>
        </w:rPr>
        <w:t>Subcomissão de Licitação</w:t>
      </w:r>
    </w:p>
    <w:p w14:paraId="424AF3CF" w14:textId="4FF46BBD" w:rsidR="00B41FB3" w:rsidRPr="00345080" w:rsidRDefault="00B41FB3" w:rsidP="00B41FB3">
      <w:pPr>
        <w:tabs>
          <w:tab w:val="center" w:pos="4252"/>
          <w:tab w:val="center" w:pos="4752"/>
          <w:tab w:val="left" w:pos="5481"/>
          <w:tab w:val="right" w:pos="8504"/>
        </w:tabs>
        <w:jc w:val="center"/>
        <w:rPr>
          <w:rFonts w:cstheme="minorHAnsi"/>
          <w:sz w:val="18"/>
          <w:szCs w:val="18"/>
        </w:rPr>
      </w:pPr>
      <w:r w:rsidRPr="00345080">
        <w:rPr>
          <w:rFonts w:cstheme="minorHAnsi"/>
          <w:sz w:val="18"/>
          <w:szCs w:val="18"/>
        </w:rPr>
        <w:t>Presidente</w:t>
      </w:r>
    </w:p>
    <w:p w14:paraId="1C65F6E6" w14:textId="77777777" w:rsidR="00116109" w:rsidRPr="00345080" w:rsidRDefault="00116109" w:rsidP="00483DD1">
      <w:pPr>
        <w:pStyle w:val="NormalWeb"/>
        <w:jc w:val="both"/>
        <w:rPr>
          <w:rFonts w:asciiTheme="minorHAnsi" w:hAnsiTheme="minorHAnsi" w:cstheme="minorHAnsi"/>
          <w:sz w:val="18"/>
          <w:szCs w:val="18"/>
        </w:rPr>
      </w:pPr>
    </w:p>
    <w:p w14:paraId="3960EED7" w14:textId="77777777" w:rsidR="00510DF1" w:rsidRPr="00345080" w:rsidRDefault="00510DF1">
      <w:pPr>
        <w:rPr>
          <w:rFonts w:cstheme="minorHAnsi"/>
          <w:sz w:val="18"/>
          <w:szCs w:val="18"/>
        </w:rPr>
      </w:pPr>
    </w:p>
    <w:sectPr w:rsidR="00510DF1" w:rsidRPr="003450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CE74" w14:textId="77777777" w:rsidR="007E5AB6" w:rsidRDefault="007E5AB6" w:rsidP="007E5AB6">
      <w:pPr>
        <w:spacing w:after="0" w:line="240" w:lineRule="auto"/>
      </w:pPr>
      <w:r>
        <w:separator/>
      </w:r>
    </w:p>
  </w:endnote>
  <w:endnote w:type="continuationSeparator" w:id="0">
    <w:p w14:paraId="594962E2" w14:textId="77777777" w:rsidR="007E5AB6" w:rsidRDefault="007E5AB6" w:rsidP="007E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B44DB" w14:textId="77777777" w:rsidR="007E5AB6" w:rsidRDefault="007E5AB6" w:rsidP="007E5AB6">
      <w:pPr>
        <w:spacing w:after="0" w:line="240" w:lineRule="auto"/>
      </w:pPr>
      <w:r>
        <w:separator/>
      </w:r>
    </w:p>
  </w:footnote>
  <w:footnote w:type="continuationSeparator" w:id="0">
    <w:p w14:paraId="5D27D56B" w14:textId="77777777" w:rsidR="007E5AB6" w:rsidRDefault="007E5AB6" w:rsidP="007E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B642" w14:textId="2D49E081" w:rsidR="007E5AB6" w:rsidRDefault="007E5AB6" w:rsidP="007E5AB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9141AE" wp14:editId="063682CB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666750" cy="609600"/>
          <wp:effectExtent l="0" t="0" r="0" b="0"/>
          <wp:wrapSquare wrapText="bothSides"/>
          <wp:docPr id="1985968466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9DA2B" w14:textId="77777777" w:rsidR="007E5AB6" w:rsidRDefault="007E5AB6" w:rsidP="007E5AB6">
    <w:pPr>
      <w:pStyle w:val="Cabealho"/>
    </w:pPr>
  </w:p>
  <w:p w14:paraId="07037572" w14:textId="3E611405" w:rsidR="007E5AB6" w:rsidRDefault="007E5AB6" w:rsidP="007E5AB6">
    <w:pPr>
      <w:keepNext/>
      <w:jc w:val="center"/>
      <w:outlineLvl w:val="3"/>
      <w:rPr>
        <w:color w:val="000080"/>
        <w:sz w:val="20"/>
      </w:rPr>
    </w:pPr>
  </w:p>
  <w:p w14:paraId="3CCDEA39" w14:textId="77777777" w:rsidR="007E5AB6" w:rsidRPr="00B7276A" w:rsidRDefault="007E5AB6" w:rsidP="007E5AB6">
    <w:pPr>
      <w:pStyle w:val="Legenda"/>
      <w:rPr>
        <w:sz w:val="24"/>
        <w:szCs w:val="24"/>
        <w:u w:val="none"/>
      </w:rPr>
    </w:pPr>
    <w:r w:rsidRPr="00B7276A">
      <w:rPr>
        <w:sz w:val="24"/>
        <w:szCs w:val="24"/>
        <w:u w:val="none"/>
      </w:rPr>
      <w:t>PREFEITURA DO MUNICÍPIO DE ARARAQUARA</w:t>
    </w:r>
  </w:p>
  <w:p w14:paraId="64208744" w14:textId="77777777" w:rsidR="007E5AB6" w:rsidRDefault="007E5AB6" w:rsidP="007E5AB6">
    <w:pPr>
      <w:keepNext/>
      <w:tabs>
        <w:tab w:val="left" w:pos="708"/>
      </w:tabs>
      <w:spacing w:after="0" w:line="240" w:lineRule="auto"/>
      <w:jc w:val="center"/>
      <w:outlineLvl w:val="3"/>
      <w:rPr>
        <w:b/>
        <w:bCs/>
        <w:sz w:val="20"/>
      </w:rPr>
    </w:pPr>
    <w:r w:rsidRPr="00B7276A">
      <w:rPr>
        <w:b/>
        <w:bCs/>
        <w:sz w:val="20"/>
      </w:rPr>
      <w:t xml:space="preserve">SECRETARIA MUNICIPAL DE </w:t>
    </w:r>
    <w:r>
      <w:rPr>
        <w:b/>
        <w:bCs/>
        <w:sz w:val="20"/>
      </w:rPr>
      <w:t>PLANEJAMENTO E FINANÇAS</w:t>
    </w:r>
  </w:p>
  <w:p w14:paraId="762E318C" w14:textId="4111D4E1" w:rsidR="007E5AB6" w:rsidRPr="00B7276A" w:rsidRDefault="007E5AB6" w:rsidP="007E5AB6">
    <w:pPr>
      <w:keepNext/>
      <w:tabs>
        <w:tab w:val="left" w:pos="708"/>
      </w:tabs>
      <w:spacing w:after="0" w:line="240" w:lineRule="auto"/>
      <w:jc w:val="center"/>
      <w:outlineLvl w:val="3"/>
      <w:rPr>
        <w:b/>
        <w:sz w:val="20"/>
      </w:rPr>
    </w:pPr>
    <w:r w:rsidRPr="00B7276A">
      <w:rPr>
        <w:b/>
        <w:sz w:val="20"/>
      </w:rPr>
      <w:t>GERÊNCIA DE LICITAÇÃO</w:t>
    </w:r>
  </w:p>
  <w:p w14:paraId="652FCC41" w14:textId="77777777" w:rsidR="007E5AB6" w:rsidRPr="00B7276A" w:rsidRDefault="007E5AB6" w:rsidP="007E5AB6">
    <w:pPr>
      <w:pStyle w:val="Ttulo4"/>
      <w:tabs>
        <w:tab w:val="left" w:pos="708"/>
      </w:tabs>
      <w:rPr>
        <w:b w:val="0"/>
        <w:color w:val="auto"/>
        <w:sz w:val="20"/>
      </w:rPr>
    </w:pPr>
    <w:r w:rsidRPr="00B7276A">
      <w:rPr>
        <w:b w:val="0"/>
        <w:color w:val="auto"/>
        <w:sz w:val="20"/>
      </w:rPr>
      <w:t>Paço Municipal – Rua São Bento, 840 – 3º Andar - Centro – Cep.14801-901</w:t>
    </w:r>
  </w:p>
  <w:p w14:paraId="75BBD850" w14:textId="77777777" w:rsidR="007E5AB6" w:rsidRPr="00262779" w:rsidRDefault="007E5AB6" w:rsidP="007E5AB6">
    <w:pPr>
      <w:pStyle w:val="Ttulo4"/>
      <w:tabs>
        <w:tab w:val="left" w:pos="708"/>
      </w:tabs>
      <w:rPr>
        <w:rFonts w:ascii="Arial" w:hAnsi="Arial" w:cs="Arial"/>
        <w:b w:val="0"/>
        <w:smallCaps/>
        <w:color w:val="000000"/>
        <w:sz w:val="20"/>
      </w:rPr>
    </w:pPr>
    <w:r w:rsidRPr="00B7276A">
      <w:rPr>
        <w:b w:val="0"/>
        <w:color w:val="auto"/>
        <w:sz w:val="20"/>
      </w:rPr>
      <w:t>Fone: (16) 3301-5</w:t>
    </w:r>
    <w:r>
      <w:rPr>
        <w:b w:val="0"/>
        <w:color w:val="auto"/>
        <w:sz w:val="20"/>
      </w:rPr>
      <w:t>256</w:t>
    </w:r>
    <w:r w:rsidRPr="00B7276A">
      <w:rPr>
        <w:b w:val="0"/>
        <w:color w:val="auto"/>
        <w:sz w:val="20"/>
      </w:rPr>
      <w:t xml:space="preserve">     Site: </w:t>
    </w:r>
    <w:hyperlink r:id="rId2" w:history="1">
      <w:r w:rsidRPr="00EC2E61">
        <w:rPr>
          <w:rStyle w:val="Hyperlink"/>
          <w:b w:val="0"/>
          <w:sz w:val="20"/>
        </w:rPr>
        <w:t>www.araraquara.sp.gov.br</w:t>
      </w:r>
    </w:hyperlink>
    <w:r>
      <w:rPr>
        <w:rStyle w:val="Hyperlink"/>
        <w:b w:val="0"/>
        <w:color w:val="auto"/>
        <w:sz w:val="20"/>
      </w:rPr>
      <w:t xml:space="preserve"> </w:t>
    </w:r>
    <w:r w:rsidRPr="00B7276A">
      <w:rPr>
        <w:b w:val="0"/>
        <w:color w:val="auto"/>
        <w:sz w:val="20"/>
      </w:rPr>
      <w:t xml:space="preserve">     E-mail: </w:t>
    </w:r>
    <w:hyperlink r:id="rId3" w:history="1">
      <w:r w:rsidRPr="00EC2E61">
        <w:rPr>
          <w:rStyle w:val="Hyperlink"/>
          <w:b w:val="0"/>
          <w:sz w:val="20"/>
        </w:rPr>
        <w:t>edital@araraquara.sp.gov.br</w:t>
      </w:r>
    </w:hyperlink>
  </w:p>
  <w:p w14:paraId="2BFD4809" w14:textId="77777777" w:rsidR="007E5AB6" w:rsidRDefault="007E5AB6" w:rsidP="007E5A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B9"/>
    <w:rsid w:val="00116109"/>
    <w:rsid w:val="00342BB9"/>
    <w:rsid w:val="00345080"/>
    <w:rsid w:val="00483DD1"/>
    <w:rsid w:val="00510DF1"/>
    <w:rsid w:val="007E5AB6"/>
    <w:rsid w:val="00AA6A20"/>
    <w:rsid w:val="00B41FB3"/>
    <w:rsid w:val="00BA2708"/>
    <w:rsid w:val="00F1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9B2E0A"/>
  <w15:chartTrackingRefBased/>
  <w15:docId w15:val="{2F0BE0F9-4475-468F-9DC9-9E239247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E5AB6"/>
    <w:pPr>
      <w:keepNext/>
      <w:widowControl w:val="0"/>
      <w:tabs>
        <w:tab w:val="left" w:pos="-14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kern w:val="0"/>
      <w:sz w:val="24"/>
      <w:szCs w:val="2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E5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AB6"/>
  </w:style>
  <w:style w:type="paragraph" w:styleId="Rodap">
    <w:name w:val="footer"/>
    <w:basedOn w:val="Normal"/>
    <w:link w:val="RodapChar"/>
    <w:uiPriority w:val="99"/>
    <w:unhideWhenUsed/>
    <w:rsid w:val="007E5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AB6"/>
  </w:style>
  <w:style w:type="character" w:customStyle="1" w:styleId="Ttulo4Char">
    <w:name w:val="Título 4 Char"/>
    <w:basedOn w:val="Fontepargpadro"/>
    <w:link w:val="Ttulo4"/>
    <w:rsid w:val="007E5AB6"/>
    <w:rPr>
      <w:rFonts w:ascii="Times New Roman" w:eastAsia="Times New Roman" w:hAnsi="Times New Roman" w:cs="Times New Roman"/>
      <w:b/>
      <w:color w:val="000080"/>
      <w:kern w:val="0"/>
      <w:sz w:val="24"/>
      <w:szCs w:val="20"/>
      <w:lang w:val="pt-PT" w:eastAsia="pt-BR"/>
      <w14:ligatures w14:val="none"/>
    </w:rPr>
  </w:style>
  <w:style w:type="character" w:styleId="Hyperlink">
    <w:name w:val="Hyperlink"/>
    <w:rsid w:val="007E5AB6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7E5AB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kern w:val="0"/>
      <w:sz w:val="32"/>
      <w:szCs w:val="20"/>
      <w:u w:val="single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al@araraquara.sp.gov.br" TargetMode="External"/><Relationship Id="rId2" Type="http://schemas.openxmlformats.org/officeDocument/2006/relationships/hyperlink" Target="http://www.araraquar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1950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Camarani Toledo</dc:creator>
  <cp:keywords/>
  <dc:description/>
  <cp:lastModifiedBy>Luiz Gustavo Camarani Toledo</cp:lastModifiedBy>
  <cp:revision>5</cp:revision>
  <dcterms:created xsi:type="dcterms:W3CDTF">2024-05-15T19:20:00Z</dcterms:created>
  <dcterms:modified xsi:type="dcterms:W3CDTF">2024-05-15T19:44:00Z</dcterms:modified>
</cp:coreProperties>
</file>