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105A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</w:rPr>
        <w:t xml:space="preserve">EDITAL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DE </w:t>
      </w:r>
      <w:r>
        <w:rPr>
          <w:rFonts w:hint="default" w:ascii="Calibri" w:hAnsi="Calibri" w:eastAsia="Calibri" w:cs="Calibri"/>
          <w:b/>
          <w:sz w:val="24"/>
          <w:szCs w:val="24"/>
        </w:rPr>
        <w:t xml:space="preserve">CHAMAMENTO PÚBLICO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Nº </w:t>
      </w:r>
      <w:r>
        <w:rPr>
          <w:rFonts w:hint="default" w:ascii="Calibri" w:hAnsi="Calibri" w:eastAsia="Calibri" w:cs="Calibri"/>
          <w:b/>
          <w:color w:val="auto"/>
          <w:sz w:val="24"/>
          <w:szCs w:val="24"/>
          <w:lang w:val="pt-BR"/>
        </w:rPr>
        <w:t>04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>/2026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1E819E6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REDE 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>MUNICIPAL DE</w:t>
      </w: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PONTOS DE CULTURA 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LIMEIRA/SP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5E8B5BF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6113664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5B90E07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FOMENTO A PROJETOS CONTINUADOS DE PONTOS DE CULTURA</w:t>
      </w:r>
    </w:p>
    <w:p w14:paraId="24C51B1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after="0" w:line="276" w:lineRule="auto"/>
        <w:ind w:firstLine="0"/>
        <w:jc w:val="center"/>
        <w:rPr>
          <w:b/>
          <w:sz w:val="24"/>
          <w:szCs w:val="24"/>
        </w:rPr>
      </w:pPr>
    </w:p>
    <w:p w14:paraId="00000009">
      <w:pPr>
        <w:tabs>
          <w:tab w:val="center" w:pos="0"/>
        </w:tabs>
        <w:spacing w:before="120" w:after="120" w:line="240" w:lineRule="auto"/>
        <w:ind w:firstLine="0"/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b/>
          <w:sz w:val="24"/>
          <w:szCs w:val="24"/>
          <w:u w:val="single"/>
          <w:rtl w:val="0"/>
        </w:rPr>
        <w:t>ANEXO 10 - MINUTA DE TERMO DE COMPROMISSO CULTURAL - PONTO DE CULTURA</w:t>
      </w:r>
      <w:r>
        <w:rPr>
          <w:b/>
          <w:sz w:val="22"/>
          <w:szCs w:val="22"/>
          <w:u w:val="single"/>
          <w:rtl w:val="0"/>
        </w:rPr>
        <w:t xml:space="preserve"> </w:t>
      </w:r>
    </w:p>
    <w:p w14:paraId="0000000B">
      <w:pPr>
        <w:spacing w:before="12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p w14:paraId="0000000C">
      <w:pPr>
        <w:spacing w:before="120" w:after="120" w:line="240" w:lineRule="auto"/>
        <w:ind w:left="0" w:firstLine="0"/>
        <w:jc w:val="both"/>
        <w:rPr>
          <w:rFonts w:hint="default"/>
          <w:b/>
          <w:sz w:val="22"/>
          <w:szCs w:val="22"/>
          <w:lang w:val="pt-BR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 xml:space="preserve">TERMO DE COMPROMISSO CULTURAL Nº </w:t>
      </w:r>
      <w:r>
        <w:rPr>
          <w:rFonts w:ascii="Calibri" w:hAnsi="Calibri" w:eastAsia="Calibri" w:cs="Calibri"/>
          <w:b/>
          <w:color w:val="FF0000"/>
          <w:sz w:val="22"/>
          <w:szCs w:val="22"/>
          <w:rtl w:val="0"/>
        </w:rPr>
        <w:t>XX/202</w:t>
      </w:r>
      <w:r>
        <w:rPr>
          <w:rFonts w:hint="default"/>
          <w:b/>
          <w:color w:val="FF0000"/>
          <w:sz w:val="22"/>
          <w:szCs w:val="22"/>
          <w:rtl w:val="0"/>
          <w:lang w:val="pt-BR"/>
        </w:rPr>
        <w:t>6</w:t>
      </w:r>
    </w:p>
    <w:tbl>
      <w:tblPr>
        <w:tblStyle w:val="35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7E43A40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0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  <w:shd w:val="clear" w:fill="B7B7B7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1.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       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FINALIDADE</w:t>
            </w:r>
          </w:p>
        </w:tc>
      </w:tr>
      <w:tr w14:paraId="54B08D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63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0E">
            <w:pPr>
              <w:spacing w:before="120" w:after="120"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O </w:t>
            </w:r>
            <w:r>
              <w:rPr>
                <w:rFonts w:hint="default"/>
                <w:sz w:val="22"/>
                <w:szCs w:val="22"/>
                <w:rtl w:val="0"/>
                <w:lang w:val="pt-BR"/>
              </w:rPr>
              <w:t>MUNICÍPIO DE LIMEIRA, ESTADO DE SÃO PAULO,</w:t>
            </w:r>
            <w:r>
              <w:rPr>
                <w:color w:val="FF0000"/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t>representado p</w:t>
            </w:r>
            <w:r>
              <w:rPr>
                <w:rFonts w:hint="default"/>
                <w:sz w:val="22"/>
                <w:szCs w:val="22"/>
                <w:rtl w:val="0"/>
                <w:lang w:val="pt-BR"/>
              </w:rPr>
              <w:t>ela</w:t>
            </w:r>
            <w:r>
              <w:rPr>
                <w:color w:val="FF0000"/>
                <w:sz w:val="22"/>
                <w:szCs w:val="22"/>
                <w:rtl w:val="0"/>
              </w:rPr>
              <w:t xml:space="preserve"> </w:t>
            </w:r>
            <w:r>
              <w:rPr>
                <w:rFonts w:hint="default"/>
                <w:color w:val="auto"/>
                <w:sz w:val="22"/>
                <w:szCs w:val="22"/>
                <w:rtl w:val="0"/>
                <w:lang w:val="pt-BR"/>
              </w:rPr>
              <w:t>SECRETARIA MUNICIPAL DE CULTURA</w:t>
            </w:r>
            <w:r>
              <w:rPr>
                <w:rFonts w:hint="default"/>
                <w:color w:val="FF0000"/>
                <w:sz w:val="22"/>
                <w:szCs w:val="22"/>
                <w:rtl w:val="0"/>
                <w:lang w:val="pt-BR"/>
              </w:rPr>
              <w:t xml:space="preserve"> </w:t>
            </w:r>
            <w:r>
              <w:rPr>
                <w:rFonts w:hint="default"/>
                <w:color w:val="auto"/>
                <w:sz w:val="22"/>
                <w:szCs w:val="22"/>
                <w:rtl w:val="0"/>
                <w:lang w:val="pt-BR"/>
              </w:rPr>
              <w:t>da Prefeitura de Limeira</w:t>
            </w:r>
            <w:r>
              <w:rPr>
                <w:sz w:val="22"/>
                <w:szCs w:val="22"/>
                <w:rtl w:val="0"/>
              </w:rPr>
              <w:t xml:space="preserve">, e a ENTIDADE CULTURAL celebram o presente TERMO DE COMPROMISSO CULTURAL - TCC, com a finalidade de executar Projeto Cultural, nos termos do Plano de Trabalho anexo, para implementação da Política Nacional de Cultura Viva – PNCV, mediante as condições estipuladas em suas Cláusulas, nos termos da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"https://www.planalto.gov.br/ccivil_03/_ato2019-2022/2022/lei/l14399.htm"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Lei nº 14.399/2022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 xml:space="preserve"> (Política Nacional Aldir Blanc), no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"https://www.planalto.gov.br/ccivil_03/_ato2023-2026/2023/decreto/D11740.htm"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"https://www.planalto.gov.br/ccivil_03/_ato2023-2026/2023/decreto/D11740.htm"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Decreto nº 11.740/2023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 xml:space="preserve">,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"https://www.in.gov.br/web/dou/-/portaria-minc-n-200-de-11-de-abril-de-2025-623760804"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Portaria MinC nº 200/2025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"https://www.in.gov.br/web/dou/-/portaria-minc-n-80-de-27-de-outubro-de-2023-519652245"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,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"https://www.in.gov.br/en/web/dou/-/portaria-minc-n-206-de-13-de-maio-de-2025-629208189"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Portaria MinC nº 206/2025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"https://www.in.gov.br/web/dou/-/portaria-minc-n-80-de-27-de-outubro-de-2023-519652245"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>(Regulamentam a PNAB), na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"https://www.planalto.gov.br/ccivil_03/_ato2011-2014/2014/lei/l13018.htm"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"https://www.planalto.gov.br/ccivil_03/_ato2011-2014/2014/lei/l13018.htm"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Lei nº 13.018/2014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 xml:space="preserve"> (Política Nacional de Cultura Viva), na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"https://www.gov.br/cultura/pt-br/acesso-a-informacao/legislacao-e-normativas/instrucao-normativa-minc-no-1-de-7-de-abril-de-2015-1"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"https://www.gov.br/cultura/pt-br/acesso-a-informacao/legislacao-e-normativas/instrucao-normativa-minc-no-1-de-7-de-abril-de-2015-1"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Instrução Normativa MinC nº 1/2015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>, e na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"https://www.in.gov.br/en/web/dou/-/instrucao-normativa-minc-n-12-de-28-de-maio-de-2024-562732255"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"https://www.in.gov.br/en/web/dou/-/instrucao-normativa-minc-n-12-de-28-de-maio-de-2024-562732255"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Instrução Normativa MINC nº 12/2024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>, ou em ato normativo correspondente em vigor (Regulamentam a PNCV),  aplicando-se também, no que couber, como complementação em situações não previstas na  Política Nacional de Cultura Viva, o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"https://www.planalto.gov.br/ccivil_03/_ato2023-2026/2023/decreto/D11453.htm"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sz w:val="22"/>
                <w:szCs w:val="22"/>
                <w:rtl w:val="0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"https://www.planalto.gov.br/ccivil_03/_ato2023-2026/2023/decreto/D11453.htm"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Decreto nº 11.453/2023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 xml:space="preserve"> (Decreto de Fomento) e o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HYPERLINK "https://www.planalto.gov.br/ccivil_03/_ato2023-2026/2024/lei/L14903.htm" \h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  <w:u w:val="single"/>
                <w:rtl w:val="0"/>
              </w:rPr>
              <w:t>Marco Regulatório do Fomento à Cultura nº 14.903/2024</w:t>
            </w:r>
            <w:r>
              <w:rPr>
                <w:sz w:val="22"/>
                <w:szCs w:val="22"/>
                <w:u w:val="single"/>
                <w:rtl w:val="0"/>
              </w:rPr>
              <w:fldChar w:fldCharType="end"/>
            </w:r>
            <w:r>
              <w:rPr>
                <w:sz w:val="22"/>
                <w:szCs w:val="22"/>
                <w:rtl w:val="0"/>
              </w:rPr>
              <w:t>.</w:t>
            </w:r>
          </w:p>
        </w:tc>
      </w:tr>
    </w:tbl>
    <w:p w14:paraId="0000000F">
      <w:pPr>
        <w:spacing w:before="12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tbl>
      <w:tblPr>
        <w:tblStyle w:val="36"/>
        <w:tblW w:w="996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910"/>
        <w:gridCol w:w="2070"/>
        <w:gridCol w:w="1500"/>
        <w:gridCol w:w="3480"/>
      </w:tblGrid>
      <w:tr w14:paraId="4076FD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1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2.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       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IDENTIFICAÇÃO DAS PARTES</w:t>
            </w:r>
          </w:p>
        </w:tc>
      </w:tr>
      <w:tr w14:paraId="733622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gridSpan w:val="4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14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2.1. ENTE PÚBLICO</w:t>
            </w:r>
          </w:p>
        </w:tc>
      </w:tr>
      <w:tr w14:paraId="4CDB423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1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Razão Social: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1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  <w:p w14:paraId="0000001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14:paraId="0CFE03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1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CNPJ: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1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26B1E08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Endereço completo: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6F475F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5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Nome do responsável legal: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580885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Cargo: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5C0DE31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Registro Geral (RG):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2F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66F7CAD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Ato de nomeação: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4483065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5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2.2. ENTIDADE CULTURAL</w:t>
            </w:r>
          </w:p>
        </w:tc>
      </w:tr>
      <w:tr w14:paraId="7197271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40" w:hRule="atLeast"/>
        </w:trPr>
        <w:tc>
          <w:tcPr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Razão Social:</w:t>
            </w:r>
          </w:p>
        </w:tc>
        <w:tc>
          <w:tcPr>
            <w:gridSpan w:val="3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  <w:p w14:paraId="0000003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14:paraId="138F6E9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4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CNPJ: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3F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02C936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Endereço completo: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4DC330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Nome do responsável legal: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667F4D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Cargo</w:t>
            </w:r>
            <w:r>
              <w:rPr>
                <w:sz w:val="22"/>
                <w:szCs w:val="22"/>
                <w:rtl w:val="0"/>
              </w:rPr>
              <w:t>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52E876C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Registro Geral (RG):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4F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CPF: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  <w:tr w14:paraId="2F58AA9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795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Endereço completo do responsável legal:</w:t>
            </w:r>
          </w:p>
        </w:tc>
        <w:tc>
          <w:tcPr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</w:p>
        </w:tc>
      </w:tr>
    </w:tbl>
    <w:p w14:paraId="00000056">
      <w:pPr>
        <w:spacing w:before="12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 xml:space="preserve">                                                  </w:t>
      </w:r>
      <w:r>
        <w:rPr>
          <w:rFonts w:ascii="Calibri" w:hAnsi="Calibri" w:eastAsia="Calibri" w:cs="Calibri"/>
          <w:sz w:val="22"/>
          <w:szCs w:val="22"/>
          <w:rtl w:val="0"/>
        </w:rPr>
        <w:tab/>
      </w:r>
    </w:p>
    <w:tbl>
      <w:tblPr>
        <w:tblStyle w:val="37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203E4C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3.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       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OBJETO</w:t>
            </w:r>
          </w:p>
        </w:tc>
      </w:tr>
      <w:tr w14:paraId="6EDA96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080" w:hRule="atLeast"/>
        </w:trPr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3.1.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O presente Termo de Compromisso Cultural-TCC tem como objeto</w:t>
            </w:r>
            <w:r>
              <w:rPr>
                <w:sz w:val="22"/>
                <w:szCs w:val="22"/>
                <w:rtl w:val="0"/>
              </w:rPr>
              <w:t xml:space="preserve"> a execução de projeto selecionado no</w:t>
            </w:r>
            <w:r>
              <w:rPr>
                <w:color w:val="FF0000"/>
                <w:sz w:val="22"/>
                <w:szCs w:val="22"/>
                <w:rtl w:val="0"/>
              </w:rPr>
              <w:t xml:space="preserve"> </w:t>
            </w:r>
            <w:r>
              <w:rPr>
                <w:b/>
                <w:bCs/>
                <w:color w:val="auto"/>
                <w:sz w:val="22"/>
                <w:szCs w:val="22"/>
                <w:rtl w:val="0"/>
              </w:rPr>
              <w:t>E</w:t>
            </w:r>
            <w:r>
              <w:rPr>
                <w:rFonts w:hint="default"/>
                <w:b/>
                <w:bCs/>
                <w:color w:val="auto"/>
                <w:sz w:val="22"/>
                <w:szCs w:val="22"/>
                <w:rtl w:val="0"/>
                <w:lang w:val="pt-BR"/>
              </w:rPr>
              <w:t>DITAL</w:t>
            </w:r>
            <w:r>
              <w:rPr>
                <w:b/>
                <w:bCs/>
                <w:color w:val="auto"/>
                <w:sz w:val="22"/>
                <w:szCs w:val="22"/>
                <w:rtl w:val="0"/>
              </w:rPr>
              <w:t xml:space="preserve"> </w:t>
            </w:r>
            <w:r>
              <w:rPr>
                <w:rFonts w:hint="default"/>
                <w:b/>
                <w:bCs/>
                <w:color w:val="auto"/>
                <w:sz w:val="22"/>
                <w:szCs w:val="22"/>
                <w:rtl w:val="0"/>
                <w:lang w:val="pt-BR"/>
              </w:rPr>
              <w:t>Nº 04/2026</w:t>
            </w:r>
            <w:r>
              <w:rPr>
                <w:sz w:val="22"/>
                <w:szCs w:val="22"/>
                <w:rtl w:val="0"/>
              </w:rPr>
              <w:t xml:space="preserve">, </w:t>
            </w:r>
            <w:r>
              <w:rPr>
                <w:sz w:val="22"/>
                <w:szCs w:val="22"/>
                <w:highlight w:val="white"/>
                <w:rtl w:val="0"/>
              </w:rPr>
              <w:t>que visa a promoção do acesso da população aos bens e aos serviços culturais nos territórios e comunidades onde atuam, nos termos da Política Nacional de Cultura Viva - PNCV, conforme Plano de Trabalho anexo.</w:t>
            </w:r>
          </w:p>
        </w:tc>
      </w:tr>
    </w:tbl>
    <w:p w14:paraId="00000059">
      <w:pPr>
        <w:ind w:left="0" w:firstLine="0"/>
        <w:rPr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 xml:space="preserve">                                                  </w:t>
      </w:r>
      <w:r>
        <w:rPr>
          <w:rFonts w:ascii="Calibri" w:hAnsi="Calibri" w:eastAsia="Calibri" w:cs="Calibri"/>
          <w:sz w:val="22"/>
          <w:szCs w:val="22"/>
          <w:rtl w:val="0"/>
        </w:rPr>
        <w:tab/>
      </w:r>
      <w:r>
        <w:rPr>
          <w:rFonts w:ascii="Calibri" w:hAnsi="Calibri" w:eastAsia="Calibri" w:cs="Calibri"/>
          <w:sz w:val="22"/>
          <w:szCs w:val="22"/>
          <w:rtl w:val="0"/>
        </w:rPr>
        <w:t xml:space="preserve">                                                 </w:t>
      </w:r>
      <w:r>
        <w:rPr>
          <w:rFonts w:ascii="Calibri" w:hAnsi="Calibri" w:eastAsia="Calibri" w:cs="Calibri"/>
          <w:sz w:val="22"/>
          <w:szCs w:val="22"/>
          <w:rtl w:val="0"/>
        </w:rPr>
        <w:tab/>
      </w:r>
    </w:p>
    <w:tbl>
      <w:tblPr>
        <w:tblStyle w:val="38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275680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A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4.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OBRIGAÇÕES DAS PARTES</w:t>
            </w:r>
          </w:p>
        </w:tc>
      </w:tr>
      <w:tr w14:paraId="672F21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B">
            <w:pPr>
              <w:spacing w:before="120" w:after="120" w:line="240" w:lineRule="auto"/>
              <w:ind w:left="0" w:firstLine="0"/>
              <w:jc w:val="both"/>
              <w:rPr>
                <w:rFonts w:hint="default" w:ascii="Calibri" w:hAnsi="Calibri" w:eastAsia="Calibri" w:cs="Calibri"/>
                <w:b/>
                <w:sz w:val="22"/>
                <w:szCs w:val="22"/>
                <w:lang w:val="pt-BR"/>
              </w:rPr>
            </w:pPr>
            <w:r>
              <w:rPr>
                <w:b/>
                <w:sz w:val="22"/>
                <w:szCs w:val="22"/>
                <w:rtl w:val="0"/>
              </w:rPr>
              <w:t>4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.1.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  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Do</w:t>
            </w:r>
            <w:r>
              <w:rPr>
                <w:rFonts w:hint="default" w:cs="Calibri"/>
                <w:b/>
                <w:sz w:val="22"/>
                <w:szCs w:val="22"/>
                <w:rtl w:val="0"/>
                <w:lang w:val="pt-BR"/>
              </w:rPr>
              <w:t xml:space="preserve"> Município de Limeira/SP</w:t>
            </w:r>
          </w:p>
        </w:tc>
      </w:tr>
      <w:tr w14:paraId="5E1FB2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9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5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Incumbe </w:t>
            </w:r>
            <w:r>
              <w:rPr>
                <w:sz w:val="22"/>
                <w:szCs w:val="22"/>
                <w:rtl w:val="0"/>
              </w:rPr>
              <w:t xml:space="preserve">à </w:t>
            </w:r>
            <w:r>
              <w:rPr>
                <w:rFonts w:hint="default"/>
                <w:color w:val="auto"/>
                <w:sz w:val="22"/>
                <w:szCs w:val="22"/>
                <w:rtl w:val="0"/>
                <w:lang w:val="pt-BR"/>
              </w:rPr>
              <w:t>SECRETARIA MUNICIPAL DE CULTURA</w:t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observar as obrigações descritas na Instrução </w:t>
            </w:r>
            <w:r>
              <w:rPr>
                <w:sz w:val="22"/>
                <w:szCs w:val="22"/>
                <w:rtl w:val="0"/>
              </w:rPr>
              <w:t>legislação de regência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, </w:t>
            </w:r>
            <w:r>
              <w:rPr>
                <w:sz w:val="22"/>
                <w:szCs w:val="22"/>
                <w:rtl w:val="0"/>
              </w:rPr>
              <w:t xml:space="preserve">e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as seguintes responsabilidades:</w:t>
            </w:r>
          </w:p>
          <w:p w14:paraId="0000005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coordenar a gestão da PNCV, no âmbito de sua esfera de atuação;</w:t>
            </w:r>
          </w:p>
          <w:p w14:paraId="0000005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atuar em parceria federativa junto ao governo federal, governos estaduais, do Distrito Federal e municipais, e outras instituições, para efetivação dos objetivos da PNCV previstos em lei;</w:t>
            </w:r>
          </w:p>
          <w:p w14:paraId="0000005F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III - realizar planejamento de desenvolvimento da PNCV, observando o P</w:t>
            </w:r>
            <w:r>
              <w:rPr>
                <w:sz w:val="22"/>
                <w:szCs w:val="22"/>
                <w:rtl w:val="0"/>
              </w:rPr>
              <w:t>lano Nacional de Cultura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e planos de cultura locais;</w:t>
            </w:r>
          </w:p>
          <w:p w14:paraId="0000006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IV - garantir recursos humanos, orçamentários, financeiros, logísticos e tecnológicos para implementação da PNCV e efetividade de seus resultados;</w:t>
            </w:r>
          </w:p>
          <w:p w14:paraId="0000006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 -  desenvolver uma gestão pública compartilhada e participativa, por meio da organização e institucionalização das instâncias, fóruns e espaços de diálogos institucionais entre os partícipes da PNCV, em sua área de abrangência territorial;</w:t>
            </w:r>
          </w:p>
          <w:p w14:paraId="0000006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VI - desenvolver as ações estruturantes da PNCV por meio de políticas públicas integradas visando a promoção em uma cultura de direitos humanos e de valorização da cidadania e da diversidade artística e cultural;</w:t>
            </w:r>
          </w:p>
          <w:p w14:paraId="0000006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VII - disponibilizar e manter em funcionamento o Cadastro Nacional dos </w:t>
            </w:r>
            <w:r>
              <w:rPr>
                <w:sz w:val="22"/>
                <w:szCs w:val="22"/>
                <w:rtl w:val="0"/>
              </w:rPr>
              <w:t>Pontos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e Pontões de Cultura, no âmbito de sua esfera de atuação;</w:t>
            </w:r>
          </w:p>
          <w:p w14:paraId="00000064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VIII - fomentar ações para qualificação e formação de gestores, dirigentes de entidades culturais e outros agentes envolvidos no âmbito da PNCV;</w:t>
            </w:r>
          </w:p>
          <w:p w14:paraId="00000065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IX - dar ciência da celebração de parcerias federativas, no que couber, aos conselhos de cultura, assembleias legislativas e câmaras municipais de vereadores para efeitos de acompanhamento e fiscalização;</w:t>
            </w:r>
          </w:p>
          <w:p w14:paraId="0000006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 - promover ações de publicidade da PNCV que proporcionem controle social, transparência pública e visibilidade das ações junto à sociedade;</w:t>
            </w:r>
          </w:p>
          <w:p w14:paraId="0000006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 - contribuir para o fortalecimento da atuação em redes territoriais, identitárias e temáticas no âmbito da PNCV;</w:t>
            </w:r>
          </w:p>
          <w:p w14:paraId="0000006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XII - realizar os atos e os procedimentos relativos à formalização, execução, acompanhamento e análise da prestação de contas do presente TCC;</w:t>
            </w:r>
          </w:p>
          <w:p w14:paraId="0000006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XIII - realizar os procedimentos relativos à Tomada de Contas Especial, quando for o caso;</w:t>
            </w:r>
          </w:p>
          <w:p w14:paraId="0000006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XIV - cumprir com os procedimentos de transparência e publicidade atribuídos ao poder público conforme o disposto na Seção III da IN MinC nº 08 de 11 de maio de 2016;</w:t>
            </w:r>
          </w:p>
          <w:p w14:paraId="0000006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XV - repassar os recursos financeiros ao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CULTURA, de acordo com a programação orçamentária e financeira do ente público, obedecendo ao cronograma financeiro constante deste instrumento e do plano de trabalho;</w:t>
            </w:r>
          </w:p>
          <w:p w14:paraId="0000006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XVI - prorrogar “de ofício” o prazo de vigência do TCC antes do seu término, quando der causa ao atraso na liberação dos recursos, limitada </w:t>
            </w:r>
            <w:r>
              <w:rPr>
                <w:sz w:val="22"/>
                <w:szCs w:val="22"/>
                <w:rtl w:val="0"/>
              </w:rPr>
              <w:t>à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prorrogação ao exato período do atraso verificado;</w:t>
            </w:r>
          </w:p>
          <w:p w14:paraId="0000006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XVII - aplicar as penalidades previstas e proceder às ações administrativas necessárias à exigência da restituição dos recursos transferidos;</w:t>
            </w:r>
          </w:p>
          <w:p w14:paraId="0000006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XVIII - comunicar aos </w:t>
            </w:r>
            <w:r>
              <w:rPr>
                <w:sz w:val="22"/>
                <w:szCs w:val="22"/>
                <w:rtl w:val="0"/>
              </w:rPr>
              <w:t>Pontos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e Pontões de Cultura a identificação de quaisquer irregularidades decorrentes do uso dos recursos ou pendências de ordem técnica, podendo suspender a liberação de recursos e fixar prazo de trinta dias para saneamento ou apresentação de justificativa com informações e esclarecimentos, prorrogável uma única vez por igual período.</w:t>
            </w:r>
          </w:p>
          <w:p w14:paraId="0000006F">
            <w:pPr>
              <w:spacing w:before="120" w:after="120" w:line="240" w:lineRule="auto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XIX - analisar a prestação de contas dos recursos aplicados na consecução do objeto deste TCC, na forma e prazo fixados no Dec</w:t>
            </w:r>
            <w:r>
              <w:rPr>
                <w:sz w:val="22"/>
                <w:szCs w:val="22"/>
                <w:rtl w:val="0"/>
              </w:rPr>
              <w:t>reto nº 11.453/2023 e no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art. 47 da IN MinC nº 08</w:t>
            </w:r>
            <w:r>
              <w:rPr>
                <w:sz w:val="22"/>
                <w:szCs w:val="22"/>
                <w:rtl w:val="0"/>
              </w:rPr>
              <w:t>/2016;</w:t>
            </w:r>
          </w:p>
          <w:p w14:paraId="0000007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XX - nos casos em que 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 não apresentar o Relatório de Execução do Objeto ou o Relatório de Execução Financeira nos prazos devidos, enviar notificação exigindo que o faça no prazo máximo de trinta dias, sob pena de rejeição das contas e exigência de devolução integral dos recursos, com atualização monetária e juros;</w:t>
            </w:r>
          </w:p>
          <w:p w14:paraId="0000007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XXI - exercer, se conveniente e oportuno, a prerrogativa de assumir ou de transferir a responsabilidade pela execução do objeto, no caso de paralisação ou da ocorrência de fato relevante, de modo a evitar sua descontinuidade.</w:t>
            </w:r>
          </w:p>
          <w:p w14:paraId="0000007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</w:tr>
      <w:tr w14:paraId="2904A4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7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rtl w:val="0"/>
              </w:rPr>
              <w:t>4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.2.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  </w:t>
            </w: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Da Entidade Cultural</w:t>
            </w:r>
          </w:p>
        </w:tc>
      </w:tr>
      <w:tr w14:paraId="304903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74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Incumbe à Entidade Cultural observar as obrigações descritas na </w:t>
            </w:r>
            <w:r>
              <w:rPr>
                <w:sz w:val="22"/>
                <w:szCs w:val="22"/>
                <w:rtl w:val="0"/>
              </w:rPr>
              <w:t>legislação de regência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e, ainda, as seguintes responsabilidades:</w:t>
            </w:r>
          </w:p>
          <w:p w14:paraId="00000075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executar o projeto conforme Plano de Trabalho aprovado e produzir provas documentais sobre o andamento da execução do projeto, inclusive das alterações no Plano de Trabalho;</w:t>
            </w:r>
          </w:p>
          <w:p w14:paraId="0000007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cumprir com os procedimentos de transparência e publicidade atribuídos à entidade cultural conforme o disposto no Capítulo IV,  Seção III da IN MinC nº 08 de 11 de maio de 2016;</w:t>
            </w:r>
          </w:p>
          <w:p w14:paraId="0000007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III - divulgar, em destaque, o nome do Ministério da Cultura/Governo Federal e do ENTE PÚBLICO parceiro em todos os atos de promoção e divulgação do projeto, obedecendo aos critérios de veiculação das logomarcas estabelecidas, que serão disponibilizadas pela SCDC/MinC e pelo ENTE PÚBLICO parceiro, observadas as restrições vigentes em ano eleitoral, quando for o caso;</w:t>
            </w:r>
          </w:p>
          <w:p w14:paraId="0000007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IV - desenvolver uma gestão compartilhada e participativa, por meio de instâncias, fóruns e espaços de diálogos junto aos beneficiários em sua área de abrangência;</w:t>
            </w:r>
          </w:p>
          <w:p w14:paraId="0000007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 - envidar esforços visando atuar nos processos participativos instituídos pelo Sistema Nacional de Cultura-SNC (especialmente as Conferências de Cultura) e pela PNCV (especialmente as TEIAs) em âmbito local, regional e nacional;</w:t>
            </w:r>
          </w:p>
          <w:p w14:paraId="0000007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VI - estimular a participação ativa dos beneficiários da PNCV nos processos participativos instituídos no SNC e na PNCV em âmbito local, regional e nacional;</w:t>
            </w:r>
          </w:p>
          <w:p w14:paraId="0000007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VII - contribuir com a organização e funcionamento da Rede Cultura Viva e de suas instâncias, mecanismos e processos de gestão compartilhada, participação e controle social;</w:t>
            </w:r>
          </w:p>
          <w:p w14:paraId="0000007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VIII - manter seus dados cadastrais atualizados no Cadastro Nacional de Pontos e Pontões de Cultura, atendendo à chamada anual de atualização de dados;</w:t>
            </w:r>
          </w:p>
          <w:p w14:paraId="0000007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IX - dar transparência aos valores pagos a título de remuneração de sua equipe de trabalho vinculada à execução do TCC, em sua sede e no seu sítio eletrônico, sendo vedado o pagamento, a qualquer título, a servidor ou empregado público, salvo nas hipóteses previstas em lei específica ou na Lei de Diretrizes Orçamentárias, a empresas privadas que tenham em seu quadro societário servidor público da ativa, ou a empregado de empresa pública, ou de sociedade de economia mista, por serviços prestados, inclusive consultoria, assistência técnica ou assemelhados;</w:t>
            </w:r>
          </w:p>
          <w:p w14:paraId="0000007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 - permitir livre acesso dos servidores dos órgãos ou das entidades públicas repassadoras dos recursos, do controle interno e do tribunal de contas correspondentes aos processos, aos documentos, às informações referentes aos instrumentos de transferências regulamentados pela Instrução Normativa/MinC nº 8/2016, bem como aos locais de execução do objeto;</w:t>
            </w:r>
          </w:p>
          <w:p w14:paraId="0000007F">
            <w:pPr>
              <w:spacing w:before="120" w:after="120" w:line="240" w:lineRule="auto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 - a responsabilidade exclusiva pelo gerenciamento administrativo e financeiro dos recursos recebidos</w:t>
            </w:r>
            <w:r>
              <w:rPr>
                <w:sz w:val="22"/>
                <w:szCs w:val="22"/>
                <w:rtl w:val="0"/>
              </w:rPr>
              <w:t xml:space="preserve">; </w:t>
            </w:r>
          </w:p>
          <w:p w14:paraId="0000008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XII - pagar os encargos trabalhistas, previdenciários, fiscais e comerciais relativos ao funcionamento da instituição e ao adimplemento do TCC, não se caracterizando responsabilidade solidária ou subsidiária da administração pública concedente pelos respectivos pagamentos ou qualquer oneração do objeto da parceria ou restrição à sua execução;</w:t>
            </w:r>
          </w:p>
          <w:p w14:paraId="0000008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XIII - prestar contas dos recursos recebidos, conforme acordado neste Termo e  na forma dos atos normativos que se relacionam com o tema;</w:t>
            </w:r>
          </w:p>
          <w:p w14:paraId="0000008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XIV - guardar os documentos originais de comprovação do cumprimento do objeto pelo prazo de </w:t>
            </w:r>
            <w:r>
              <w:rPr>
                <w:sz w:val="22"/>
                <w:szCs w:val="22"/>
                <w:rtl w:val="0"/>
              </w:rPr>
              <w:t xml:space="preserve">cinco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anos após a entrega da prestação de contas, estando ciente de que a documentação de comprovação fiscal em princípio não será exigida, mas deve ser obtida e guardada pela entidade cultural pelo mesmo prazo, e </w:t>
            </w:r>
            <w:r>
              <w:rPr>
                <w:sz w:val="22"/>
                <w:szCs w:val="22"/>
                <w:rtl w:val="0"/>
              </w:rPr>
              <w:t>inclusive pode ser solicitada para fins de demonstração de cumprimento de obrigações perante outras autoridades estatais, tais como os órgãos de fiscalização tributária, previdenciária e trabalhista, órgãos de controle interno e externo do Governo Estadual ou Federal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; e</w:t>
            </w:r>
          </w:p>
          <w:p w14:paraId="0000008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XV -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adquirir e manter em bom estado equipamentos multimídia, direcionados à cultura digital, que contribuam com o objeto pactuado, salvo quando a Entidade declare que já possui equipamento em adequadas condições de manutenção e funcionamento, comprometendo-se a disponibilizá-lo para uso na execução da parceria</w:t>
            </w:r>
            <w:r>
              <w:rPr>
                <w:sz w:val="22"/>
                <w:szCs w:val="22"/>
                <w:rtl w:val="0"/>
              </w:rPr>
              <w:t>.</w:t>
            </w:r>
          </w:p>
        </w:tc>
      </w:tr>
    </w:tbl>
    <w:p w14:paraId="00000084">
      <w:pPr>
        <w:ind w:left="0" w:hanging="2"/>
        <w:rPr>
          <w:sz w:val="22"/>
          <w:szCs w:val="22"/>
        </w:rPr>
      </w:pPr>
    </w:p>
    <w:tbl>
      <w:tblPr>
        <w:tblStyle w:val="39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5FAA6AE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85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5.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DOS VALORES</w:t>
            </w:r>
          </w:p>
        </w:tc>
      </w:tr>
      <w:tr w14:paraId="53BD1E6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39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8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Para execução das atividades previstas no Plano de Trabalho deste TCC, serão disponibilizados pelo Ente Público recursos no valor total em desembolso único de</w:t>
            </w:r>
            <w:r>
              <w:rPr>
                <w:rFonts w:ascii="Calibri" w:hAnsi="Calibri" w:eastAsia="Calibri" w:cs="Calibri"/>
                <w:color w:val="FF0000"/>
                <w:sz w:val="22"/>
                <w:szCs w:val="22"/>
                <w:rtl w:val="0"/>
              </w:rPr>
              <w:t xml:space="preserve"> </w:t>
            </w:r>
            <w:r>
              <w:rPr>
                <w:rFonts w:ascii="Calibri" w:hAnsi="Calibri" w:eastAsia="Calibri" w:cs="Calibri"/>
                <w:b/>
                <w:bCs/>
                <w:color w:val="auto"/>
                <w:sz w:val="22"/>
                <w:szCs w:val="22"/>
                <w:rtl w:val="0"/>
              </w:rPr>
              <w:t>R$</w:t>
            </w:r>
            <w:r>
              <w:rPr>
                <w:rFonts w:hint="default" w:cs="Calibri"/>
                <w:b/>
                <w:bCs/>
                <w:color w:val="auto"/>
                <w:sz w:val="22"/>
                <w:szCs w:val="22"/>
                <w:rtl w:val="0"/>
                <w:lang w:val="pt-BR"/>
              </w:rPr>
              <w:t>90.000,00 (noventa mil reais)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, de acordo com o Cronograma de Desembolso constante do Plano de Trabalho, correspondente à Nota de Empenho </w:t>
            </w:r>
            <w:r>
              <w:rPr>
                <w:rFonts w:ascii="Calibri" w:hAnsi="Calibri" w:eastAsia="Calibri" w:cs="Calibri"/>
                <w:b/>
                <w:bCs/>
                <w:color w:val="FF0000"/>
                <w:sz w:val="22"/>
                <w:szCs w:val="22"/>
                <w:highlight w:val="none"/>
                <w:rtl w:val="0"/>
              </w:rPr>
              <w:t>XXXX, de</w:t>
            </w:r>
            <w:r>
              <w:rPr>
                <w:rFonts w:ascii="Calibri" w:hAnsi="Calibri" w:eastAsia="Calibri" w:cs="Calibri"/>
                <w:color w:val="FF0000"/>
                <w:sz w:val="22"/>
                <w:szCs w:val="22"/>
                <w:highlight w:val="none"/>
                <w:rtl w:val="0"/>
              </w:rPr>
              <w:t xml:space="preserve"> </w:t>
            </w:r>
            <w:r>
              <w:rPr>
                <w:rFonts w:ascii="Calibri" w:hAnsi="Calibri" w:eastAsia="Calibri" w:cs="Calibri"/>
                <w:b/>
                <w:bCs/>
                <w:color w:val="FF0000"/>
                <w:sz w:val="22"/>
                <w:szCs w:val="22"/>
                <w:highlight w:val="none"/>
                <w:rtl w:val="0"/>
              </w:rPr>
              <w:t>XX/XX/202</w:t>
            </w:r>
            <w:r>
              <w:rPr>
                <w:rFonts w:hint="default" w:cs="Calibri"/>
                <w:b/>
                <w:bCs/>
                <w:color w:val="FF0000"/>
                <w:sz w:val="22"/>
                <w:szCs w:val="22"/>
                <w:highlight w:val="none"/>
                <w:rtl w:val="0"/>
                <w:lang w:val="pt-BR"/>
              </w:rPr>
              <w:t>X</w:t>
            </w:r>
            <w:r>
              <w:rPr>
                <w:rFonts w:ascii="Calibri" w:hAnsi="Calibri" w:eastAsia="Calibri" w:cs="Calibri"/>
                <w:b/>
                <w:bCs/>
                <w:color w:val="FF0000"/>
                <w:sz w:val="22"/>
                <w:szCs w:val="22"/>
                <w:highlight w:val="none"/>
                <w:rtl w:val="0"/>
              </w:rPr>
              <w:t>.</w:t>
            </w:r>
          </w:p>
        </w:tc>
      </w:tr>
      <w:tr w14:paraId="1F8343D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87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5.1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Da movimentação dos recursos financeiros</w:t>
            </w:r>
          </w:p>
        </w:tc>
      </w:tr>
      <w:tr w14:paraId="4226B95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8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Os recursos referentes ao presente Termo de Compromisso Cultural, a serem desembolsados pelo Ente Público, serão depositados e geridos em conta específica de instituição financeira indicada pela entidade cultural, na </w:t>
            </w:r>
            <w:r>
              <w:rPr>
                <w:rFonts w:ascii="Calibri" w:hAnsi="Calibri" w:eastAsia="Calibri" w:cs="Calibri"/>
                <w:color w:val="FF0000"/>
                <w:sz w:val="22"/>
                <w:szCs w:val="22"/>
                <w:rtl w:val="0"/>
              </w:rPr>
              <w:t>Agência XXXX – Banco XXXX, na cidade XXXX, UF XX,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em conformidade com os prazos estabelecidos no Cronograma Financeiro constante do Plano de Trabalho.</w:t>
            </w:r>
          </w:p>
          <w:p w14:paraId="0000008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5.1.1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Os recursos depositados nesta conta bancária específica, enquanto não empregados na sua finalidade, serão obrigatoriamente aplicados:</w:t>
            </w:r>
          </w:p>
          <w:p w14:paraId="0000008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em caderneta de poupança, ou</w:t>
            </w:r>
          </w:p>
          <w:p w14:paraId="0000008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em fundo de aplicação financeira de curto prazo ou operação de mercado aberto lastreada em título da dívida pública.</w:t>
            </w:r>
          </w:p>
          <w:p w14:paraId="0000008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5.1.2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Os recursos dest</w:t>
            </w:r>
            <w:r>
              <w:rPr>
                <w:sz w:val="22"/>
                <w:szCs w:val="22"/>
                <w:rtl w:val="0"/>
              </w:rPr>
              <w:t>e Termo de Compromisso Cultural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serão utilizados exclusivamente para o pagamento das despesas previstas no objeto do TCC, vedada a sua aplicação em finalidade diversa, ainda que decorrentes de necessidade emergencial do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CULTURA.</w:t>
            </w:r>
          </w:p>
          <w:p w14:paraId="0000008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5.1.3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Os rendimentos de aplicações financeiras poderão ser aplicados para manter o poder de compra dos recursos da parceria, bem como para ampliação ou criação de metas, durante a vigência do TCC, desde que contribuam para a execução do objeto, ou para incremento deste.</w:t>
            </w:r>
          </w:p>
          <w:p w14:paraId="0000008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5.1.4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O uso de rendimentos para as finalidades descritas </w:t>
            </w:r>
            <w:r>
              <w:rPr>
                <w:sz w:val="22"/>
                <w:szCs w:val="22"/>
                <w:rtl w:val="0"/>
              </w:rPr>
              <w:t>no item 5.1.3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poderá ser realizado sem autorização prévia da administração pública, desde que seja descrito no Relatório de Execução do Objeto, com motivação.</w:t>
            </w:r>
          </w:p>
          <w:p w14:paraId="0000008F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5.1.5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 remanejamento de recurso no plano de trabalho poderá ocorrer desde que:</w:t>
            </w:r>
          </w:p>
          <w:p w14:paraId="0000009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seja realizado durante a vigência d</w:t>
            </w:r>
            <w:r>
              <w:rPr>
                <w:sz w:val="22"/>
                <w:szCs w:val="22"/>
                <w:rtl w:val="0"/>
              </w:rPr>
              <w:t>o TCC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;</w:t>
            </w:r>
          </w:p>
          <w:p w14:paraId="0000009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tenha como finalidade o cumprimento do objeto pactuado;</w:t>
            </w:r>
          </w:p>
          <w:p w14:paraId="0000009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III - não altere o valor global do orçamento aprovado no TCC</w:t>
            </w:r>
            <w:r>
              <w:rPr>
                <w:sz w:val="22"/>
                <w:szCs w:val="22"/>
                <w:rtl w:val="0"/>
              </w:rPr>
              <w:t>.</w:t>
            </w:r>
          </w:p>
          <w:p w14:paraId="0000009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5.1.6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Após a conclusão, rescisão ou extinção d</w:t>
            </w:r>
            <w:r>
              <w:rPr>
                <w:sz w:val="22"/>
                <w:szCs w:val="22"/>
                <w:rtl w:val="0"/>
              </w:rPr>
              <w:t>este TCC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os saldos financeiros remanescentes, inclusive os provenientes das receitas obtidas das aplicações financeiras realizadas, deverão ser devolvidos pelo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 ao Ente Público, no prazo de trinta dias.</w:t>
            </w:r>
          </w:p>
        </w:tc>
      </w:tr>
    </w:tbl>
    <w:p w14:paraId="00000094">
      <w:pPr>
        <w:ind w:left="0" w:hanging="2"/>
        <w:rPr>
          <w:sz w:val="22"/>
          <w:szCs w:val="22"/>
        </w:rPr>
      </w:pPr>
    </w:p>
    <w:tbl>
      <w:tblPr>
        <w:tblStyle w:val="40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5D91D1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95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6.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DO ACOMPANHAMENTO E AVALIAÇÃO</w:t>
            </w:r>
          </w:p>
        </w:tc>
      </w:tr>
      <w:tr w14:paraId="1FC7673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9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6.1. </w:t>
            </w:r>
            <w:r>
              <w:rPr>
                <w:rFonts w:hint="default" w:cs="Calibri"/>
                <w:sz w:val="22"/>
                <w:szCs w:val="22"/>
                <w:rtl w:val="0"/>
                <w:lang w:val="pt-BR"/>
              </w:rPr>
              <w:t>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  <w:r>
              <w:rPr>
                <w:rFonts w:hint="default" w:cs="Calibri"/>
                <w:sz w:val="22"/>
                <w:szCs w:val="22"/>
                <w:rtl w:val="0"/>
                <w:lang w:val="pt-BR"/>
              </w:rPr>
              <w:t>SECRETARIA MUNICIPAL DE CULTURA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realizará o acompanhamento e a avaliação da execução</w:t>
            </w:r>
            <w:r>
              <w:rPr>
                <w:rFonts w:ascii="Calibri" w:hAnsi="Calibri" w:eastAsia="Calibri" w:cs="Calibri"/>
                <w:i/>
                <w:sz w:val="22"/>
                <w:szCs w:val="22"/>
                <w:rtl w:val="0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deste TCC, periodicamente, durante a vigência da parceria, com vistas a promover o levantamento de dados para subsidiar a avaliação da prestação de contas podendo, para tanto:</w:t>
            </w:r>
          </w:p>
          <w:p w14:paraId="0000009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 exigir informações técnicas (incluindo relatório fotográfico), prestações de contas parciais e/ou final a qualquer momento;</w:t>
            </w:r>
          </w:p>
          <w:p w14:paraId="0000009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exigir o registro, nos sistemas institucionais indicados pelo Ministério da Cultura, das atividades provenientes da execução do TCC;</w:t>
            </w:r>
          </w:p>
          <w:p w14:paraId="0000009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III - usar os diversos canais eletrônicos de comunicação e divulgação absorvendo informações sobre a execução do TCC e adotando providências necessárias, quando for o caso;</w:t>
            </w:r>
          </w:p>
          <w:p w14:paraId="0000009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IV - fazer vistoria in loco (</w:t>
            </w:r>
            <w:r>
              <w:rPr>
                <w:sz w:val="22"/>
                <w:szCs w:val="22"/>
                <w:rtl w:val="0"/>
              </w:rPr>
              <w:t>vistoria no local)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;</w:t>
            </w:r>
          </w:p>
          <w:p w14:paraId="0000009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V - utilizar apoio técnico de terceiros, delegar competência ou firmar parcerias com órgãos ou entidades.</w:t>
            </w:r>
          </w:p>
          <w:p w14:paraId="0000009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6.2 </w:t>
            </w:r>
            <w:r>
              <w:rPr>
                <w:rFonts w:hint="default" w:cs="Calibri"/>
                <w:sz w:val="22"/>
                <w:szCs w:val="22"/>
                <w:rtl w:val="0"/>
                <w:lang w:val="pt-BR"/>
              </w:rPr>
              <w:t>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</w:t>
            </w:r>
            <w:r>
              <w:rPr>
                <w:rFonts w:hint="default" w:cs="Calibri"/>
                <w:sz w:val="22"/>
                <w:szCs w:val="22"/>
                <w:rtl w:val="0"/>
                <w:lang w:val="pt-BR"/>
              </w:rPr>
              <w:t>SECRETARIA MUNICIPAL DE CULTURA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produzirá registros sobre suas atividades de acompanhamento e monitoramento, por meio de certidões, memórias de reunião, relatórios ou outros documentos técnicos, podendo propor à entidade cultural a reorientação das ações ou a realização de ajustes para aprimorar a execução do objeto da parceria.</w:t>
            </w:r>
          </w:p>
          <w:p w14:paraId="0000009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6.3 Os TCCs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estarão também </w:t>
            </w:r>
            <w:r>
              <w:rPr>
                <w:sz w:val="22"/>
                <w:szCs w:val="22"/>
                <w:rtl w:val="0"/>
              </w:rPr>
              <w:t>sujeitos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aos mecanismos de controle social previstos na legislação e ao acompanhamento por comissões e conselhos de políticas públicas da área cultural.</w:t>
            </w:r>
          </w:p>
        </w:tc>
      </w:tr>
    </w:tbl>
    <w:p w14:paraId="0000009E">
      <w:pPr>
        <w:ind w:left="0" w:hanging="2"/>
        <w:rPr>
          <w:sz w:val="22"/>
          <w:szCs w:val="22"/>
        </w:rPr>
      </w:pPr>
    </w:p>
    <w:tbl>
      <w:tblPr>
        <w:tblStyle w:val="41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21C034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9F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7.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DA PRESTAÇÃO DE CONTAS</w:t>
            </w:r>
          </w:p>
        </w:tc>
      </w:tr>
      <w:tr w14:paraId="14D43F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A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7.1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A prestação de contas será apresentada por meio do </w:t>
            </w:r>
            <w:r>
              <w:rPr>
                <w:rFonts w:ascii="Calibri" w:hAnsi="Calibri" w:eastAsia="Calibri" w:cs="Calibri"/>
                <w:sz w:val="22"/>
                <w:szCs w:val="22"/>
                <w:u w:val="single"/>
                <w:rtl w:val="0"/>
              </w:rPr>
              <w:t>Relatório de Execução do Objeto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no prazo de 90 (noventa) dias após o fim da vigência do TCC, contendo:</w:t>
            </w:r>
          </w:p>
          <w:p w14:paraId="000000A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relato das atividades realizadas para o cumprimento do objeto, que deve tratar sobre o alcance dos objetivos, sobre ações eventualmente realizadas para promover a acessibilidade e os desdobramentos do projeto, tendo por referência as informações constantes no plano de trabalho;</w:t>
            </w:r>
          </w:p>
          <w:p w14:paraId="000000A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comparativo de metas propostas com os resultados alcançados, a partir das informações constantes do plano de trabalho, podendo a comprovação sobre os produtos e serviços relativos às metas se dar pela apresentação de fotos, listas de presença, vídeos, entre outros;</w:t>
            </w:r>
          </w:p>
          <w:p w14:paraId="000000A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III - material que comprove a execução de cada item de despesa e a consecução de cada uma das metas (fotos, listas de presença, vídeos, entre outros) descrito no Plano de Trabalho</w:t>
            </w:r>
            <w:r>
              <w:rPr>
                <w:sz w:val="22"/>
                <w:szCs w:val="22"/>
                <w:rtl w:val="0"/>
              </w:rPr>
              <w:t>.</w:t>
            </w:r>
          </w:p>
          <w:p w14:paraId="000000A4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7.2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Os documentos originais de comprovação do cumprimento do objeto deverão ser guardados pelo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 pelo prazo de </w:t>
            </w:r>
            <w:r>
              <w:rPr>
                <w:sz w:val="22"/>
                <w:szCs w:val="22"/>
                <w:rtl w:val="0"/>
              </w:rPr>
              <w:t>cinco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anos após a entrega da prestação de contas.</w:t>
            </w:r>
          </w:p>
          <w:p w14:paraId="000000A5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7.3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 prazo de apresentação do Relatório de Execução do Objeto poderá ser prorrogado por até trinta dias, mediante solicitação fundamentada do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CULTURA.</w:t>
            </w:r>
          </w:p>
          <w:p w14:paraId="000000A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7.4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Caso o Ente Público verifique que houve inadequação na execução do objeto, o PONT</w:t>
            </w:r>
            <w:r>
              <w:rPr>
                <w:sz w:val="22"/>
                <w:szCs w:val="22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 CULTURA será notificado para apresentar Relatório de Execução Financeiro, no prazo de trinta dias, contendo:</w:t>
            </w:r>
          </w:p>
          <w:p w14:paraId="000000A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I- - relação de pagamentos, com indicação dos beneficiários desses pagamentos e identificação do item de despesa e meta relacionados a cada pagamento;</w:t>
            </w:r>
          </w:p>
          <w:p w14:paraId="000000A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extrato bancário da conta do TCC, incluindo toda a movimentação desde a abertura até a última movimentação, e conciliação bancária; e</w:t>
            </w:r>
          </w:p>
          <w:p w14:paraId="000000A9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III - comprovante de recolhimento do saldo remanescente de recursos, quando houver.</w:t>
            </w:r>
          </w:p>
          <w:p w14:paraId="000000AA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7.5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 Ente Público considerará que houve inadequação na execução do objeto quando configurada uma das seguintes hipóteses:</w:t>
            </w:r>
          </w:p>
          <w:p w14:paraId="000000A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</w:t>
            </w:r>
            <w:r>
              <w:rPr>
                <w:sz w:val="22"/>
                <w:szCs w:val="22"/>
                <w:rtl w:val="0"/>
              </w:rPr>
              <w:t xml:space="preserve">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- quando for identificado o descumprimento injustificado do alcance das metas; ou</w:t>
            </w:r>
          </w:p>
          <w:p w14:paraId="000000A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II - quando for aceita denúncia de irregularidade, mediante juízo de admissibilidade realizado pelo Ente Público.</w:t>
            </w:r>
          </w:p>
        </w:tc>
      </w:tr>
    </w:tbl>
    <w:p w14:paraId="000000AD">
      <w:pPr>
        <w:ind w:left="0" w:hanging="2"/>
        <w:rPr>
          <w:sz w:val="22"/>
          <w:szCs w:val="22"/>
        </w:rPr>
      </w:pPr>
    </w:p>
    <w:tbl>
      <w:tblPr>
        <w:tblStyle w:val="42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3D00FA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AE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8.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DOS BENS REMANESCENTES</w:t>
            </w:r>
          </w:p>
        </w:tc>
      </w:tr>
      <w:tr w14:paraId="5EB1CF6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AF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8.1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Os bens patrimoniais adquiridos, produzidos, transformados ou construídos com recursos deste TCC são da titularidade da Entidade Cultural celebrante e ficarão afetados ao objeto do presente TCC durante o prazo de sua duração, sendo considerados bens remanescentes ao seu término, dispensada a celebração de instrumento específico para esta finalidade.</w:t>
            </w:r>
          </w:p>
          <w:p w14:paraId="000000B0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8.2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Quando da extinção da parceria, os bens remanescentes permanecerão na propriedade da Entidade Cultural, na medida em que os bens sejam úteis à continuidade da execução de ações de interesse social pela organização.</w:t>
            </w:r>
          </w:p>
          <w:p w14:paraId="000000B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8.3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Caso a prestação de contas final seja rejeitada, a titularidade dos bens remanescentes permanecerá com a Entidade Cultural, observados os seguintes procedimentos:</w:t>
            </w:r>
          </w:p>
          <w:p w14:paraId="000000B2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I -  não será exigido ressarcimento do valor relativo ao bem adquirido quando a motivação da rejeição não estiver relacionada ao seu uso ou aquisição; ou</w:t>
            </w:r>
          </w:p>
          <w:p w14:paraId="000000B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II - o valor pelo qual o bem remanescente foi adquirido deverá ser computado no cálculo do dano ao erário a ser ressarcido, quando a motivação da rejeição estiver relacionada ao seu uso ou aquisição. </w:t>
            </w:r>
          </w:p>
          <w:p w14:paraId="000000B4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8.4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Na hipótese de dissolução da Entidade Cultural durante a vigência </w:t>
            </w:r>
            <w:r>
              <w:rPr>
                <w:sz w:val="22"/>
                <w:szCs w:val="22"/>
                <w:rtl w:val="0"/>
              </w:rPr>
              <w:t>do TCC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o valor pelo qual os bens remanescentes foram adquiridos deverá ser computado no cálculo do valor a ser ressarcido.</w:t>
            </w:r>
          </w:p>
          <w:p w14:paraId="000000B5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8.5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 Entidade Cultural poderá realizar doação dos bens remanescentes a terceiros, inclusive beneficiários da política pública objeto da parceria, desde que demonstrada sua utilidade para realização ou continuidade de ações de interesse social.</w:t>
            </w:r>
          </w:p>
          <w:p w14:paraId="000000B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8.6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Os bens remanescentes poderão ter sua propriedade revertida para o Ente Público, a critério deste, se ao término da parceria ficar constatado que a Entidade Cultural não terá condições de dar continuidade à execução de ações de interesse social e a transferência da propriedade for necessária para assegurar a continuidade do objeto pactuado, seja por meio da celebração de nova parceria, seja pela execução direta do objeto pela Administração Pública Federal.</w:t>
            </w:r>
          </w:p>
          <w:p w14:paraId="000000B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8.7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 destinação dos bens remanescentes poderá ser alterada por meio da celebração de Termo Aditivo</w:t>
            </w:r>
            <w:r>
              <w:rPr>
                <w:sz w:val="22"/>
                <w:szCs w:val="22"/>
                <w:rtl w:val="0"/>
              </w:rPr>
              <w:t xml:space="preserve"> ao TCC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após solicitação fundamentada de uma das partes.</w:t>
            </w:r>
          </w:p>
          <w:p w14:paraId="000000B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8.8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No caso de término da execução do TCC antes da manifestação sobre eventual solicitação de uma das partes de alteração da destinação dos bens remanescentes, a custódia dos bens permanecerá sob a responsabilidade da Entidade Cultural até a decisão do pedido.</w:t>
            </w:r>
          </w:p>
        </w:tc>
      </w:tr>
    </w:tbl>
    <w:p w14:paraId="000000B9">
      <w:pPr>
        <w:ind w:left="0" w:hanging="2"/>
        <w:rPr>
          <w:sz w:val="22"/>
          <w:szCs w:val="22"/>
        </w:rPr>
      </w:pPr>
    </w:p>
    <w:tbl>
      <w:tblPr>
        <w:tblStyle w:val="43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4EB304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BA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9.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>DA PROPRIEDADE INTELECTUAL</w:t>
            </w:r>
          </w:p>
        </w:tc>
      </w:tr>
      <w:tr w14:paraId="4F4959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BB">
            <w:pPr>
              <w:spacing w:before="120" w:after="120" w:line="240" w:lineRule="auto"/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9.1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Caso as atividades realizadas pela ENTIDADE CULTURAL com recursos públicos provenientes do Termo de C</w:t>
            </w:r>
            <w:r>
              <w:rPr>
                <w:sz w:val="22"/>
                <w:szCs w:val="22"/>
                <w:rtl w:val="0"/>
              </w:rPr>
              <w:t>ompromisso Cultural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deem origem a bens passíveis de proteção pelo direito de propriedade intelectual, a exemplo de invenções, modelos de utilidade, desenhos industriais, obras intelectuais, cultivares, direitos autorais, programas de computador e outros tipos de criação, a ENTIDADE CULTURAL terá a titularidade da propriedade intelectual e a participação nos ganhos econômicos resultantes da exploração dos respectivos bens, os quais ficarão gravados com cláusula de inalienabilidade durante a vigência d</w:t>
            </w:r>
            <w:r>
              <w:rPr>
                <w:sz w:val="22"/>
                <w:szCs w:val="22"/>
                <w:rtl w:val="0"/>
              </w:rPr>
              <w:t>o Termo de Compromisso Cultural.</w:t>
            </w:r>
          </w:p>
          <w:p w14:paraId="000000BC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9.2 - A ORGANIZAÇÃO DA SOCIEDADE CIVIL declara, mediante a assinatura deste instrumento, que se responsabiliza integralmente por providenciar desde já, independente de solicitação da ADMINISTRAÇÃO PÚBLICA, todas as autorizações necessárias para que a ADMINISTRAÇÃO PÚBLICA, sem ônus, durante o prazo de proteção dos direitos incidentes, em território nacional e estrangeiro, em caráter não exclusivo, utilize para fins de divulgação da Política Nacional de Cultura Viva, os bens submetidos a regime de propriedade intelectual que eventualmente decorrerem da execução deste TCC, da seguinte forma:</w:t>
            </w:r>
          </w:p>
          <w:p w14:paraId="000000BD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9.2.1 - Quanto aos direitos de que trata a Lei Nacional nº 9.279/1996, pelo uso de produto objeto de patente, processo ou produto obtido diretamente por processo patenteado, desenho industrial, indicação geográfica e marcas;</w:t>
            </w:r>
          </w:p>
          <w:p w14:paraId="000000BE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9.2.2 - Quanto aos direitos de que trata a Lei Nacional nº 9.610/1998, pelas seguintes modalidades:</w:t>
            </w:r>
          </w:p>
          <w:p w14:paraId="000000BF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I - a reprodução parcial ou integral, para fins de divulgação;</w:t>
            </w:r>
          </w:p>
          <w:p w14:paraId="000000C0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II - a tradução para qualquer idioma;</w:t>
            </w:r>
          </w:p>
          <w:p w14:paraId="000000C1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III - a inclusão em fonograma ou produção audiovisual;</w:t>
            </w:r>
          </w:p>
          <w:p w14:paraId="000000C2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IV - a inclusão em base de dados, o armazenamento em computador, a microfilmagem e as demais formas de arquivamento do gênero.</w:t>
            </w:r>
          </w:p>
          <w:p w14:paraId="000000C3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9.2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Quando da extinção d</w:t>
            </w:r>
            <w:r>
              <w:rPr>
                <w:sz w:val="22"/>
                <w:szCs w:val="22"/>
                <w:rtl w:val="0"/>
              </w:rPr>
              <w:t>o TCC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os bens remanescentes passíveis de proteção pelo direito de propriedade intelectual poderão ter sua propriedade revertida para o órgão ou entidade pública federal, a critério da Administração Pública, quando a ENTIDADE CULTURAL não tiver condições de dar continuidade à execução de ações de interesse social e a transferência da propriedade for necessária para assegurar a continuidade do objeto pactuado, seja por meio da celebração de nova parceria, seja pela execução direta do objeto pela Administração Pública.</w:t>
            </w:r>
          </w:p>
        </w:tc>
      </w:tr>
    </w:tbl>
    <w:p w14:paraId="000000C4">
      <w:pPr>
        <w:ind w:left="0" w:hanging="2"/>
        <w:rPr>
          <w:sz w:val="22"/>
          <w:szCs w:val="22"/>
        </w:rPr>
      </w:pPr>
    </w:p>
    <w:tbl>
      <w:tblPr>
        <w:tblStyle w:val="44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627AC7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C5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10.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DO PRAZO DE VIGÊNCIA</w:t>
            </w:r>
          </w:p>
        </w:tc>
      </w:tr>
      <w:tr w14:paraId="4F9B083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984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C6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10.1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O prazo de vigência deste TCC será </w:t>
            </w:r>
            <w:r>
              <w:rPr>
                <w:sz w:val="22"/>
                <w:szCs w:val="22"/>
                <w:rtl w:val="0"/>
              </w:rPr>
              <w:t>de</w:t>
            </w:r>
            <w:r>
              <w:rPr>
                <w:color w:val="FF0000"/>
                <w:sz w:val="22"/>
                <w:szCs w:val="22"/>
                <w:rtl w:val="0"/>
              </w:rPr>
              <w:t xml:space="preserve"> </w:t>
            </w:r>
            <w:r>
              <w:rPr>
                <w:color w:val="auto"/>
                <w:sz w:val="22"/>
                <w:szCs w:val="22"/>
                <w:rtl w:val="0"/>
              </w:rPr>
              <w:t>12 meses</w:t>
            </w:r>
            <w:r>
              <w:rPr>
                <w:rFonts w:ascii="Calibri" w:hAnsi="Calibri" w:eastAsia="Calibri" w:cs="Calibri"/>
                <w:color w:val="auto"/>
                <w:sz w:val="22"/>
                <w:szCs w:val="22"/>
                <w:rtl w:val="0"/>
              </w:rPr>
              <w:t xml:space="preserve">,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contados a partir da data de sua assinatura, podendo ser prorrogado </w:t>
            </w:r>
            <w:r>
              <w:rPr>
                <w:rFonts w:ascii="Calibri" w:hAnsi="Calibri" w:eastAsia="Calibri" w:cs="Calibri"/>
                <w:color w:val="auto"/>
                <w:sz w:val="22"/>
                <w:szCs w:val="22"/>
                <w:rtl w:val="0"/>
              </w:rPr>
              <w:t>pelo dobro do tempo pactuado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mediante acordo entre as partes, excetuadas as prorrogações de ofício por atraso na liberação dos recursos.</w:t>
            </w:r>
          </w:p>
          <w:p w14:paraId="000000C7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10.2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 vigência d</w:t>
            </w:r>
            <w:r>
              <w:rPr>
                <w:sz w:val="22"/>
                <w:szCs w:val="22"/>
                <w:rtl w:val="0"/>
              </w:rPr>
              <w:t>o TCC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poderá ser alterada mediante solicitação da entidade cultural, a ser apresentada à administração pública em, no mínimo, trinta dias antes do término de sua vigência.</w:t>
            </w:r>
          </w:p>
          <w:p w14:paraId="000000C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10.3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 prorrogação de ofício da vigência do instrumento deve ser feita pela administração pública, antes do seu término, quando ela der causa a atraso na liberação dos recursos, limitada ao exato período do atraso verificado.</w:t>
            </w:r>
          </w:p>
        </w:tc>
      </w:tr>
    </w:tbl>
    <w:p w14:paraId="000000C9">
      <w:pPr>
        <w:ind w:left="0" w:hanging="2"/>
        <w:rPr>
          <w:sz w:val="22"/>
          <w:szCs w:val="22"/>
        </w:rPr>
      </w:pPr>
    </w:p>
    <w:tbl>
      <w:tblPr>
        <w:tblStyle w:val="45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0A22B57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CA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11.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DA RESCISÃO</w:t>
            </w:r>
          </w:p>
        </w:tc>
      </w:tr>
      <w:tr w14:paraId="4FE9EC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265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CB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11.1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É facultado ao Ente Público e </w:t>
            </w:r>
            <w:r>
              <w:rPr>
                <w:sz w:val="22"/>
                <w:szCs w:val="22"/>
                <w:rtl w:val="0"/>
              </w:rPr>
              <w:t>à entidade cultural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rescindirem este TCC, a qualquer tempo, com as respectivas condições, sanções e delimitações claras de responsabilidades, além da estipulação de prazo mínimo de antecedência para a publicidade dessa intenção, que não poderá ser inferior a 60 (sessenta) dias.</w:t>
            </w:r>
          </w:p>
          <w:p w14:paraId="000000CC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11.2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O Ente Público deverá rescindir este TCC caso seja cancelada a certificação simplificada do </w:t>
            </w:r>
            <w:r>
              <w:rPr>
                <w:rFonts w:ascii="Calibri" w:hAnsi="Calibri" w:eastAsia="Calibri" w:cs="Calibri"/>
                <w:sz w:val="22"/>
                <w:szCs w:val="22"/>
                <w:shd w:val="clear"/>
                <w:rtl w:val="0"/>
              </w:rPr>
              <w:t>Pont</w:t>
            </w:r>
            <w:r>
              <w:rPr>
                <w:sz w:val="22"/>
                <w:szCs w:val="22"/>
                <w:shd w:val="clear"/>
                <w:rtl w:val="0"/>
              </w:rPr>
              <w:t>o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, respeitados os atos jurídicos perfeitos, na forma do art. 11 da Instrução Normativa/MinC nº 8/2016.</w:t>
            </w:r>
          </w:p>
          <w:p w14:paraId="000000CD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11.3 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A Entidade Cultural deverá devolver ao Ente Público os saldos financeiros remanescentes, inclusive os provenientes das receitas obtidas das aplicações financeiras realizadas, no prazo de trinta dias após a conclusão, rescisão ou extinção da parceria, sob pena de adoção de medidas cabíveis para ressarcimento ao erário.</w:t>
            </w:r>
          </w:p>
          <w:p w14:paraId="000000CE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11.4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Havendo rescisão, </w:t>
            </w:r>
            <w:r>
              <w:rPr>
                <w:sz w:val="22"/>
                <w:szCs w:val="22"/>
                <w:rtl w:val="0"/>
              </w:rPr>
              <w:t>a entidade cultural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fica </w:t>
            </w:r>
            <w:r>
              <w:rPr>
                <w:sz w:val="22"/>
                <w:szCs w:val="22"/>
                <w:rtl w:val="0"/>
              </w:rPr>
              <w:t>obrigada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a prestar contas de tudo que fora executado até a data da rescisão, observado o prazo e regras da Seção </w:t>
            </w:r>
            <w:r>
              <w:rPr>
                <w:sz w:val="22"/>
                <w:szCs w:val="22"/>
                <w:rtl w:val="0"/>
              </w:rPr>
              <w:t>7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.</w:t>
            </w:r>
          </w:p>
        </w:tc>
      </w:tr>
    </w:tbl>
    <w:p w14:paraId="000000CF">
      <w:pPr>
        <w:ind w:left="0" w:hanging="2"/>
        <w:rPr>
          <w:sz w:val="22"/>
          <w:szCs w:val="22"/>
        </w:rPr>
      </w:pPr>
    </w:p>
    <w:tbl>
      <w:tblPr>
        <w:tblStyle w:val="46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577F781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0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12.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DA PUBLICAÇÃO</w:t>
            </w:r>
          </w:p>
        </w:tc>
      </w:tr>
      <w:tr w14:paraId="0948968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851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1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O Ente Público publicará extrato deste TCC no meio oficial de publicidade da administração pública, após a assinatura, para que se inicie a produção de seus efeitos.</w:t>
            </w:r>
          </w:p>
        </w:tc>
      </w:tr>
    </w:tbl>
    <w:p w14:paraId="000000D2">
      <w:pPr>
        <w:ind w:left="0" w:hanging="2"/>
        <w:rPr>
          <w:sz w:val="22"/>
          <w:szCs w:val="22"/>
        </w:rPr>
      </w:pPr>
    </w:p>
    <w:tbl>
      <w:tblPr>
        <w:tblStyle w:val="47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972"/>
      </w:tblGrid>
      <w:tr w14:paraId="5B01186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3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13.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DO FORO</w:t>
            </w:r>
          </w:p>
        </w:tc>
      </w:tr>
      <w:tr w14:paraId="28EC11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851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4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>As partes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comprometem-se a submeter eventuais controvérsias decorrentes do presente ajuste à prévia tentativa de solução administrativa. As controvérsias que não possam ser resolvidas administrativamente serão submetidas ao foro da Justiça</w:t>
            </w:r>
            <w:r>
              <w:rPr>
                <w:rFonts w:hint="default" w:cs="Calibri"/>
                <w:sz w:val="22"/>
                <w:szCs w:val="22"/>
                <w:rtl w:val="0"/>
                <w:lang w:val="pt-BR"/>
              </w:rPr>
              <w:t xml:space="preserve"> de Limeira/SP.</w:t>
            </w:r>
          </w:p>
        </w:tc>
      </w:tr>
    </w:tbl>
    <w:p w14:paraId="000000D5">
      <w:pPr>
        <w:ind w:left="0" w:hanging="2"/>
        <w:rPr>
          <w:sz w:val="22"/>
          <w:szCs w:val="22"/>
        </w:rPr>
      </w:pPr>
    </w:p>
    <w:tbl>
      <w:tblPr>
        <w:tblStyle w:val="48"/>
        <w:tblW w:w="997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812"/>
        <w:gridCol w:w="5160"/>
      </w:tblGrid>
      <w:tr w14:paraId="52E93C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6">
            <w:pPr>
              <w:keepNext w:val="0"/>
              <w:keepLines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120" w:after="120" w:line="240" w:lineRule="auto"/>
              <w:ind w:left="0" w:right="0" w:firstLine="0"/>
              <w:jc w:val="both"/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b/>
                <w:sz w:val="22"/>
                <w:szCs w:val="22"/>
                <w:rtl w:val="0"/>
              </w:rPr>
              <w:t xml:space="preserve">14. </w:t>
            </w: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DATA E ASSINATURAS</w:t>
            </w:r>
          </w:p>
        </w:tc>
      </w:tr>
      <w:tr w14:paraId="6C3B0D2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851" w:hRule="atLeast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8">
            <w:pPr>
              <w:spacing w:before="120" w:after="120" w:line="240" w:lineRule="auto"/>
              <w:ind w:left="0" w:firstLine="0"/>
              <w:jc w:val="both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E, por assim estarem plenamente de acordo, </w:t>
            </w:r>
            <w:r>
              <w:rPr>
                <w:sz w:val="22"/>
                <w:szCs w:val="22"/>
                <w:rtl w:val="0"/>
              </w:rPr>
              <w:t>as partes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obrigam-se ao total cumprimento dos termos do presente instrumento</w:t>
            </w:r>
            <w:r>
              <w:rPr>
                <w:sz w:val="22"/>
                <w:szCs w:val="22"/>
                <w:rtl w:val="0"/>
              </w:rPr>
              <w:t>.</w:t>
            </w:r>
          </w:p>
        </w:tc>
      </w:tr>
      <w:tr w14:paraId="410E5A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851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000DA">
            <w:pPr>
              <w:spacing w:before="120" w:after="120" w:line="240" w:lineRule="auto"/>
              <w:ind w:lef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</w:t>
            </w:r>
            <w:r>
              <w:rPr>
                <w:rFonts w:ascii="Calibri" w:hAnsi="Calibri" w:eastAsia="Calibri" w:cs="Calibri"/>
                <w:i/>
                <w:sz w:val="22"/>
                <w:szCs w:val="22"/>
                <w:rtl w:val="0"/>
              </w:rPr>
              <w:t>assinado eletronicamente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)</w:t>
            </w:r>
          </w:p>
          <w:p w14:paraId="000000DB">
            <w:pPr>
              <w:spacing w:before="120" w:after="120" w:line="240" w:lineRule="auto"/>
              <w:ind w:left="0" w:firstLine="0"/>
              <w:jc w:val="center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b/>
                <w:sz w:val="22"/>
                <w:szCs w:val="22"/>
                <w:rtl w:val="0"/>
              </w:rPr>
              <w:t>NOME</w:t>
            </w:r>
          </w:p>
          <w:p w14:paraId="000000DC">
            <w:pPr>
              <w:spacing w:before="120" w:after="120" w:line="240" w:lineRule="auto"/>
              <w:ind w:lef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CARGO</w:t>
            </w:r>
          </w:p>
          <w:p w14:paraId="000000DD">
            <w:pPr>
              <w:spacing w:before="120" w:after="120" w:line="240" w:lineRule="auto"/>
              <w:ind w:lef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Representante legal da entidade cultural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00000DE">
            <w:pPr>
              <w:spacing w:before="120" w:after="120" w:line="240" w:lineRule="auto"/>
              <w:ind w:lef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  (</w:t>
            </w:r>
            <w:r>
              <w:rPr>
                <w:rFonts w:ascii="Calibri" w:hAnsi="Calibri" w:eastAsia="Calibri" w:cs="Calibri"/>
                <w:i/>
                <w:sz w:val="22"/>
                <w:szCs w:val="22"/>
                <w:rtl w:val="0"/>
              </w:rPr>
              <w:t>assinado eletronicamente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)</w:t>
            </w:r>
          </w:p>
          <w:p w14:paraId="000000DF">
            <w:pPr>
              <w:spacing w:before="120" w:after="120" w:line="240" w:lineRule="auto"/>
              <w:ind w:lef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Representante legal do órgão ou entidade pública</w:t>
            </w:r>
          </w:p>
        </w:tc>
      </w:tr>
    </w:tbl>
    <w:p w14:paraId="000000E0">
      <w:pPr>
        <w:spacing w:before="120" w:after="120" w:line="240" w:lineRule="auto"/>
        <w:ind w:left="0" w:firstLine="0"/>
        <w:jc w:val="both"/>
        <w:rPr>
          <w:rFonts w:ascii="Calibri" w:hAnsi="Calibri" w:eastAsia="Calibri" w:cs="Calibri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984" w:right="1133" w:bottom="1133" w:left="1133" w:header="566" w:footer="566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E5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right"/>
      <w:rPr>
        <w:rFonts w:ascii="Calibri" w:hAnsi="Calibri" w:eastAsia="Calibri" w:cs="Calibri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Página </w: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instrText xml:space="preserve">PAGE</w:instrTex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end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de </w: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instrText xml:space="preserve">NUMPAGES</w:instrText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  <w:fldChar w:fldCharType="end"/>
    </w:r>
  </w:p>
  <w:p w14:paraId="000000E6">
    <w:pPr>
      <w:tabs>
        <w:tab w:val="center" w:pos="0"/>
      </w:tabs>
      <w:spacing w:after="0" w:line="240" w:lineRule="auto"/>
      <w:ind w:left="1440" w:firstLine="0"/>
      <w:jc w:val="both"/>
      <w:rPr>
        <w:i/>
        <w:color w:val="FF0000"/>
        <w:sz w:val="20"/>
        <w:szCs w:val="20"/>
      </w:rPr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2889250</wp:posOffset>
          </wp:positionH>
          <wp:positionV relativeFrom="paragraph">
            <wp:posOffset>81280</wp:posOffset>
          </wp:positionV>
          <wp:extent cx="750570" cy="528955"/>
          <wp:effectExtent l="0" t="0" r="0" b="444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570" cy="52895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2026285</wp:posOffset>
          </wp:positionH>
          <wp:positionV relativeFrom="paragraph">
            <wp:posOffset>111125</wp:posOffset>
          </wp:positionV>
          <wp:extent cx="548005" cy="499110"/>
          <wp:effectExtent l="0" t="0" r="4445" b="15240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005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4581525</wp:posOffset>
          </wp:positionH>
          <wp:positionV relativeFrom="paragraph">
            <wp:posOffset>23495</wp:posOffset>
          </wp:positionV>
          <wp:extent cx="882015" cy="739140"/>
          <wp:effectExtent l="0" t="0" r="0" b="0"/>
          <wp:wrapNone/>
          <wp:docPr id="6" name="image3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 descr="Fundo preto com letras brancas&#10;&#10;O conteúdo gerado por IA pode estar incorreto."/>
                  <pic:cNvPicPr preferRelativeResize="0"/>
                </pic:nvPicPr>
                <pic:blipFill>
                  <a:blip r:embed="rId3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-361315</wp:posOffset>
          </wp:positionH>
          <wp:positionV relativeFrom="paragraph">
            <wp:posOffset>80645</wp:posOffset>
          </wp:positionV>
          <wp:extent cx="1201420" cy="624205"/>
          <wp:effectExtent l="0" t="0" r="0" b="0"/>
          <wp:wrapNone/>
          <wp:docPr id="5" name="image5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5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567" cy="6240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5610225</wp:posOffset>
          </wp:positionH>
          <wp:positionV relativeFrom="paragraph">
            <wp:posOffset>0</wp:posOffset>
          </wp:positionV>
          <wp:extent cx="1153160" cy="681990"/>
          <wp:effectExtent l="0" t="0" r="0" b="0"/>
          <wp:wrapNone/>
          <wp:docPr id="8" name="image2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3810000</wp:posOffset>
          </wp:positionH>
          <wp:positionV relativeFrom="paragraph">
            <wp:posOffset>142240</wp:posOffset>
          </wp:positionV>
          <wp:extent cx="723265" cy="509270"/>
          <wp:effectExtent l="0" t="0" r="0" b="0"/>
          <wp:wrapNone/>
          <wp:docPr id="7" name="image1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E7">
    <w:pPr>
      <w:spacing w:after="0" w:line="276" w:lineRule="auto"/>
      <w:ind w:firstLine="0"/>
      <w:rPr>
        <w:rFonts w:ascii="Arial" w:hAnsi="Arial" w:eastAsia="Arial" w:cs="Arial"/>
      </w:rPr>
    </w:pPr>
    <w:r>
      <w:rPr>
        <w:rFonts w:ascii="Arial" w:hAnsi="Arial" w:eastAsia="Arial" w:cs="Arial"/>
        <w:rtl w:val="0"/>
      </w:rPr>
      <w:t xml:space="preserve">                                                                                                                                                             </w:t>
    </w:r>
  </w:p>
  <w:p w14:paraId="000000E8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EA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E9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  <w:ind w:left="-2" w:hanging="2"/>
      </w:pPr>
      <w:r>
        <w:separator/>
      </w:r>
    </w:p>
  </w:footnote>
  <w:footnote w:type="continuationSeparator" w:id="1">
    <w:p>
      <w:pPr>
        <w:spacing w:before="0" w:after="0" w:line="259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E1">
    <w:pPr>
      <w:spacing w:after="0" w:line="276" w:lineRule="auto"/>
      <w:ind w:hanging="450"/>
      <w:jc w:val="both"/>
      <w:rPr>
        <w:rFonts w:ascii="Arial" w:hAnsi="Arial" w:eastAsia="Arial" w:cs="Arial"/>
      </w:rPr>
    </w:pPr>
    <w:r>
      <w:rPr>
        <w:rFonts w:ascii="Arial" w:hAnsi="Arial" w:eastAsia="Arial" w:cs="Arial"/>
      </w:rPr>
      <w:drawing>
        <wp:inline distT="0" distB="0" distL="0" distR="0">
          <wp:extent cx="1186180" cy="853440"/>
          <wp:effectExtent l="0" t="0" r="0" b="0"/>
          <wp:docPr id="10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E2">
    <w:pPr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E4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E3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hanging="2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18C486D"/>
    <w:rsid w:val="087674B8"/>
    <w:rsid w:val="169D00B3"/>
    <w:rsid w:val="2E273D19"/>
    <w:rsid w:val="50AA5AE5"/>
    <w:rsid w:val="510148C8"/>
    <w:rsid w:val="7EAB69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  <w:spacing w:after="160" w:line="259" w:lineRule="auto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en-US"/>
    </w:rPr>
  </w:style>
  <w:style w:type="paragraph" w:styleId="2">
    <w:name w:val="heading 1"/>
    <w:next w:val="1"/>
    <w:qFormat/>
    <w:uiPriority w:val="9"/>
    <w:pPr>
      <w:keepNext/>
      <w:keepLines/>
      <w:spacing w:before="480" w:after="120" w:line="259" w:lineRule="auto"/>
      <w:ind w:hanging="1"/>
    </w:pPr>
    <w:rPr>
      <w:rFonts w:ascii="Calibri" w:hAnsi="Calibri" w:eastAsia="Calibri" w:cs="Calibri"/>
      <w:b/>
      <w:sz w:val="48"/>
      <w:szCs w:val="48"/>
      <w:lang w:val="pt-BR"/>
    </w:rPr>
  </w:style>
  <w:style w:type="paragraph" w:styleId="3">
    <w:name w:val="heading 2"/>
    <w:next w:val="1"/>
    <w:semiHidden/>
    <w:unhideWhenUsed/>
    <w:qFormat/>
    <w:uiPriority w:val="9"/>
    <w:pPr>
      <w:keepNext/>
      <w:keepLines/>
      <w:spacing w:before="360" w:after="80" w:line="259" w:lineRule="auto"/>
      <w:ind w:hanging="1"/>
      <w:outlineLvl w:val="1"/>
    </w:pPr>
    <w:rPr>
      <w:rFonts w:ascii="Calibri" w:hAnsi="Calibri" w:eastAsia="Calibri" w:cs="Calibri"/>
      <w:b/>
      <w:sz w:val="36"/>
      <w:szCs w:val="36"/>
      <w:lang w:val="pt-BR"/>
    </w:rPr>
  </w:style>
  <w:style w:type="paragraph" w:styleId="4">
    <w:name w:val="heading 3"/>
    <w:next w:val="1"/>
    <w:semiHidden/>
    <w:unhideWhenUsed/>
    <w:qFormat/>
    <w:uiPriority w:val="9"/>
    <w:pPr>
      <w:keepNext/>
      <w:keepLines/>
      <w:spacing w:before="280" w:after="80" w:line="259" w:lineRule="auto"/>
      <w:ind w:hanging="1"/>
      <w:outlineLvl w:val="2"/>
    </w:pPr>
    <w:rPr>
      <w:rFonts w:ascii="Calibri" w:hAnsi="Calibri" w:eastAsia="Calibri" w:cs="Calibri"/>
      <w:b/>
      <w:sz w:val="28"/>
      <w:szCs w:val="28"/>
      <w:lang w:val="pt-BR"/>
    </w:rPr>
  </w:style>
  <w:style w:type="paragraph" w:styleId="5">
    <w:name w:val="heading 4"/>
    <w:next w:val="1"/>
    <w:semiHidden/>
    <w:unhideWhenUsed/>
    <w:qFormat/>
    <w:uiPriority w:val="9"/>
    <w:pPr>
      <w:keepNext/>
      <w:keepLines/>
      <w:spacing w:before="240" w:after="40" w:line="259" w:lineRule="auto"/>
      <w:ind w:hanging="1"/>
      <w:outlineLvl w:val="3"/>
    </w:pPr>
    <w:rPr>
      <w:rFonts w:ascii="Calibri" w:hAnsi="Calibri" w:eastAsia="Calibri" w:cs="Calibri"/>
      <w:b/>
      <w:sz w:val="24"/>
      <w:szCs w:val="24"/>
      <w:lang w:val="pt-BR"/>
    </w:rPr>
  </w:style>
  <w:style w:type="paragraph" w:styleId="6">
    <w:name w:val="heading 5"/>
    <w:next w:val="1"/>
    <w:semiHidden/>
    <w:unhideWhenUsed/>
    <w:qFormat/>
    <w:uiPriority w:val="9"/>
    <w:pPr>
      <w:keepNext/>
      <w:keepLines/>
      <w:spacing w:before="220" w:after="40" w:line="259" w:lineRule="auto"/>
      <w:ind w:hanging="1"/>
      <w:outlineLvl w:val="4"/>
    </w:pPr>
    <w:rPr>
      <w:rFonts w:ascii="Calibri" w:hAnsi="Calibri" w:eastAsia="Calibri" w:cs="Calibri"/>
      <w:b/>
      <w:sz w:val="22"/>
      <w:szCs w:val="22"/>
      <w:lang w:val="pt-BR"/>
    </w:rPr>
  </w:style>
  <w:style w:type="paragraph" w:styleId="7">
    <w:name w:val="heading 6"/>
    <w:next w:val="1"/>
    <w:semiHidden/>
    <w:unhideWhenUsed/>
    <w:qFormat/>
    <w:uiPriority w:val="9"/>
    <w:pPr>
      <w:keepNext/>
      <w:keepLines/>
      <w:spacing w:before="200" w:after="40" w:line="259" w:lineRule="auto"/>
      <w:ind w:hanging="1"/>
      <w:outlineLvl w:val="5"/>
    </w:pPr>
    <w:rPr>
      <w:rFonts w:ascii="Calibri" w:hAnsi="Calibri" w:eastAsia="Calibri" w:cs="Calibri"/>
      <w:b/>
      <w:sz w:val="20"/>
      <w:szCs w:val="20"/>
      <w:lang w:val="pt-B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qFormat/>
    <w:uiPriority w:val="0"/>
    <w:rPr>
      <w:w w:val="100"/>
      <w:position w:val="-1"/>
      <w:sz w:val="16"/>
      <w:szCs w:val="16"/>
      <w:vertAlign w:val="baseline"/>
      <w:cs w:val="0"/>
    </w:rPr>
  </w:style>
  <w:style w:type="paragraph" w:styleId="11">
    <w:name w:val="annotation text"/>
    <w:basedOn w:val="1"/>
    <w:qFormat/>
    <w:uiPriority w:val="0"/>
    <w:rPr>
      <w:sz w:val="20"/>
      <w:szCs w:val="20"/>
    </w:rPr>
  </w:style>
  <w:style w:type="paragraph" w:styleId="12">
    <w:name w:val="Title"/>
    <w:next w:val="1"/>
    <w:qFormat/>
    <w:uiPriority w:val="10"/>
    <w:pPr>
      <w:keepNext/>
      <w:keepLines/>
      <w:spacing w:before="480" w:after="120" w:line="259" w:lineRule="auto"/>
      <w:ind w:hanging="1"/>
    </w:pPr>
    <w:rPr>
      <w:rFonts w:ascii="Calibri" w:hAnsi="Calibri" w:eastAsia="Calibri" w:cs="Calibri"/>
      <w:b/>
      <w:sz w:val="72"/>
      <w:szCs w:val="72"/>
      <w:lang w:val="pt-BR"/>
    </w:rPr>
  </w:style>
  <w:style w:type="paragraph" w:styleId="13">
    <w:name w:val="header"/>
    <w:basedOn w:val="1"/>
    <w:link w:val="33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4">
    <w:name w:val="annotation subject"/>
    <w:basedOn w:val="11"/>
    <w:next w:val="11"/>
    <w:qFormat/>
    <w:uiPriority w:val="0"/>
    <w:rPr>
      <w:b/>
      <w:bCs/>
    </w:rPr>
  </w:style>
  <w:style w:type="paragraph" w:styleId="15">
    <w:name w:val="footer"/>
    <w:basedOn w:val="1"/>
    <w:link w:val="34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Balloon Text"/>
    <w:basedOn w:val="1"/>
    <w:qFormat/>
    <w:uiPriority w:val="0"/>
    <w:pPr>
      <w:spacing w:after="0" w:line="240" w:lineRule="auto"/>
    </w:pPr>
    <w:rPr>
      <w:rFonts w:ascii="Segoe UI" w:hAnsi="Segoe UI"/>
      <w:sz w:val="18"/>
      <w:szCs w:val="18"/>
    </w:rPr>
  </w:style>
  <w:style w:type="paragraph" w:styleId="17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18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Texto de balão Char"/>
    <w:qFormat/>
    <w:uiPriority w:val="0"/>
    <w:rPr>
      <w:rFonts w:ascii="Segoe UI" w:hAnsi="Segoe UI" w:cs="Segoe UI"/>
      <w:w w:val="100"/>
      <w:position w:val="-1"/>
      <w:sz w:val="18"/>
      <w:szCs w:val="18"/>
      <w:vertAlign w:val="baseline"/>
      <w:cs w:val="0"/>
      <w:lang w:eastAsia="en-US"/>
    </w:rPr>
  </w:style>
  <w:style w:type="paragraph" w:styleId="22">
    <w:name w:val="No Spacing"/>
    <w:qFormat/>
    <w:uiPriority w:val="0"/>
    <w:pPr>
      <w:suppressAutoHyphens/>
      <w:spacing w:after="160"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en-US"/>
    </w:rPr>
  </w:style>
  <w:style w:type="character" w:customStyle="1" w:styleId="23">
    <w:name w:val="Texto de comentário Char"/>
    <w:uiPriority w:val="0"/>
    <w:rPr>
      <w:w w:val="100"/>
      <w:position w:val="-1"/>
      <w:vertAlign w:val="baseline"/>
      <w:cs w:val="0"/>
      <w:lang w:eastAsia="en-US"/>
    </w:rPr>
  </w:style>
  <w:style w:type="character" w:customStyle="1" w:styleId="24">
    <w:name w:val="Assunto do comentário Char"/>
    <w:qFormat/>
    <w:uiPriority w:val="0"/>
    <w:rPr>
      <w:b/>
      <w:bCs/>
      <w:w w:val="100"/>
      <w:position w:val="-1"/>
      <w:vertAlign w:val="baseline"/>
      <w:cs w:val="0"/>
      <w:lang w:eastAsia="en-US"/>
    </w:rPr>
  </w:style>
  <w:style w:type="paragraph" w:styleId="25">
    <w:name w:val="List Paragraph"/>
    <w:basedOn w:val="1"/>
    <w:qFormat/>
    <w:uiPriority w:val="0"/>
    <w:pPr>
      <w:spacing w:after="0" w:line="240" w:lineRule="auto"/>
      <w:ind w:left="720"/>
      <w:contextualSpacing/>
    </w:pPr>
    <w:rPr>
      <w:rFonts w:ascii="Times New Roman" w:hAnsi="Times New Roman" w:eastAsia="Times New Roman"/>
      <w:sz w:val="20"/>
      <w:szCs w:val="20"/>
      <w:lang w:eastAsia="pt-BR"/>
    </w:rPr>
  </w:style>
  <w:style w:type="paragraph" w:customStyle="1" w:styleId="26">
    <w:name w:val="western"/>
    <w:basedOn w:val="1"/>
    <w:qFormat/>
    <w:uiPriority w:val="0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pt-BR"/>
    </w:rPr>
  </w:style>
  <w:style w:type="paragraph" w:customStyle="1" w:styleId="27">
    <w:name w:val="Revision"/>
    <w:qFormat/>
    <w:uiPriority w:val="0"/>
    <w:pPr>
      <w:suppressAutoHyphens/>
      <w:spacing w:after="160" w:line="1" w:lineRule="atLeast"/>
      <w:ind w:left="-1" w:leftChars="-1" w:hanging="1" w:hangingChars="1"/>
      <w:textAlignment w:val="top"/>
      <w:outlineLvl w:val="0"/>
    </w:pPr>
    <w:rPr>
      <w:rFonts w:ascii="Calibri" w:hAnsi="Calibri" w:eastAsia="Calibri" w:cs="Calibri"/>
      <w:position w:val="-1"/>
      <w:sz w:val="22"/>
      <w:szCs w:val="22"/>
      <w:lang w:val="pt-BR" w:eastAsia="en-US"/>
    </w:rPr>
  </w:style>
  <w:style w:type="paragraph" w:customStyle="1" w:styleId="28">
    <w:name w:val="Normal1"/>
    <w:qFormat/>
    <w:uiPriority w:val="0"/>
    <w:pPr>
      <w:spacing w:after="200" w:line="276" w:lineRule="auto"/>
      <w:ind w:left="-1" w:leftChars="-1" w:hanging="1" w:hangingChars="1"/>
      <w:textAlignment w:val="top"/>
      <w:outlineLvl w:val="0"/>
    </w:pPr>
    <w:rPr>
      <w:rFonts w:ascii="Times New Roman" w:hAnsi="Times New Roman" w:eastAsia="Times New Roman" w:cs="Calibri"/>
      <w:position w:val="-1"/>
      <w:sz w:val="22"/>
      <w:szCs w:val="22"/>
      <w:lang w:val="pt-BR"/>
    </w:rPr>
  </w:style>
  <w:style w:type="table" w:customStyle="1" w:styleId="29">
    <w:name w:val="4"/>
    <w:basedOn w:val="20"/>
    <w:qFormat/>
    <w:uiPriority w:val="0"/>
    <w:tblPr>
      <w:tblCellMar>
        <w:left w:w="108" w:type="dxa"/>
        <w:right w:w="108" w:type="dxa"/>
      </w:tblCellMar>
    </w:tblPr>
  </w:style>
  <w:style w:type="table" w:customStyle="1" w:styleId="30">
    <w:name w:val="3"/>
    <w:basedOn w:val="20"/>
    <w:qFormat/>
    <w:uiPriority w:val="0"/>
    <w:tblPr>
      <w:tblCellMar>
        <w:left w:w="108" w:type="dxa"/>
        <w:right w:w="108" w:type="dxa"/>
      </w:tblCellMar>
    </w:tblPr>
  </w:style>
  <w:style w:type="table" w:customStyle="1" w:styleId="31">
    <w:name w:val="2"/>
    <w:basedOn w:val="2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1"/>
    <w:basedOn w:val="2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33">
    <w:name w:val="Cabeçalho Char"/>
    <w:basedOn w:val="8"/>
    <w:link w:val="13"/>
    <w:qFormat/>
    <w:uiPriority w:val="99"/>
    <w:rPr>
      <w:position w:val="-1"/>
      <w:lang w:eastAsia="en-US"/>
    </w:rPr>
  </w:style>
  <w:style w:type="character" w:customStyle="1" w:styleId="34">
    <w:name w:val="Rodapé Char"/>
    <w:basedOn w:val="8"/>
    <w:link w:val="15"/>
    <w:qFormat/>
    <w:uiPriority w:val="99"/>
    <w:rPr>
      <w:position w:val="-1"/>
      <w:lang w:eastAsia="en-US"/>
    </w:rPr>
  </w:style>
  <w:style w:type="table" w:customStyle="1" w:styleId="35">
    <w:name w:val="_Style 70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_Style 71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_Style 72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_Style 73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_Style 74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_Style 75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_Style 76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_Style 77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_Style 78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_Style 79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_Style 80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_Style 81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_Style 82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8">
    <w:name w:val="_Style 83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_Style 84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_Style 85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_Style 86"/>
    <w:basedOn w:val="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_Style 8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3">
    <w:name w:val="_Style 8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4">
    <w:name w:val="_Style 9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5">
    <w:name w:val="_Style 91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6">
    <w:name w:val="_Style 9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7">
    <w:name w:val="_Style 9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8">
    <w:name w:val="_Style 94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9">
    <w:name w:val="_Style 9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_Style 9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_Style 9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2">
    <w:name w:val="_Style 9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3">
    <w:name w:val="_Style 9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4">
    <w:name w:val="_Style 10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5">
    <w:name w:val="_Style 101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6">
    <w:name w:val="_Style 10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7">
    <w:name w:val="_Style 104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8">
    <w:name w:val="_Style 10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_Style 10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_Style 10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_Style 10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2">
    <w:name w:val="_Style 10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_Style 11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4">
    <w:name w:val="_Style 111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5">
    <w:name w:val="_Style 1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6">
    <w:name w:val="_Style 11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7">
    <w:name w:val="_Style 114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8">
    <w:name w:val="_Style 11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9">
    <w:name w:val="_Style 11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_Style 11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_Style 11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_Style 12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_Style 121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_Style 12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_Style 123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_Style 124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_Style 125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_Style 126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_Style 127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_Style 128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_Style 12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_Style 130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_Style 131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xpT4fQy/4BmMoBXGzE3aIdwrmw==">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2022-08-11T14:23:00Z</dcterms:created>
  <dc:creator>Daniela Guimaraes Goulart</dc:creator>
  <cp:lastModifiedBy>Prefeitura</cp:lastModifiedBy>
  <dcterms:modified xsi:type="dcterms:W3CDTF">2026-04-30T12:13:47Z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9AD946D058D24C1187FDC7D4F50F612F_12</vt:lpwstr>
  </property>
</Properties>
</file>