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xls" ContentType="application/vnd.ms-excel"/>
  <Override PartName="/word/footer3.xml" ContentType="application/vnd.openxmlformats-officedocument.wordprocessingml.footer+xml"/>
  <Override PartName="/word/header1.xml" ContentType="application/vnd.openxmlformats-officedocument.wordprocessingml.header+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t>PROCESSO ADMINISTRATIVO Nº 1.432/2026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 xml:space="preserve">PREGÃO ELETRÔNICO Nº </w:t>
      </w:r>
      <w:r>
        <w:rPr>
          <w:rFonts w:cs="Arial" w:ascii="Arial" w:hAnsi="Arial"/>
          <w:b/>
          <w:bCs/>
          <w:sz w:val="22"/>
          <w:szCs w:val="22"/>
        </w:rPr>
        <w:t>21</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28</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bookmarkStart w:id="0" w:name="_Hlk224049350"/>
      <w:r>
        <w:rPr>
          <w:rFonts w:cs="Arial" w:ascii="Arial" w:hAnsi="Arial"/>
          <w:sz w:val="22"/>
          <w:szCs w:val="22"/>
        </w:rPr>
        <w:t xml:space="preserve">Contratação </w:t>
      </w:r>
      <w:bookmarkStart w:id="1" w:name="_Hlk223933830"/>
      <w:r>
        <w:rPr>
          <w:rFonts w:cs="Arial" w:ascii="Arial" w:hAnsi="Arial"/>
          <w:sz w:val="22"/>
          <w:szCs w:val="22"/>
        </w:rPr>
        <w:t>de prestação dos serviços de remoção, guarda e depósito de veículos automotores envolvidos em infrações de trânsito, abandonados ou acidentados nas vias públicas do município de Itatiba, pelo período de 24 (vinte e quatro) meses.</w:t>
      </w:r>
      <w:bookmarkEnd w:id="0"/>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bookmarkEnd w:id="1"/>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R$ 3.454.092,72 (três milhões quatrocentos e cinquenta e quatro mil noventa e dois reais e setenta e dois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DATA DA SESSÃO PÚBLICA – Data </w:t>
      </w:r>
      <w:r>
        <w:rPr>
          <w:rFonts w:cs="Arial" w:ascii="Arial" w:hAnsi="Arial"/>
          <w:b/>
          <w:bCs/>
          <w:sz w:val="22"/>
          <w:szCs w:val="22"/>
        </w:rPr>
        <w:t>13 de maio</w:t>
      </w:r>
      <w:r>
        <w:rPr>
          <w:rFonts w:cs="Arial" w:ascii="Arial" w:hAnsi="Arial"/>
          <w:b/>
          <w:bCs/>
          <w:sz w:val="22"/>
          <w:szCs w:val="22"/>
        </w:rPr>
        <w:t xml:space="preserve"> de 2026</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13/05/2026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13/05/2026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13/05/2026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 xml:space="preserve">Menor preço global, </w:t>
      </w:r>
      <w:bookmarkStart w:id="2" w:name="_Hlk224045636"/>
      <w:r>
        <w:rPr>
          <w:rFonts w:cs="Arial" w:ascii="Arial" w:hAnsi="Arial"/>
          <w:sz w:val="22"/>
          <w:szCs w:val="22"/>
        </w:rPr>
        <w:t xml:space="preserve">obtido através do maior desconto percentual ofertado sobre o valor das tarifas públicas </w:t>
      </w:r>
      <w:bookmarkEnd w:id="2"/>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4"/>
        <w:jc w:val="both"/>
        <w:rPr>
          <w:rFonts w:ascii="Arial" w:hAnsi="Arial" w:cs="Arial"/>
          <w:sz w:val="22"/>
          <w:szCs w:val="22"/>
        </w:rPr>
      </w:pPr>
      <w:r>
        <w:rPr>
          <w:rFonts w:cs="Arial" w:ascii="Arial" w:hAnsi="Arial"/>
          <w:b/>
          <w:bCs/>
          <w:sz w:val="22"/>
          <w:szCs w:val="22"/>
        </w:rPr>
        <w:t>SECRETARIA DE OBRAS</w:t>
      </w:r>
    </w:p>
    <w:p>
      <w:pPr>
        <w:pStyle w:val="Normal"/>
        <w:spacing w:lineRule="auto" w:line="360"/>
        <w:ind w:right="-54"/>
        <w:rPr>
          <w:rFonts w:ascii="Arial" w:hAnsi="Arial" w:cs="Arial"/>
          <w:sz w:val="22"/>
          <w:szCs w:val="22"/>
        </w:rPr>
      </w:pPr>
      <w:r>
        <w:rPr>
          <w:rFonts w:cs="Arial" w:ascii="Arial" w:hAnsi="Arial"/>
          <w:b/>
          <w:bCs/>
          <w:sz w:val="22"/>
          <w:szCs w:val="22"/>
        </w:rPr>
        <w:t>PROCESSO ADMINISTRATIVO Nº 1.432/2026</w:t>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sz w:val="22"/>
          <w:szCs w:val="22"/>
        </w:rPr>
      </w:pPr>
      <w:r>
        <w:rPr>
          <w:rFonts w:cs="Arial" w:ascii="Arial" w:hAnsi="Arial"/>
          <w:b/>
          <w:sz w:val="22"/>
          <w:szCs w:val="22"/>
        </w:rPr>
        <w:t xml:space="preserve">PREGÃO ELETRÔNICO Nº </w:t>
      </w:r>
      <w:r>
        <w:rPr>
          <w:rFonts w:cs="Arial" w:ascii="Arial" w:hAnsi="Arial"/>
          <w:b/>
          <w:sz w:val="22"/>
          <w:szCs w:val="22"/>
        </w:rPr>
        <w:t>21</w:t>
      </w:r>
      <w:r>
        <w:rPr>
          <w:rFonts w:cs="Arial" w:ascii="Arial" w:hAnsi="Arial"/>
          <w:b/>
          <w:sz w:val="22"/>
          <w:szCs w:val="22"/>
        </w:rPr>
        <w:t>/2026</w:t>
      </w:r>
    </w:p>
    <w:p>
      <w:pPr>
        <w:pStyle w:val="Normal"/>
        <w:spacing w:lineRule="auto" w:line="360"/>
        <w:ind w:firstLine="567"/>
        <w:jc w:val="center"/>
        <w:rPr>
          <w:rFonts w:ascii="Arial" w:hAnsi="Arial" w:cs="Arial"/>
          <w:sz w:val="22"/>
          <w:szCs w:val="22"/>
        </w:rPr>
      </w:pPr>
      <w:r>
        <w:rPr>
          <w:rFonts w:cs="Arial" w:ascii="Arial" w:hAnsi="Arial"/>
          <w:b/>
          <w:sz w:val="22"/>
          <w:szCs w:val="22"/>
        </w:rPr>
        <w:t xml:space="preserve">EDITAL Nº </w:t>
      </w:r>
      <w:r>
        <w:rPr>
          <w:rFonts w:cs="Arial" w:ascii="Arial" w:hAnsi="Arial"/>
          <w:b/>
          <w:sz w:val="22"/>
          <w:szCs w:val="22"/>
        </w:rPr>
        <w:t>28</w:t>
      </w:r>
      <w:r>
        <w:rPr>
          <w:rFonts w:cs="Arial" w:ascii="Arial" w:hAnsi="Arial"/>
          <w:b/>
          <w:sz w:val="22"/>
          <w:szCs w:val="22"/>
        </w:rPr>
        <w:t>/2026</w:t>
      </w:r>
    </w:p>
    <w:p>
      <w:pPr>
        <w:pStyle w:val="Normal"/>
        <w:snapToGrid w:val="false"/>
        <w:spacing w:lineRule="auto" w:line="360"/>
        <w:ind w:firstLine="567"/>
        <w:jc w:val="both"/>
        <w:rPr>
          <w:rFonts w:ascii="Arial" w:hAnsi="Arial" w:cs="Arial"/>
          <w:b/>
          <w:sz w:val="22"/>
          <w:szCs w:val="22"/>
        </w:rPr>
      </w:pPr>
      <w:r>
        <w:rPr>
          <w:rFonts w:cs="Arial" w:ascii="Arial" w:hAnsi="Arial"/>
          <w:b/>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DE OBRAS,</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Decreto Municipal nº 7.999/2024 e Lei Municipal 5.852/2026, e demais legislação aplicável e, ainda, de acordo com as condições estabelecidas neste Edital.</w:t>
      </w:r>
    </w:p>
    <w:p>
      <w:pPr>
        <w:pStyle w:val="Normal"/>
        <w:spacing w:lineRule="auto" w:line="360"/>
        <w:ind w:firstLine="567"/>
        <w:jc w:val="both"/>
        <w:rPr>
          <w:rFonts w:ascii="Arial" w:hAnsi="Arial" w:cs="Arial"/>
          <w:b/>
          <w:bCs/>
          <w:sz w:val="22"/>
          <w:szCs w:val="22"/>
        </w:rPr>
      </w:pPr>
      <w:r>
        <w:rPr>
          <w:rFonts w:cs="Arial" w:ascii="Arial" w:hAnsi="Arial"/>
          <w:b/>
          <w:bCs/>
          <w:sz w:val="22"/>
          <w:szCs w:val="22"/>
        </w:rPr>
      </w:r>
    </w:p>
    <w:p>
      <w:pPr>
        <w:pStyle w:val="Nivel01"/>
        <w:numPr>
          <w:ilvl w:val="0"/>
          <w:numId w:val="2"/>
        </w:numPr>
        <w:spacing w:lineRule="auto" w:line="360" w:before="0" w:after="0"/>
        <w:ind w:hanging="0" w:left="0"/>
        <w:rPr>
          <w:sz w:val="22"/>
          <w:szCs w:val="22"/>
        </w:rPr>
      </w:pPr>
      <w:r>
        <w:rPr>
          <w:sz w:val="22"/>
          <w:szCs w:val="22"/>
          <w:lang w:eastAsia="en-US"/>
        </w:rPr>
        <w:t>DO OBJETO</w:t>
      </w:r>
    </w:p>
    <w:p>
      <w:pPr>
        <w:pStyle w:val="ListParagraph"/>
        <w:numPr>
          <w:ilvl w:val="1"/>
          <w:numId w:val="2"/>
        </w:numPr>
        <w:spacing w:lineRule="auto" w:line="360"/>
        <w:ind w:hanging="0" w:left="0"/>
        <w:jc w:val="both"/>
        <w:rPr>
          <w:rFonts w:ascii="Arial" w:hAnsi="Arial" w:cs="Arial"/>
          <w:sz w:val="22"/>
          <w:szCs w:val="22"/>
        </w:rPr>
      </w:pPr>
      <w:r>
        <w:rPr>
          <w:rFonts w:eastAsia="MS Mincho" w:cs="Arial" w:ascii="Arial" w:hAnsi="Arial"/>
          <w:color w:val="000000"/>
          <w:kern w:val="0"/>
          <w:sz w:val="22"/>
          <w:szCs w:val="22"/>
        </w:rPr>
        <w:t xml:space="preserve">O objeto da presente licitação contratação de prestação dos serviços de remoção, guarda e depósito de veículos automotores envolvidos em infrações de trânsito, abandonados ou acidentados nas vias públicas do município de Itatiba, pelo período de 24 (vinte e quatro) meses, </w:t>
      </w:r>
      <w:r>
        <w:rPr>
          <w:rFonts w:cs="Arial" w:ascii="Arial" w:hAnsi="Arial"/>
          <w:sz w:val="22"/>
          <w:szCs w:val="22"/>
        </w:rPr>
        <w:t>conforme condições, quantidades e exigências estabelecidas neste Edital e seus anexos.</w:t>
      </w:r>
    </w:p>
    <w:p>
      <w:pPr>
        <w:pStyle w:val="Nivel2"/>
        <w:numPr>
          <w:ilvl w:val="1"/>
          <w:numId w:val="2"/>
        </w:numPr>
        <w:spacing w:lineRule="auto" w:line="360" w:before="0" w:after="0"/>
        <w:ind w:hanging="0" w:left="0"/>
        <w:rPr>
          <w:sz w:val="22"/>
          <w:szCs w:val="22"/>
        </w:rPr>
      </w:pPr>
      <w:r>
        <w:rPr>
          <w:sz w:val="22"/>
          <w:szCs w:val="22"/>
        </w:rPr>
        <w:t>A licitação será do tipo MENOR PREÇO GLOBAL, obtido através do maior desconto percentual ofertado sobre o valor das tarifas públicas, conforme tabela constante do Termo de Referência, facultando-se ao licitante a participação em quantos itens forem de seu interesse.</w:t>
      </w:r>
    </w:p>
    <w:p>
      <w:pPr>
        <w:pStyle w:val="Nivel2"/>
        <w:numPr>
          <w:ilvl w:val="1"/>
          <w:numId w:val="2"/>
        </w:numPr>
        <w:spacing w:lineRule="auto" w:line="360" w:before="0" w:after="0"/>
        <w:ind w:hanging="0" w:left="0"/>
        <w:rPr>
          <w:sz w:val="22"/>
          <w:szCs w:val="22"/>
        </w:rPr>
      </w:pPr>
      <w:r>
        <w:rPr>
          <w:sz w:val="22"/>
          <w:szCs w:val="22"/>
        </w:rPr>
        <w:t>O objeto desta licitação será subsidiado com Recursos Próprios da Administração.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r>
        <w:rPr>
          <w:sz w:val="22"/>
          <w:szCs w:val="22"/>
        </w:rPr>
        <w:t>DA PARTICIPAÇÃO NA LICITAÇÃO</w:t>
      </w:r>
    </w:p>
    <w:p>
      <w:pPr>
        <w:pStyle w:val="Nivel2"/>
        <w:numPr>
          <w:ilvl w:val="1"/>
          <w:numId w:val="2"/>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2"/>
        </w:numPr>
        <w:spacing w:lineRule="auto" w:line="360" w:before="0" w:after="0"/>
        <w:ind w:hanging="0" w:left="0"/>
        <w:rPr>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2"/>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2"/>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2"/>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2"/>
        </w:numPr>
        <w:spacing w:lineRule="auto" w:line="360" w:before="0" w:after="0"/>
        <w:ind w:hanging="0" w:left="0"/>
        <w:rPr>
          <w:sz w:val="22"/>
          <w:szCs w:val="22"/>
        </w:rPr>
      </w:pPr>
      <w:r>
        <w:rPr>
          <w:sz w:val="22"/>
          <w:szCs w:val="22"/>
        </w:rPr>
        <w:t xml:space="preserve">Para os itens das cotas reservadas a participação é exclusiva a microempresas e empresas de pequeno porte, nos termos do </w:t>
      </w:r>
      <w:hyperlink r:id="rId3">
        <w:r>
          <w:rPr>
            <w:rStyle w:val="Hyperlink"/>
            <w:color w:val="000000"/>
            <w:sz w:val="22"/>
            <w:szCs w:val="22"/>
          </w:rPr>
          <w:t>art. 48 da Lei Complementar nº 123, de 14 de dezembro de 2006</w:t>
        </w:r>
      </w:hyperlink>
      <w:r>
        <w:rPr>
          <w:sz w:val="22"/>
          <w:szCs w:val="22"/>
        </w:rPr>
        <w:t>.</w:t>
      </w:r>
    </w:p>
    <w:p>
      <w:pPr>
        <w:pStyle w:val="Nivel3"/>
        <w:numPr>
          <w:ilvl w:val="2"/>
          <w:numId w:val="2"/>
        </w:numPr>
        <w:spacing w:lineRule="auto" w:line="360" w:before="0" w:after="0"/>
        <w:ind w:hanging="0" w:left="0"/>
        <w:rPr>
          <w:sz w:val="22"/>
          <w:szCs w:val="22"/>
        </w:rPr>
      </w:pPr>
      <w:bookmarkStart w:id="3" w:name="_Ref117015508"/>
      <w:r>
        <w:rPr>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p>
    <w:p>
      <w:pPr>
        <w:pStyle w:val="Nivel2"/>
        <w:numPr>
          <w:ilvl w:val="1"/>
          <w:numId w:val="2"/>
        </w:numPr>
        <w:spacing w:lineRule="auto" w:line="360" w:before="0" w:after="0"/>
        <w:ind w:hanging="0" w:left="0"/>
        <w:rPr>
          <w:sz w:val="22"/>
          <w:szCs w:val="22"/>
        </w:rPr>
      </w:pPr>
      <w:r>
        <w:rPr>
          <w:sz w:val="22"/>
          <w:szCs w:val="22"/>
        </w:rPr>
        <w:t xml:space="preserve">Será concedido tratamento favorecido para as microempresas e empresas de pequeno porte, para as sociedades cooperativas </w:t>
      </w:r>
      <w:r>
        <w:rPr>
          <w:rFonts w:eastAsia="Times New Roman"/>
          <w:sz w:val="22"/>
          <w:szCs w:val="22"/>
        </w:rPr>
        <w:t xml:space="preserve">mencionadas no </w:t>
      </w:r>
      <w:r>
        <w:fldChar w:fldCharType="begin"/>
      </w:r>
      <w:r>
        <w:rPr>
          <w:rStyle w:val="Hyperlink"/>
          <w:sz w:val="22"/>
          <w:szCs w:val="22"/>
          <w:rFonts w:eastAsia="Times New Roman"/>
          <w:color w:val="000000"/>
        </w:rPr>
        <w:instrText xml:space="preserve"> HYPERLINK "http://www.planalto.gov.br/ccivil_03/_ato2019-2022/2021/lei/L14133.htm" \l "art16"</w:instrText>
      </w:r>
      <w:r>
        <w:rPr>
          <w:rStyle w:val="Hyperlink"/>
          <w:sz w:val="22"/>
          <w:szCs w:val="22"/>
          <w:rFonts w:eastAsia="Times New Roman"/>
          <w:color w:val="000000"/>
        </w:rPr>
        <w:fldChar w:fldCharType="separate"/>
      </w:r>
      <w:r>
        <w:rPr>
          <w:rStyle w:val="Hyperlink"/>
          <w:rFonts w:eastAsia="Times New Roman"/>
          <w:color w:val="000000"/>
          <w:sz w:val="22"/>
          <w:szCs w:val="22"/>
        </w:rPr>
        <w:t xml:space="preserve">artigo </w:t>
      </w:r>
      <w:r>
        <w:rPr>
          <w:rStyle w:val="Hyperlink"/>
          <w:sz w:val="22"/>
          <w:szCs w:val="22"/>
          <w:rFonts w:eastAsia="Times New Roman"/>
          <w:color w:val="000000"/>
        </w:rPr>
        <w:fldChar w:fldCharType="end"/>
      </w:r>
      <w:r>
        <w:rPr>
          <w:rStyle w:val="Hyperlink"/>
          <w:color w:val="000000"/>
          <w:sz w:val="22"/>
          <w:szCs w:val="22"/>
        </w:rPr>
        <w:t>16 da Lei nº 14.133, de 2021</w:t>
      </w:r>
      <w:r>
        <w:rPr>
          <w:sz w:val="22"/>
          <w:szCs w:val="22"/>
        </w:rPr>
        <w:t xml:space="preserve">, para o agricultor familiar, o produtor rural pessoa física e para o microempreendedor individual - MEI, nos limites previstos da </w:t>
      </w:r>
      <w:hyperlink r:id="rId4">
        <w:r>
          <w:rPr>
            <w:rStyle w:val="Hyperlink"/>
            <w:color w:val="000000"/>
            <w:sz w:val="22"/>
            <w:szCs w:val="22"/>
          </w:rPr>
          <w:t>Lei Complementar nº 123, de 2006</w:t>
        </w:r>
      </w:hyperlink>
      <w:r>
        <w:rPr>
          <w:sz w:val="22"/>
          <w:szCs w:val="22"/>
        </w:rPr>
        <w:t>.</w:t>
      </w:r>
    </w:p>
    <w:p>
      <w:pPr>
        <w:pStyle w:val="Nivel2"/>
        <w:numPr>
          <w:ilvl w:val="1"/>
          <w:numId w:val="2"/>
        </w:numPr>
        <w:spacing w:lineRule="auto" w:line="360" w:before="0" w:after="0"/>
        <w:ind w:hanging="0" w:left="0"/>
        <w:rPr>
          <w:sz w:val="22"/>
          <w:szCs w:val="22"/>
        </w:rPr>
      </w:pPr>
      <w:bookmarkStart w:id="4" w:name="_Ref117000692"/>
      <w:r>
        <w:rPr>
          <w:rFonts w:eastAsia="Times New Roman"/>
          <w:sz w:val="22"/>
          <w:szCs w:val="22"/>
        </w:rPr>
        <w:t>Não poderão disputar esta licitação:</w:t>
      </w:r>
      <w:bookmarkEnd w:id="4"/>
    </w:p>
    <w:p>
      <w:pPr>
        <w:pStyle w:val="Normal"/>
        <w:numPr>
          <w:ilvl w:val="2"/>
          <w:numId w:val="2"/>
        </w:numPr>
        <w:tabs>
          <w:tab w:val="clear" w:pos="709"/>
          <w:tab w:val="left" w:pos="1134" w:leader="none"/>
        </w:tabs>
        <w:suppressAutoHyphens w:val="false"/>
        <w:snapToGrid w:val="false"/>
        <w:spacing w:lineRule="auto" w:line="360"/>
        <w:ind w:hanging="0" w:left="1134"/>
        <w:jc w:val="both"/>
        <w:rPr>
          <w:rFonts w:ascii="Arial" w:hAnsi="Arial" w:cs="Arial"/>
          <w:sz w:val="22"/>
          <w:szCs w:val="22"/>
        </w:rPr>
      </w:pPr>
      <w:bookmarkStart w:id="5" w:name="_Ref113883338"/>
      <w:bookmarkEnd w:id="5"/>
      <w:r>
        <w:rPr>
          <w:rFonts w:cs="Arial" w:ascii="Arial" w:hAnsi="Arial"/>
          <w:sz w:val="22"/>
          <w:szCs w:val="22"/>
        </w:rPr>
        <w:t>aquele que não atenda às condições deste Edital e seu(s) anexo(s);</w:t>
      </w:r>
    </w:p>
    <w:p>
      <w:pPr>
        <w:pStyle w:val="Nivel3"/>
        <w:numPr>
          <w:ilvl w:val="2"/>
          <w:numId w:val="2"/>
        </w:numPr>
        <w:tabs>
          <w:tab w:val="left" w:pos="0" w:leader="none"/>
          <w:tab w:val="left" w:pos="1134" w:leader="none"/>
        </w:tabs>
        <w:spacing w:lineRule="auto" w:line="360" w:before="0" w:after="0"/>
        <w:ind w:hanging="0" w:left="1134"/>
        <w:rPr>
          <w:sz w:val="22"/>
          <w:szCs w:val="22"/>
        </w:rPr>
      </w:pPr>
      <w:bookmarkStart w:id="6" w:name="_Ref113883338"/>
      <w:bookmarkStart w:id="7" w:name="_Ref113883003"/>
      <w:bookmarkEnd w:id="6"/>
      <w:r>
        <w:rPr>
          <w:sz w:val="22"/>
          <w:szCs w:val="22"/>
        </w:rPr>
        <w:t>pessoa física ou jurídica que se encontre, ao tempo da licitação, impossibilitada de participar da licitação em decorrência de sanção que lhe foi imposta;</w:t>
      </w:r>
      <w:bookmarkEnd w:id="7"/>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2"/>
        </w:numPr>
        <w:tabs>
          <w:tab w:val="left" w:pos="0" w:leader="none"/>
          <w:tab w:val="left" w:pos="1134" w:leader="none"/>
        </w:tabs>
        <w:spacing w:lineRule="auto" w:line="360" w:before="0" w:after="0"/>
        <w:ind w:hanging="0" w:left="1134"/>
        <w:rPr>
          <w:sz w:val="22"/>
          <w:szCs w:val="22"/>
        </w:rPr>
      </w:pPr>
      <w:bookmarkStart w:id="8" w:name="_Ref113883579"/>
      <w:r>
        <w:rPr>
          <w:sz w:val="22"/>
          <w:szCs w:val="22"/>
        </w:rPr>
        <w:t>empresas controladoras, controladas ou coligadas, nos termos da Lei nº 6.404, de 15 de dezembro de 1976, concorrendo entre si;</w:t>
      </w:r>
      <w:bookmarkEnd w:id="8"/>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2"/>
        </w:numPr>
        <w:tabs>
          <w:tab w:val="left" w:pos="0" w:leader="none"/>
          <w:tab w:val="left" w:pos="1134" w:leader="none"/>
        </w:tabs>
        <w:spacing w:lineRule="auto" w:line="360" w:before="0" w:after="0"/>
        <w:ind w:hanging="0" w:left="1134"/>
        <w:rPr>
          <w:sz w:val="22"/>
          <w:szCs w:val="22"/>
        </w:rPr>
      </w:pPr>
      <w:bookmarkStart w:id="9" w:name="_Ref113962336"/>
      <w:r>
        <w:rPr>
          <w:sz w:val="22"/>
          <w:szCs w:val="22"/>
        </w:rPr>
        <w:t>agente público do órgão ou entidade licitante;</w:t>
      </w:r>
      <w:bookmarkEnd w:id="9"/>
    </w:p>
    <w:p>
      <w:pPr>
        <w:pStyle w:val="Normal"/>
        <w:numPr>
          <w:ilvl w:val="2"/>
          <w:numId w:val="2"/>
        </w:numPr>
        <w:tabs>
          <w:tab w:val="clear" w:pos="709"/>
          <w:tab w:val="left" w:pos="1134" w:leader="none"/>
        </w:tabs>
        <w:suppressAutoHyphens w:val="false"/>
        <w:snapToGrid w:val="false"/>
        <w:spacing w:lineRule="auto" w:line="360"/>
        <w:ind w:hanging="0" w:left="1134"/>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10" w:name="art14§2"/>
      <w:bookmarkStart w:id="11" w:name="art14§4"/>
      <w:bookmarkStart w:id="12" w:name="art14§2"/>
      <w:bookmarkStart w:id="13" w:name="art14§4"/>
      <w:bookmarkEnd w:id="12"/>
      <w:bookmarkEnd w:id="13"/>
    </w:p>
    <w:p>
      <w:pPr>
        <w:pStyle w:val="Nivel01"/>
        <w:numPr>
          <w:ilvl w:val="0"/>
          <w:numId w:val="2"/>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2"/>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2"/>
        </w:numPr>
        <w:spacing w:lineRule="auto" w:line="360" w:before="0" w:after="0"/>
        <w:ind w:hanging="0" w:left="0"/>
        <w:rPr>
          <w:sz w:val="22"/>
          <w:szCs w:val="22"/>
        </w:rPr>
      </w:pPr>
      <w:bookmarkStart w:id="14" w:name="_Ref113886867"/>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pPr>
        <w:pStyle w:val="Nivel2"/>
        <w:numPr>
          <w:ilvl w:val="1"/>
          <w:numId w:val="2"/>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2"/>
        </w:numPr>
        <w:spacing w:lineRule="auto" w:line="360" w:before="0" w:after="0"/>
        <w:ind w:hanging="0" w:left="0"/>
        <w:rPr>
          <w:sz w:val="22"/>
          <w:szCs w:val="22"/>
        </w:rPr>
      </w:pPr>
      <w:bookmarkStart w:id="15"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5"/>
    </w:p>
    <w:p>
      <w:pPr>
        <w:pStyle w:val="Nivel2"/>
        <w:numPr>
          <w:ilvl w:val="1"/>
          <w:numId w:val="2"/>
        </w:numPr>
        <w:spacing w:lineRule="auto" w:line="360" w:before="0" w:after="0"/>
        <w:ind w:hanging="0" w:left="0"/>
        <w:rPr>
          <w:sz w:val="22"/>
          <w:szCs w:val="22"/>
        </w:rPr>
      </w:pPr>
      <w:bookmarkStart w:id="16" w:name="_Ref113968921"/>
      <w:r>
        <w:rPr>
          <w:rFonts w:eastAsia="Times New Roman"/>
          <w:sz w:val="22"/>
          <w:szCs w:val="22"/>
        </w:rPr>
        <w:t>No cadastramento da proposta inicial, o licitante declarará, em campo próprio do sistema, que:</w:t>
      </w:r>
      <w:bookmarkEnd w:id="16"/>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2"/>
        </w:numPr>
        <w:spacing w:lineRule="auto" w:line="360" w:before="0" w:after="0"/>
        <w:ind w:hanging="0" w:left="0"/>
        <w:rPr>
          <w:sz w:val="22"/>
          <w:szCs w:val="22"/>
        </w:rPr>
      </w:pPr>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2"/>
        </w:numPr>
        <w:spacing w:lineRule="auto" w:line="360" w:before="0" w:after="0"/>
        <w:ind w:hanging="0" w:left="0"/>
        <w:rPr>
          <w:sz w:val="22"/>
          <w:szCs w:val="22"/>
        </w:rPr>
      </w:pPr>
      <w:bookmarkStart w:id="17"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7"/>
      <w:r>
        <w:rPr>
          <w:sz w:val="22"/>
          <w:szCs w:val="22"/>
        </w:rPr>
        <w:t xml:space="preserve"> </w:t>
      </w:r>
    </w:p>
    <w:p>
      <w:pPr>
        <w:pStyle w:val="Nivel2"/>
        <w:numPr>
          <w:ilvl w:val="1"/>
          <w:numId w:val="2"/>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2"/>
        </w:numPr>
        <w:spacing w:lineRule="auto" w:line="360" w:before="0" w:after="0"/>
        <w:ind w:hanging="0" w:left="0"/>
        <w:rPr>
          <w:sz w:val="22"/>
          <w:szCs w:val="22"/>
        </w:rPr>
      </w:pPr>
      <w:r>
        <w:rPr>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pPr>
        <w:pStyle w:val="Nivel2"/>
        <w:numPr>
          <w:ilvl w:val="1"/>
          <w:numId w:val="2"/>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2"/>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2"/>
        </w:numPr>
        <w:spacing w:lineRule="auto" w:line="360" w:before="0" w:after="0"/>
        <w:ind w:hanging="0" w:left="0"/>
        <w:rPr>
          <w:sz w:val="22"/>
          <w:szCs w:val="22"/>
        </w:rPr>
      </w:pPr>
      <w:bookmarkStart w:id="18" w:name="_Ref116992247"/>
      <w:r>
        <w:rPr>
          <w:sz w:val="22"/>
          <w:szCs w:val="22"/>
        </w:rPr>
        <w:t>Desde que disponibilizada a funcionalidade no sistema, o licitante poderá parametrizar o seu valor final mínimo ou o seu percentual de desconto máximo quando do cadastramento da proposta.</w:t>
      </w:r>
      <w:bookmarkEnd w:id="18"/>
      <w:r>
        <w:rPr>
          <w:sz w:val="22"/>
          <w:szCs w:val="22"/>
        </w:rPr>
        <w:t xml:space="preserve"> </w:t>
      </w:r>
    </w:p>
    <w:p>
      <w:pPr>
        <w:pStyle w:val="Nivel2"/>
        <w:numPr>
          <w:ilvl w:val="1"/>
          <w:numId w:val="2"/>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2"/>
        </w:numPr>
        <w:spacing w:lineRule="auto" w:line="360" w:before="0" w:after="0"/>
        <w:ind w:hanging="0" w:left="0"/>
        <w:rPr>
          <w:sz w:val="22"/>
          <w:szCs w:val="22"/>
        </w:rPr>
      </w:pPr>
      <w:r>
        <w:rPr>
          <w:sz w:val="22"/>
          <w:szCs w:val="22"/>
        </w:rPr>
        <w:t>valor superior a lance já registrado pelo fornecedor no sistema, quando adotado o critério de julgamento por menor preço; e</w:t>
      </w:r>
    </w:p>
    <w:p>
      <w:pPr>
        <w:pStyle w:val="Nivel3"/>
        <w:numPr>
          <w:ilvl w:val="2"/>
          <w:numId w:val="2"/>
        </w:numPr>
        <w:spacing w:lineRule="auto" w:line="360" w:before="0" w:after="0"/>
        <w:ind w:hanging="0" w:left="0"/>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2"/>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2"/>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2"/>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2"/>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2"/>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2"/>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jc w:val="both"/>
        <w:rPr>
          <w:rFonts w:ascii="Arial" w:hAnsi="Arial" w:cs="Arial"/>
          <w:sz w:val="22"/>
          <w:szCs w:val="22"/>
        </w:rPr>
      </w:pPr>
      <w:r>
        <w:rPr>
          <w:rFonts w:cs="Arial" w:ascii="Arial" w:hAnsi="Arial"/>
          <w:sz w:val="22"/>
          <w:szCs w:val="22"/>
        </w:rPr>
        <w:tab/>
      </w:r>
    </w:p>
    <w:p>
      <w:pPr>
        <w:pStyle w:val="Nivel01"/>
        <w:numPr>
          <w:ilvl w:val="0"/>
          <w:numId w:val="2"/>
        </w:numPr>
        <w:spacing w:lineRule="auto" w:line="360" w:before="0" w:after="0"/>
        <w:ind w:hanging="0" w:left="0"/>
        <w:rPr>
          <w:sz w:val="22"/>
          <w:szCs w:val="22"/>
        </w:rPr>
      </w:pPr>
      <w:r>
        <w:rPr>
          <w:sz w:val="22"/>
          <w:szCs w:val="22"/>
        </w:rPr>
        <w:t>DO PREENCHIMENTO DA PROPOSTA</w:t>
      </w:r>
    </w:p>
    <w:p>
      <w:pPr>
        <w:pStyle w:val="Nivel2"/>
        <w:numPr>
          <w:ilvl w:val="1"/>
          <w:numId w:val="2"/>
        </w:numPr>
        <w:spacing w:lineRule="auto" w:line="360" w:before="0" w:after="0"/>
        <w:ind w:hanging="0" w:left="0"/>
        <w:rPr>
          <w:sz w:val="22"/>
          <w:szCs w:val="22"/>
        </w:rPr>
      </w:pPr>
      <w:r>
        <w:rPr>
          <w:sz w:val="22"/>
          <w:szCs w:val="22"/>
        </w:rPr>
        <w:t xml:space="preserve">O licitante deverá enviar sua proposta mediante o preenchimento, no sistema eletrônico, dos seguintes campos: </w:t>
      </w:r>
      <w:r>
        <w:rPr>
          <w:b/>
          <w:bCs/>
          <w:sz w:val="22"/>
          <w:szCs w:val="22"/>
        </w:rPr>
        <w:t>VALOR TOTAL, obtido através do maior desconto percentual ofertado sobre o valor das tarifas públicas</w:t>
      </w:r>
      <w:r>
        <w:rPr>
          <w:sz w:val="22"/>
          <w:szCs w:val="22"/>
        </w:rPr>
        <w:t xml:space="preserve"> </w:t>
      </w:r>
    </w:p>
    <w:p>
      <w:pPr>
        <w:pStyle w:val="Nivel2"/>
        <w:numPr>
          <w:ilvl w:val="1"/>
          <w:numId w:val="2"/>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2"/>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2"/>
        </w:numPr>
        <w:spacing w:lineRule="auto" w:line="360" w:before="0" w:after="0"/>
        <w:ind w:hanging="0" w:left="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2"/>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w:t>
      </w:r>
    </w:p>
    <w:p>
      <w:pPr>
        <w:pStyle w:val="Nivel2"/>
        <w:numPr>
          <w:ilvl w:val="1"/>
          <w:numId w:val="2"/>
        </w:numPr>
        <w:spacing w:lineRule="auto" w:line="360" w:before="0" w:after="0"/>
        <w:ind w:hanging="0" w:left="0"/>
        <w:rPr>
          <w:sz w:val="22"/>
          <w:szCs w:val="22"/>
        </w:rPr>
      </w:pPr>
      <w:r>
        <w:rPr>
          <w:sz w:val="22"/>
          <w:szCs w:val="22"/>
        </w:rPr>
        <w:t>Independentemente do percentual de tributo inserido na planilha, no pagamento serão retidos na fonte os percentuais estabelecidos na legislação vigente.</w:t>
      </w:r>
    </w:p>
    <w:p>
      <w:pPr>
        <w:pStyle w:val="Nivel2"/>
        <w:numPr>
          <w:ilvl w:val="1"/>
          <w:numId w:val="2"/>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2"/>
        </w:numPr>
        <w:spacing w:lineRule="auto" w:line="360" w:before="0" w:after="0"/>
        <w:ind w:hanging="0" w:left="0"/>
        <w:rPr>
          <w:sz w:val="22"/>
          <w:szCs w:val="22"/>
        </w:rPr>
      </w:pPr>
      <w:r>
        <w:rPr>
          <w:sz w:val="22"/>
          <w:szCs w:val="22"/>
        </w:rPr>
        <w:t xml:space="preserve">O prazo de validade da proposta é de </w:t>
      </w:r>
      <w:r>
        <w:rPr>
          <w:b/>
          <w:bCs/>
          <w:sz w:val="22"/>
          <w:szCs w:val="22"/>
        </w:rPr>
        <w:t>90 (noventa)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2"/>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bookmarkStart w:id="19" w:name="_Hlk114646655"/>
      <w:r>
        <w:rPr>
          <w:sz w:val="22"/>
          <w:szCs w:val="22"/>
        </w:rPr>
        <w:t>EXIGÊNCIAS DE HABILITAÇÃO</w:t>
      </w:r>
    </w:p>
    <w:p>
      <w:pPr>
        <w:pStyle w:val="Normal"/>
        <w:spacing w:lineRule="auto" w:line="360"/>
        <w:rPr>
          <w:rFonts w:ascii="Arial" w:hAnsi="Arial" w:cs="Arial"/>
          <w:sz w:val="22"/>
          <w:szCs w:val="22"/>
        </w:rPr>
      </w:pPr>
      <w:r>
        <w:rPr>
          <w:rFonts w:eastAsia="MS Mincho"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cs="Arial"/>
          <w:sz w:val="22"/>
          <w:szCs w:val="22"/>
        </w:rPr>
      </w:pPr>
      <w:r>
        <w:rPr>
          <w:rFonts w:eastAsia="MS Mincho" w:cs="Arial" w:ascii="Arial" w:hAnsi="Arial"/>
          <w:b/>
          <w:bCs/>
          <w:kern w:val="0"/>
          <w:sz w:val="22"/>
          <w:szCs w:val="22"/>
          <w:lang w:eastAsia="pt-BR"/>
        </w:rPr>
        <w:t>5.1 - HABILITAÇÃO JURÍDICA</w:t>
      </w:r>
    </w:p>
    <w:p>
      <w:pPr>
        <w:pStyle w:val="Normal"/>
        <w:spacing w:lineRule="auto" w:line="360"/>
        <w:rPr>
          <w:rFonts w:ascii="Arial" w:hAnsi="Arial" w:cs="Arial"/>
          <w:sz w:val="22"/>
          <w:szCs w:val="22"/>
        </w:rPr>
      </w:pPr>
      <w:r>
        <w:rPr>
          <w:rFonts w:eastAsia="MS Mincho" w:cs="Arial" w:ascii="Arial" w:hAnsi="Arial"/>
          <w:kern w:val="0"/>
          <w:sz w:val="22"/>
          <w:szCs w:val="22"/>
          <w:lang w:eastAsia="pt-BR"/>
        </w:rPr>
        <w:t xml:space="preserve">a) </w:t>
      </w:r>
      <w:r>
        <w:rPr>
          <w:rFonts w:cs="Arial" w:ascii="Arial" w:hAnsi="Arial"/>
          <w:sz w:val="22"/>
          <w:szCs w:val="22"/>
          <w:u w:val="single"/>
        </w:rPr>
        <w:t>Empresário individual</w:t>
      </w:r>
      <w:r>
        <w:rPr>
          <w:rFonts w:cs="Arial" w:ascii="Arial" w:hAnsi="Arial"/>
          <w:sz w:val="22"/>
          <w:szCs w:val="22"/>
        </w:rPr>
        <w:t xml:space="preserve">: inscrição no </w:t>
      </w:r>
      <w:r>
        <w:rPr>
          <w:rFonts w:cs="Arial" w:ascii="Arial" w:hAnsi="Arial"/>
          <w:sz w:val="22"/>
          <w:szCs w:val="22"/>
          <w:u w:val="single"/>
        </w:rPr>
        <w:t>Registro</w:t>
      </w:r>
      <w:r>
        <w:rPr>
          <w:rFonts w:cs="Arial" w:ascii="Arial" w:hAnsi="Arial"/>
          <w:sz w:val="22"/>
          <w:szCs w:val="22"/>
        </w:rPr>
        <w:t xml:space="preserve">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rPr>
        <w:t xml:space="preserve">b) </w:t>
      </w: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11">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 xml:space="preserve">c) </w:t>
      </w: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spacing w:lineRule="auto" w:line="360"/>
        <w:jc w:val="both"/>
        <w:rPr>
          <w:rFonts w:ascii="Arial" w:hAnsi="Arial" w:cs="Arial"/>
          <w:sz w:val="22"/>
          <w:szCs w:val="22"/>
        </w:rPr>
      </w:pPr>
      <w:r>
        <w:rPr>
          <w:rFonts w:cs="Arial" w:ascii="Arial" w:hAnsi="Arial"/>
          <w:sz w:val="22"/>
          <w:szCs w:val="22"/>
        </w:rPr>
        <w:t xml:space="preserve">d) </w:t>
      </w: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spacing w:lineRule="auto" w:line="360"/>
        <w:jc w:val="both"/>
        <w:rPr>
          <w:rFonts w:ascii="Arial" w:hAnsi="Arial" w:cs="Arial"/>
          <w:sz w:val="22"/>
          <w:szCs w:val="22"/>
        </w:rPr>
      </w:pPr>
      <w:r>
        <w:rPr>
          <w:rFonts w:cs="Arial" w:ascii="Arial" w:hAnsi="Arial"/>
          <w:sz w:val="22"/>
          <w:szCs w:val="22"/>
        </w:rPr>
        <w:t xml:space="preserve">e) </w:t>
      </w: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spacing w:lineRule="auto" w:line="360"/>
        <w:jc w:val="both"/>
        <w:rPr>
          <w:rFonts w:ascii="Arial" w:hAnsi="Arial" w:cs="Arial"/>
          <w:sz w:val="22"/>
          <w:szCs w:val="22"/>
        </w:rPr>
      </w:pPr>
      <w:r>
        <w:rPr>
          <w:rFonts w:cs="Arial" w:ascii="Arial" w:hAnsi="Arial"/>
          <w:sz w:val="22"/>
          <w:szCs w:val="22"/>
        </w:rPr>
        <w:t xml:space="preserve">f) </w:t>
      </w: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spacing w:lineRule="auto" w:line="360"/>
        <w:jc w:val="both"/>
        <w:rPr>
          <w:rFonts w:ascii="Arial" w:hAnsi="Arial" w:cs="Arial"/>
          <w:sz w:val="22"/>
          <w:szCs w:val="22"/>
        </w:rPr>
      </w:pPr>
      <w:r>
        <w:rPr>
          <w:rFonts w:cs="Arial" w:ascii="Arial" w:hAnsi="Arial"/>
          <w:sz w:val="22"/>
          <w:szCs w:val="22"/>
        </w:rPr>
        <w:t xml:space="preserve">g) Os documentos apresentados deverão estar acompanhados de todas as alterações ou da consolidação respectiva. </w:t>
      </w:r>
    </w:p>
    <w:p>
      <w:pPr>
        <w:pStyle w:val="Normal"/>
        <w:spacing w:lineRule="auto" w:line="360"/>
        <w:rPr>
          <w:rFonts w:ascii="Arial" w:hAnsi="Arial" w:cs="Arial"/>
          <w:sz w:val="22"/>
          <w:szCs w:val="22"/>
        </w:rPr>
      </w:pPr>
      <w:r>
        <w:rPr>
          <w:rFonts w:eastAsia="MS Mincho" w:cs="Arial" w:ascii="Arial" w:hAnsi="Arial"/>
          <w:b/>
          <w:bCs/>
          <w:kern w:val="0"/>
          <w:sz w:val="22"/>
          <w:szCs w:val="22"/>
          <w:lang w:eastAsia="pt-BR"/>
        </w:rPr>
        <w:t>5.2 - HABILITAÇÃO FISCAL, SOCIAL e TRABALHISTA</w:t>
      </w:r>
    </w:p>
    <w:p>
      <w:pPr>
        <w:pStyle w:val="Normal"/>
        <w:spacing w:lineRule="auto" w:line="360"/>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jc w:val="both"/>
        <w:rPr>
          <w:rFonts w:ascii="Arial" w:hAnsi="Arial" w:cs="Arial"/>
          <w:color w:val="000000"/>
          <w:sz w:val="22"/>
          <w:szCs w:val="22"/>
        </w:rPr>
      </w:pPr>
      <w:r>
        <w:rPr>
          <w:rFonts w:cs="Arial" w:ascii="Arial" w:hAnsi="Arial"/>
          <w:sz w:val="22"/>
          <w:szCs w:val="22"/>
        </w:rPr>
        <w:t xml:space="preserve">f) As microempresas e empresas de pequeno porte, por ocasião da participação neste certame, deverão apresentar toda a documentação exigida nas alíneas “a”, “b”, “c”, d” e “e” deste item, </w:t>
      </w:r>
      <w:r>
        <w:rPr>
          <w:rFonts w:cs="Arial" w:ascii="Arial" w:hAnsi="Arial"/>
          <w:color w:val="000000"/>
          <w:sz w:val="22"/>
          <w:szCs w:val="22"/>
        </w:rPr>
        <w:t>mesmo que os documentos exigidos em tais itens apresentem ressalvas ou restrições.</w:t>
      </w:r>
    </w:p>
    <w:p>
      <w:pPr>
        <w:pStyle w:val="Normal"/>
        <w:spacing w:lineRule="auto" w:line="360"/>
        <w:jc w:val="both"/>
        <w:rPr>
          <w:rFonts w:ascii="Arial" w:hAnsi="Arial" w:cs="Arial"/>
          <w:color w:val="000000"/>
          <w:sz w:val="22"/>
          <w:szCs w:val="22"/>
        </w:rPr>
      </w:pPr>
      <w:r>
        <w:rPr>
          <w:rFonts w:cs="Arial" w:ascii="Arial" w:hAnsi="Arial"/>
          <w:b/>
          <w:color w:val="000000"/>
          <w:sz w:val="22"/>
          <w:szCs w:val="22"/>
        </w:rPr>
        <w:t>5.3 - QUALIFICAÇÃO ECONÔMICA-FINANCEIRA</w:t>
      </w:r>
    </w:p>
    <w:p>
      <w:pPr>
        <w:pStyle w:val="Normal"/>
        <w:spacing w:lineRule="auto" w:line="360"/>
        <w:jc w:val="both"/>
        <w:rPr>
          <w:rFonts w:ascii="Arial" w:hAnsi="Arial" w:cs="Arial"/>
          <w:color w:val="000000"/>
          <w:sz w:val="22"/>
          <w:szCs w:val="22"/>
        </w:rPr>
      </w:pPr>
      <w:bookmarkStart w:id="20" w:name="_Hlk209085050"/>
      <w:r>
        <w:rPr>
          <w:rFonts w:cs="Arial" w:ascii="Arial" w:hAnsi="Arial"/>
          <w:color w:val="000000"/>
          <w:sz w:val="22"/>
          <w:szCs w:val="22"/>
        </w:rPr>
        <w:t>a) Certidão Negativa de Falência expedida pelo distribuidor da sede da pessoa jurídica.</w:t>
      </w:r>
      <w:bookmarkEnd w:id="20"/>
    </w:p>
    <w:p>
      <w:pPr>
        <w:pStyle w:val="Normal"/>
        <w:spacing w:lineRule="auto" w:line="360"/>
        <w:jc w:val="both"/>
        <w:rPr>
          <w:rFonts w:ascii="Arial" w:hAnsi="Arial" w:cs="Arial"/>
          <w:b/>
          <w:bCs/>
          <w:color w:val="000000"/>
          <w:sz w:val="22"/>
          <w:szCs w:val="22"/>
        </w:rPr>
      </w:pPr>
      <w:r>
        <w:rPr>
          <w:rFonts w:cs="Arial" w:ascii="Arial" w:hAnsi="Arial"/>
          <w:b/>
          <w:bCs/>
          <w:color w:val="000000"/>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color w:val="000000"/>
          <w:sz w:val="22"/>
          <w:szCs w:val="22"/>
        </w:rPr>
        <w:t>a) Comprovação de aptidão para desempenho de atividade pertinente com o objeto da licitação,</w:t>
      </w:r>
      <w:r>
        <w:rPr>
          <w:rFonts w:cs="Arial" w:ascii="Arial" w:hAnsi="Arial"/>
          <w:sz w:val="22"/>
          <w:szCs w:val="22"/>
        </w:rPr>
        <w:t xml:space="preserve">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 que contemple os serviços de operação de pátio de estacionamento e/ou guarda de veículo e/ou depósito de veículos automotores.</w:t>
      </w:r>
    </w:p>
    <w:p>
      <w:pPr>
        <w:pStyle w:val="Normal"/>
        <w:spacing w:lineRule="auto" w:line="360"/>
        <w:jc w:val="both"/>
        <w:rPr>
          <w:rFonts w:ascii="Arial" w:hAnsi="Arial" w:cs="Arial"/>
          <w:sz w:val="22"/>
          <w:szCs w:val="22"/>
        </w:rPr>
      </w:pPr>
      <w:r>
        <w:rPr>
          <w:rFonts w:cs="Arial" w:ascii="Arial" w:hAnsi="Arial"/>
          <w:b/>
          <w:sz w:val="22"/>
          <w:szCs w:val="22"/>
          <w:u w:val="single"/>
        </w:rPr>
        <w:t>5.5 - OUTRAS COMPROVAÇÕES</w:t>
      </w:r>
    </w:p>
    <w:p>
      <w:pPr>
        <w:pStyle w:val="Normal"/>
        <w:spacing w:lineRule="auto" w:line="360"/>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jc w:val="both"/>
        <w:rPr>
          <w:rFonts w:ascii="Arial" w:hAnsi="Arial" w:cs="Arial"/>
          <w:sz w:val="22"/>
          <w:szCs w:val="22"/>
        </w:rPr>
      </w:pPr>
      <w:r>
        <w:rPr>
          <w:rFonts w:cs="Arial" w:ascii="Arial" w:hAnsi="Arial"/>
          <w:b/>
          <w:sz w:val="22"/>
          <w:szCs w:val="22"/>
          <w:u w:val="single"/>
        </w:rPr>
        <w:t>5.6 - DISPOSIÇÕES GERAIS DA HABILITAÇÃO</w:t>
      </w:r>
    </w:p>
    <w:p>
      <w:pPr>
        <w:pStyle w:val="Normal"/>
        <w:spacing w:lineRule="auto" w:line="360"/>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ivel01"/>
        <w:numPr>
          <w:ilvl w:val="0"/>
          <w:numId w:val="0"/>
        </w:numPr>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2"/>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2"/>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2"/>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2"/>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2"/>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2"/>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2"/>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2"/>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2"/>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2"/>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2"/>
        </w:numPr>
        <w:spacing w:lineRule="auto" w:line="360" w:before="0" w:after="0"/>
        <w:ind w:hanging="0" w:left="0"/>
        <w:rPr>
          <w:sz w:val="22"/>
          <w:szCs w:val="22"/>
        </w:rPr>
      </w:pPr>
      <w:r>
        <w:rPr>
          <w:sz w:val="22"/>
          <w:szCs w:val="22"/>
        </w:rPr>
        <w:t xml:space="preserve">O licitante somente poderá oferecer lance </w:t>
      </w:r>
      <w:r>
        <w:rPr>
          <w:iCs/>
          <w:sz w:val="22"/>
          <w:szCs w:val="22"/>
        </w:rPr>
        <w:t xml:space="preserve">de valor inferior ao último por ele ofertado e registrado pelo sistema. </w:t>
      </w:r>
    </w:p>
    <w:p>
      <w:pPr>
        <w:pStyle w:val="Nivel2"/>
        <w:numPr>
          <w:ilvl w:val="1"/>
          <w:numId w:val="2"/>
        </w:numPr>
        <w:spacing w:lineRule="auto" w:line="360" w:before="0" w:after="0"/>
        <w:ind w:hanging="0" w:left="0"/>
        <w:rPr>
          <w:sz w:val="22"/>
          <w:szCs w:val="22"/>
        </w:rPr>
      </w:pPr>
      <w:r>
        <w:rPr>
          <w:iCs/>
          <w:sz w:val="22"/>
          <w:szCs w:val="22"/>
        </w:rPr>
        <w:t>O procedimento seguirá de acordo com o modo de disputa adotado.</w:t>
      </w:r>
    </w:p>
    <w:p>
      <w:pPr>
        <w:pStyle w:val="Nivel2"/>
        <w:numPr>
          <w:ilvl w:val="1"/>
          <w:numId w:val="2"/>
        </w:numPr>
        <w:spacing w:lineRule="auto" w:line="360" w:before="0" w:after="0"/>
        <w:ind w:hanging="0" w:left="0"/>
        <w:rPr>
          <w:sz w:val="22"/>
          <w:szCs w:val="22"/>
        </w:rPr>
      </w:pPr>
      <w:bookmarkStart w:id="21" w:name="_Hlk113697759"/>
      <w:bookmarkEnd w:id="21"/>
      <w:r>
        <w:rPr>
          <w:sz w:val="22"/>
          <w:szCs w:val="22"/>
        </w:rPr>
        <w:t>Será adotado para o envio de lances no pregão eletrônico o modo de disputa “aberto”, os licitantes apresentarão lances públicos e sucessivos, com prorrogações.</w:t>
      </w:r>
    </w:p>
    <w:p>
      <w:pPr>
        <w:pStyle w:val="Nivel3"/>
        <w:numPr>
          <w:ilvl w:val="2"/>
          <w:numId w:val="2"/>
        </w:numPr>
        <w:spacing w:lineRule="auto" w:line="360" w:before="0" w:after="0"/>
        <w:ind w:hanging="0" w:left="1276"/>
        <w:rPr>
          <w:sz w:val="22"/>
          <w:szCs w:val="22"/>
        </w:rPr>
      </w:pPr>
      <w:bookmarkStart w:id="22" w:name="_Hlk113697759"/>
      <w:bookmarkStart w:id="23" w:name="_Hlk113697816"/>
      <w:bookmarkEnd w:id="2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2"/>
        </w:numPr>
        <w:spacing w:lineRule="auto" w:line="360" w:before="0" w:after="0"/>
        <w:ind w:hanging="0" w:left="1276"/>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2"/>
        </w:numPr>
        <w:spacing w:lineRule="auto" w:line="360" w:before="0" w:after="0"/>
        <w:ind w:hanging="0" w:left="1276"/>
        <w:rPr>
          <w:sz w:val="22"/>
          <w:szCs w:val="22"/>
        </w:rPr>
      </w:pPr>
      <w:bookmarkStart w:id="24" w:name="_Hlk113697816"/>
      <w:r>
        <w:rPr>
          <w:sz w:val="22"/>
          <w:szCs w:val="22"/>
        </w:rPr>
        <w:t>Não havendo novos lances na forma estabelecida nos itens anteriores, a sessão pública encerrar-se-á automaticamente, e o sistema ordenará e divulgará os lances conforme a ordem final de classificação.</w:t>
      </w:r>
      <w:bookmarkEnd w:id="24"/>
    </w:p>
    <w:p>
      <w:pPr>
        <w:pStyle w:val="Nivel2"/>
        <w:numPr>
          <w:ilvl w:val="1"/>
          <w:numId w:val="2"/>
        </w:numPr>
        <w:spacing w:lineRule="auto" w:line="360" w:before="0" w:after="0"/>
        <w:ind w:hanging="0" w:left="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2"/>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2"/>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2"/>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2"/>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2"/>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2"/>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2">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2"/>
        </w:numPr>
        <w:spacing w:lineRule="auto" w:line="360" w:before="0" w:after="0"/>
        <w:ind w:hanging="0" w:left="1134"/>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2"/>
        </w:numPr>
        <w:spacing w:lineRule="auto" w:line="360" w:before="0" w:after="0"/>
        <w:ind w:hanging="0" w:left="1134"/>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2"/>
        </w:numPr>
        <w:spacing w:lineRule="auto" w:line="360" w:before="0" w:after="0"/>
        <w:ind w:hanging="0" w:left="1134"/>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2"/>
        </w:numPr>
        <w:spacing w:lineRule="auto" w:line="360" w:before="0" w:after="0"/>
        <w:ind w:hanging="0" w:left="1134"/>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2"/>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2"/>
        </w:numPr>
        <w:tabs>
          <w:tab w:val="left" w:pos="0" w:leader="none"/>
          <w:tab w:val="left" w:pos="1134" w:leader="none"/>
        </w:tabs>
        <w:spacing w:lineRule="auto" w:line="360" w:before="0" w:after="0"/>
        <w:ind w:hanging="0" w:left="1134"/>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2"/>
        </w:numPr>
        <w:tabs>
          <w:tab w:val="left" w:pos="0" w:leader="none"/>
          <w:tab w:val="left" w:pos="1134" w:leader="none"/>
        </w:tabs>
        <w:spacing w:lineRule="auto" w:line="360" w:before="0" w:after="0"/>
        <w:ind w:hanging="0" w:left="1134"/>
        <w:rPr>
          <w:sz w:val="22"/>
          <w:szCs w:val="22"/>
        </w:rPr>
      </w:pPr>
      <w:r>
        <w:rPr>
          <w:rFonts w:eastAsia="Times New Roman"/>
          <w:sz w:val="22"/>
          <w:szCs w:val="22"/>
        </w:rPr>
        <w:t>O resultado da negociação será divulgado a todos os licitantes e anexado aos autos do processo licitatório</w:t>
      </w:r>
    </w:p>
    <w:p>
      <w:pPr>
        <w:pStyle w:val="Nivel3"/>
        <w:numPr>
          <w:ilvl w:val="2"/>
          <w:numId w:val="2"/>
        </w:numPr>
        <w:tabs>
          <w:tab w:val="left" w:pos="0" w:leader="none"/>
          <w:tab w:val="left" w:pos="1134" w:leader="none"/>
        </w:tabs>
        <w:spacing w:lineRule="auto" w:line="360" w:before="0" w:after="0"/>
        <w:ind w:hanging="0" w:left="1134"/>
        <w:rPr>
          <w:sz w:val="22"/>
          <w:szCs w:val="22"/>
        </w:rPr>
      </w:pPr>
      <w:bookmarkStart w:id="25" w:name="_Hlk114646655"/>
      <w:r>
        <w:rPr>
          <w:rFonts w:eastAsia="Times New Roman"/>
          <w:sz w:val="22"/>
          <w:szCs w:val="22"/>
        </w:rPr>
        <w:t>Após a negociação do preço, o Pregoeiro iniciará a fase de aceitação e julgamento da proposta.</w:t>
      </w:r>
      <w:bookmarkEnd w:id="25"/>
    </w:p>
    <w:p>
      <w:pPr>
        <w:pStyle w:val="Nivel3"/>
        <w:numPr>
          <w:ilvl w:val="2"/>
          <w:numId w:val="2"/>
        </w:numPr>
        <w:spacing w:lineRule="auto" w:line="360" w:before="0" w:after="0"/>
        <w:ind w:hanging="0" w:left="1134"/>
        <w:rPr>
          <w:color w:val="auto"/>
          <w:sz w:val="22"/>
          <w:szCs w:val="22"/>
        </w:rPr>
      </w:pPr>
      <w:bookmarkStart w:id="26" w:name="_Hlk204237198"/>
      <w:bookmarkEnd w:id="26"/>
      <w:r>
        <w:rPr>
          <w:rFonts w:eastAsia="Times New Roman"/>
          <w:sz w:val="22"/>
          <w:szCs w:val="22"/>
        </w:rPr>
        <w:t xml:space="preserve">Se a mesma licitante vencer a Cota Reservada do item e a Cota Principal </w:t>
      </w:r>
      <w:r>
        <w:rPr>
          <w:rFonts w:eastAsia="Times New Roman"/>
          <w:color w:val="auto"/>
          <w:sz w:val="22"/>
          <w:szCs w:val="22"/>
        </w:rPr>
        <w:t>do Item, a contratação deverá ocorrer pelo menor preço ofertado pela empresa.</w:t>
      </w:r>
    </w:p>
    <w:p>
      <w:pPr>
        <w:pStyle w:val="ListParagraph"/>
        <w:widowControl w:val="false"/>
        <w:suppressAutoHyphens w:val="false"/>
        <w:spacing w:lineRule="auto" w:line="360"/>
        <w:ind w:left="0"/>
        <w:jc w:val="both"/>
        <w:rPr>
          <w:rFonts w:ascii="Arial" w:hAnsi="Arial" w:cs="Arial"/>
          <w:sz w:val="22"/>
          <w:szCs w:val="22"/>
        </w:rPr>
      </w:pPr>
      <w:bookmarkStart w:id="27" w:name="_Hlk204237198"/>
      <w:bookmarkStart w:id="28" w:name="_Hlk204237234"/>
      <w:bookmarkEnd w:id="27"/>
      <w:r>
        <w:rPr>
          <w:rFonts w:cs="Arial" w:ascii="Arial" w:hAnsi="Arial"/>
          <w:sz w:val="22"/>
          <w:szCs w:val="22"/>
        </w:rPr>
        <w:t>6.19 - Havendo empate entre propostas ou lances, o critério de desempate será aquele previsto no art. 60 da Lei nº 14.133, de 2021, nesta ordem: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disputa final, hipótese em que os licitantes empatados poderão apresentar nova proposta em ato contínuo à classificação;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desenvolvimento pelo licitante de ações de equidade entre homens e mulheres no ambiente de trabalho, conforme regulamento;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desenvolvimento pelo licitante de programa de integridade (compliance), conforme orientações dos órgãos de controle. </w:t>
      </w:r>
    </w:p>
    <w:p>
      <w:pPr>
        <w:pStyle w:val="ListParagraph"/>
        <w:spacing w:lineRule="auto" w:line="360"/>
        <w:ind w:left="0" w:right="150"/>
        <w:rPr>
          <w:rFonts w:ascii="Arial" w:hAnsi="Arial" w:cs="Arial"/>
          <w:sz w:val="22"/>
          <w:szCs w:val="22"/>
        </w:rPr>
      </w:pPr>
      <w:r>
        <w:rPr>
          <w:rFonts w:cs="Arial" w:ascii="Arial" w:hAnsi="Arial"/>
          <w:sz w:val="22"/>
          <w:szCs w:val="22"/>
        </w:rPr>
        <w:t> </w:t>
      </w:r>
      <w:r>
        <w:rPr>
          <w:rFonts w:cs="Arial" w:ascii="Arial" w:hAnsi="Arial"/>
          <w:sz w:val="22"/>
          <w:szCs w:val="22"/>
        </w:rPr>
        <w:t>6.20 - Persistindo o empate, será assegurada preferência, sucessivamente, aos bens e serviços produzidos ou prestados por: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brasileiras;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que invistam em pesquisa e no desenvolvimento de tecnologia no País;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que comprovem a prática de mitigação, nos termos da Lei nº 12.187, de 29 de dezembro de 2009.  </w:t>
      </w:r>
    </w:p>
    <w:p>
      <w:pPr>
        <w:pStyle w:val="ListParagraph"/>
        <w:widowControl w:val="false"/>
        <w:suppressAutoHyphens w:val="false"/>
        <w:spacing w:lineRule="auto" w:line="360"/>
        <w:ind w:left="0"/>
        <w:jc w:val="both"/>
        <w:rPr>
          <w:rFonts w:ascii="Arial" w:hAnsi="Arial" w:cs="Arial"/>
          <w:sz w:val="22"/>
          <w:szCs w:val="22"/>
          <w:highlight w:val="yellow"/>
        </w:rPr>
      </w:pPr>
      <w:bookmarkStart w:id="29" w:name="_Hlk204237234"/>
      <w:r>
        <w:rPr>
          <w:rFonts w:cs="Arial" w:ascii="Arial" w:hAnsi="Arial"/>
          <w:sz w:val="22"/>
          <w:szCs w:val="22"/>
        </w:rPr>
        <w:t xml:space="preserve">6.21 Persistindo o empate após a aplicação dos critérios estabelecidos no artigo 60 da Lei nº 14.133, de 2021, poderá ser aplicado sorteio conforme disposto no artigo 28 da Instrução Normativa SEGES/MGI Nº 79, de 12 de setembro de 2024. </w:t>
      </w:r>
      <w:bookmarkEnd w:id="29"/>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2"/>
        </w:numPr>
        <w:spacing w:lineRule="auto" w:line="360" w:before="0" w:after="0"/>
        <w:ind w:hanging="0" w:left="0"/>
        <w:rPr>
          <w:sz w:val="22"/>
          <w:szCs w:val="22"/>
        </w:rPr>
      </w:pPr>
      <w:bookmarkStart w:id="30" w:name="_Hlk82473550"/>
      <w:r>
        <w:rPr>
          <w:sz w:val="22"/>
          <w:szCs w:val="22"/>
        </w:rPr>
        <w:t>DA FASE DE JULGAMENTO</w:t>
      </w:r>
    </w:p>
    <w:p>
      <w:pPr>
        <w:pStyle w:val="Nivel2"/>
        <w:numPr>
          <w:ilvl w:val="1"/>
          <w:numId w:val="2"/>
        </w:numPr>
        <w:spacing w:lineRule="auto" w:line="360" w:before="0" w:after="0"/>
        <w:ind w:hanging="0" w:left="0"/>
        <w:rPr>
          <w:sz w:val="22"/>
          <w:szCs w:val="22"/>
        </w:rPr>
      </w:pPr>
      <w:bookmarkStart w:id="31"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2.8</w:t>
      </w:r>
      <w:r>
        <w:rPr>
          <w:sz w:val="22"/>
          <w:szCs w:val="22"/>
          <w:color w:val="auto"/>
        </w:rPr>
        <w:fldChar w:fldCharType="end"/>
      </w:r>
      <w:r>
        <w:rPr>
          <w:color w:val="auto"/>
          <w:sz w:val="22"/>
          <w:szCs w:val="22"/>
        </w:rPr>
        <w:t xml:space="preserve"> do edital, </w:t>
      </w:r>
      <w:bookmarkEnd w:id="31"/>
      <w:r>
        <w:rPr>
          <w:color w:val="auto"/>
          <w:sz w:val="22"/>
          <w:szCs w:val="22"/>
          <w:lang w:eastAsia="ar-SA"/>
        </w:rPr>
        <w:t>especialmente quanto à existência de sanção que impeça a participação no certame ou a futura</w:t>
      </w:r>
      <w:r>
        <w:rPr>
          <w:sz w:val="22"/>
          <w:szCs w:val="22"/>
          <w:lang w:eastAsia="ar-SA"/>
        </w:rPr>
        <w:t xml:space="preserve"> contratação.</w:t>
      </w:r>
    </w:p>
    <w:p>
      <w:pPr>
        <w:pStyle w:val="Nivel2"/>
        <w:numPr>
          <w:ilvl w:val="1"/>
          <w:numId w:val="2"/>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2"/>
        </w:numPr>
        <w:spacing w:lineRule="auto" w:line="360" w:before="0" w:after="0"/>
        <w:ind w:hanging="0" w:left="0"/>
        <w:rPr>
          <w:sz w:val="22"/>
          <w:szCs w:val="22"/>
        </w:rPr>
      </w:pPr>
      <w:r>
        <w:rPr>
          <w:sz w:val="22"/>
          <w:szCs w:val="22"/>
        </w:rPr>
        <w:t xml:space="preserve">Caso o licitante provisoriamente classificado em primeiro lugar tenha se utilizado de algum tratamento favorecido às ME/EPPs, o pregoeiro verificará se faz jus ao benefício, em conformidade com os itens </w:t>
      </w:r>
      <w:r>
        <w:rPr>
          <w:sz w:val="22"/>
          <w:szCs w:val="22"/>
        </w:rPr>
        <w:fldChar w:fldCharType="begin"/>
      </w:r>
      <w:r>
        <w:rPr>
          <w:sz w:val="22"/>
          <w:szCs w:val="22"/>
        </w:rPr>
        <w:instrText xml:space="preserve"> REF _Ref117015508 \r \r \h </w:instrText>
      </w:r>
      <w:r>
        <w:rPr>
          <w:sz w:val="22"/>
          <w:szCs w:val="22"/>
        </w:rPr>
        <w:fldChar w:fldCharType="separate"/>
      </w:r>
      <w:r>
        <w:rPr>
          <w:sz w:val="22"/>
          <w:szCs w:val="22"/>
        </w:rPr>
        <w:t>2.6.1</w:t>
      </w:r>
      <w:r>
        <w:rPr>
          <w:sz w:val="22"/>
          <w:szCs w:val="22"/>
        </w:rPr>
        <w:fldChar w:fldCharType="end"/>
      </w:r>
      <w:r>
        <w:rPr>
          <w:sz w:val="22"/>
          <w:szCs w:val="22"/>
        </w:rPr>
        <w:t xml:space="preserve"> e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deste edital.</w:t>
      </w:r>
    </w:p>
    <w:p>
      <w:pPr>
        <w:pStyle w:val="Nivel2"/>
        <w:numPr>
          <w:ilvl w:val="1"/>
          <w:numId w:val="2"/>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2"/>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2"/>
        </w:numPr>
        <w:spacing w:lineRule="auto" w:line="360" w:before="0" w:after="0"/>
        <w:ind w:hanging="0" w:left="1276"/>
        <w:rPr>
          <w:sz w:val="22"/>
          <w:szCs w:val="22"/>
        </w:rPr>
      </w:pPr>
      <w:r>
        <w:rPr>
          <w:sz w:val="22"/>
          <w:szCs w:val="22"/>
        </w:rPr>
        <w:t>contiver vícios insanáveis;</w:t>
      </w:r>
    </w:p>
    <w:p>
      <w:pPr>
        <w:pStyle w:val="Nivel3"/>
        <w:numPr>
          <w:ilvl w:val="2"/>
          <w:numId w:val="2"/>
        </w:numPr>
        <w:spacing w:lineRule="auto" w:line="360" w:before="0" w:after="0"/>
        <w:ind w:hanging="0" w:left="1276"/>
        <w:rPr>
          <w:sz w:val="22"/>
          <w:szCs w:val="22"/>
        </w:rPr>
      </w:pPr>
      <w:r>
        <w:rPr>
          <w:sz w:val="22"/>
          <w:szCs w:val="22"/>
        </w:rPr>
        <w:t>não obedecer às especificações técnicas contidas no Termo de Referência;</w:t>
      </w:r>
    </w:p>
    <w:p>
      <w:pPr>
        <w:pStyle w:val="Nivel3"/>
        <w:numPr>
          <w:ilvl w:val="2"/>
          <w:numId w:val="2"/>
        </w:numPr>
        <w:spacing w:lineRule="auto" w:line="360" w:before="0" w:after="0"/>
        <w:ind w:hanging="0" w:left="1276"/>
        <w:rPr>
          <w:sz w:val="22"/>
          <w:szCs w:val="22"/>
        </w:rPr>
      </w:pPr>
      <w:r>
        <w:rPr>
          <w:sz w:val="22"/>
          <w:szCs w:val="22"/>
        </w:rPr>
        <w:t>apresentar preços inexequíveis ou permanecerem acima do preço máximo definido para a contratação;</w:t>
      </w:r>
    </w:p>
    <w:p>
      <w:pPr>
        <w:pStyle w:val="Nivel3"/>
        <w:numPr>
          <w:ilvl w:val="2"/>
          <w:numId w:val="2"/>
        </w:numPr>
        <w:spacing w:lineRule="auto" w:line="360" w:before="0" w:after="0"/>
        <w:ind w:hanging="0" w:left="1276"/>
        <w:rPr>
          <w:sz w:val="22"/>
          <w:szCs w:val="22"/>
        </w:rPr>
      </w:pPr>
      <w:r>
        <w:rPr>
          <w:sz w:val="22"/>
          <w:szCs w:val="22"/>
        </w:rPr>
        <w:t>não tiverem sua exequibilidade demonstrada, quando exigido pela Administração;</w:t>
      </w:r>
    </w:p>
    <w:p>
      <w:pPr>
        <w:pStyle w:val="Nivel3"/>
        <w:numPr>
          <w:ilvl w:val="2"/>
          <w:numId w:val="2"/>
        </w:numPr>
        <w:spacing w:lineRule="auto" w:line="360" w:before="0" w:after="0"/>
        <w:ind w:hanging="0" w:left="1276"/>
        <w:rPr>
          <w:sz w:val="22"/>
          <w:szCs w:val="22"/>
        </w:rPr>
      </w:pPr>
      <w:r>
        <w:rPr>
          <w:sz w:val="22"/>
          <w:szCs w:val="22"/>
        </w:rPr>
        <w:t>apresentar desconformidade com quaisquer outras exigências deste Edital ou seus anexos, desde que insanável.</w:t>
      </w:r>
    </w:p>
    <w:p>
      <w:pPr>
        <w:pStyle w:val="Nivel2"/>
        <w:numPr>
          <w:ilvl w:val="1"/>
          <w:numId w:val="2"/>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2"/>
        </w:numPr>
        <w:spacing w:lineRule="auto" w:line="360" w:before="0" w:after="0"/>
        <w:ind w:hanging="0" w:left="0"/>
        <w:rPr>
          <w:sz w:val="22"/>
          <w:szCs w:val="22"/>
        </w:rPr>
      </w:pPr>
      <w:r>
        <w:rPr>
          <w:sz w:val="22"/>
          <w:szCs w:val="22"/>
        </w:rPr>
        <w:t>Para fins de análise da proposta quanto ao cumprimento das especificações do objeto, poderá ser colhida a manifestação escrita do setor requisitante do serviço ou da área especializada no objeto.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r>
        <w:rPr>
          <w:sz w:val="22"/>
          <w:szCs w:val="22"/>
        </w:rPr>
        <w:t>DA FASE DE HABILITAÇÃO</w:t>
      </w:r>
    </w:p>
    <w:p>
      <w:pPr>
        <w:pStyle w:val="Nivel2"/>
        <w:numPr>
          <w:ilvl w:val="1"/>
          <w:numId w:val="2"/>
        </w:numPr>
        <w:spacing w:lineRule="auto" w:line="360" w:before="0" w:after="0"/>
        <w:ind w:hanging="0" w:left="0"/>
        <w:rPr>
          <w:sz w:val="22"/>
          <w:szCs w:val="22"/>
        </w:rPr>
      </w:pPr>
      <w:r>
        <w:rPr>
          <w:sz w:val="22"/>
          <w:szCs w:val="22"/>
        </w:rPr>
        <w:t>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2"/>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2"/>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2"/>
        </w:numPr>
        <w:spacing w:lineRule="auto" w:line="360" w:before="0" w:after="0"/>
        <w:ind w:hanging="0" w:left="0"/>
        <w:rPr>
          <w:sz w:val="22"/>
          <w:szCs w:val="22"/>
        </w:rPr>
      </w:pPr>
      <w:bookmarkStart w:id="32" w:name="_Hlk204237513"/>
      <w:bookmarkStart w:id="33"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33"/>
      <w:r>
        <w:rPr>
          <w:sz w:val="22"/>
          <w:szCs w:val="22"/>
        </w:rPr>
        <w:t>contado da solicitação do Agente de Contratação.</w:t>
      </w:r>
      <w:bookmarkEnd w:id="32"/>
    </w:p>
    <w:p>
      <w:pPr>
        <w:pStyle w:val="Nivel2"/>
        <w:numPr>
          <w:ilvl w:val="1"/>
          <w:numId w:val="2"/>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Nivel2"/>
        <w:numPr>
          <w:ilvl w:val="1"/>
          <w:numId w:val="2"/>
        </w:numPr>
        <w:spacing w:lineRule="auto" w:line="360" w:before="0" w:after="0"/>
        <w:ind w:hanging="0" w:left="0"/>
        <w:rPr>
          <w:sz w:val="22"/>
          <w:szCs w:val="22"/>
        </w:rPr>
      </w:pPr>
      <w:bookmarkStart w:id="34" w:name="_Hlk204237555"/>
      <w:r>
        <w:rPr>
          <w:sz w:val="22"/>
          <w:szCs w:val="22"/>
        </w:rPr>
        <w:t xml:space="preserve">Ao iniciar a fase de Habilitação também será exigido do licitante vencedor o envio do </w:t>
      </w:r>
      <w:r>
        <w:rPr>
          <w:b/>
          <w:bCs/>
          <w:sz w:val="22"/>
          <w:szCs w:val="22"/>
        </w:rPr>
        <w:t>ARQUIVO DA PROPOSTA FINAL AJUSTADA</w:t>
      </w:r>
      <w:r>
        <w:rPr>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34"/>
    </w:p>
    <w:p>
      <w:pPr>
        <w:pStyle w:val="Nivel2"/>
        <w:numPr>
          <w:ilvl w:val="1"/>
          <w:numId w:val="2"/>
        </w:numPr>
        <w:spacing w:lineRule="auto" w:line="360" w:before="0" w:after="0"/>
        <w:ind w:hanging="0" w:left="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Hyperlink"/>
          <w:color w:val="000000"/>
          <w:sz w:val="22"/>
          <w:szCs w:val="22"/>
        </w:rPr>
        <w:t>)</w:t>
      </w:r>
    </w:p>
    <w:p>
      <w:pPr>
        <w:pStyle w:val="Nivel3"/>
        <w:numPr>
          <w:ilvl w:val="2"/>
          <w:numId w:val="2"/>
        </w:numPr>
        <w:spacing w:lineRule="auto" w:line="360" w:before="0" w:after="0"/>
        <w:ind w:hanging="0" w:left="1134"/>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2"/>
        </w:numPr>
        <w:spacing w:lineRule="auto" w:line="360" w:before="0" w:after="0"/>
        <w:ind w:hanging="0" w:left="1134"/>
        <w:rPr>
          <w:sz w:val="22"/>
          <w:szCs w:val="22"/>
        </w:rPr>
      </w:pPr>
      <w:r>
        <w:rPr>
          <w:sz w:val="22"/>
          <w:szCs w:val="22"/>
        </w:rPr>
        <w:t>atualização de documentos cuja validade tenha expirado após a data de recebimento das propostas;</w:t>
      </w:r>
    </w:p>
    <w:p>
      <w:pPr>
        <w:pStyle w:val="Nivel2"/>
        <w:numPr>
          <w:ilvl w:val="1"/>
          <w:numId w:val="2"/>
        </w:numPr>
        <w:spacing w:lineRule="auto" w:line="360" w:before="0" w:after="0"/>
        <w:ind w:hanging="0" w:left="0"/>
        <w:rPr>
          <w:sz w:val="22"/>
          <w:szCs w:val="22"/>
        </w:rPr>
      </w:pPr>
      <w:bookmarkStart w:id="35"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36" w:name="_Ref114665528"/>
      <w:bookmarkEnd w:id="35"/>
    </w:p>
    <w:p>
      <w:pPr>
        <w:pStyle w:val="Nivel2"/>
        <w:numPr>
          <w:ilvl w:val="1"/>
          <w:numId w:val="2"/>
        </w:numPr>
        <w:spacing w:lineRule="auto" w:line="360" w:before="0" w:after="0"/>
        <w:ind w:hanging="0" w:left="0"/>
        <w:rPr>
          <w:sz w:val="22"/>
          <w:szCs w:val="22"/>
        </w:rPr>
      </w:pPr>
      <w:r>
        <w:rPr>
          <w:sz w:val="22"/>
          <w:szCs w:val="22"/>
        </w:rPr>
        <w:t xml:space="preserve">Na hipótese de o licitante não atender às exigências para habilitação </w:t>
      </w:r>
      <w:bookmarkStart w:id="37" w:name="_Hlk216694452"/>
      <w:r>
        <w:rPr>
          <w:sz w:val="22"/>
          <w:szCs w:val="22"/>
        </w:rPr>
        <w:t>ou não anexar a proposta final quando solicitado, o licitantes será declarado desclassificado/inabilitado</w:t>
      </w:r>
      <w:bookmarkEnd w:id="37"/>
      <w:r>
        <w:rPr>
          <w:sz w:val="22"/>
          <w:szCs w:val="22"/>
        </w:rPr>
        <w:t>, e o pregoeiro examinará a proposta subsequente e assim sucessivamente, na ordem de classificação, até a apuração de uma proposta que atenda ao presente edital, observado o prazo disposto no subitem 8.3.1.</w:t>
      </w:r>
      <w:bookmarkEnd w:id="36"/>
    </w:p>
    <w:p>
      <w:pPr>
        <w:pStyle w:val="Nivel2"/>
        <w:numPr>
          <w:ilvl w:val="1"/>
          <w:numId w:val="2"/>
        </w:numPr>
        <w:spacing w:lineRule="auto" w:line="360" w:before="0" w:after="0"/>
        <w:ind w:hanging="0" w:left="0"/>
        <w:rPr>
          <w:sz w:val="22"/>
          <w:szCs w:val="22"/>
        </w:rPr>
      </w:pPr>
      <w:bookmarkStart w:id="38"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38"/>
      <w:r>
        <w:rPr>
          <w:sz w:val="22"/>
          <w:szCs w:val="22"/>
        </w:rPr>
        <w:t>.</w:t>
      </w:r>
      <w:bookmarkStart w:id="39" w:name="_Hlk204237715"/>
    </w:p>
    <w:p>
      <w:pPr>
        <w:pStyle w:val="Nivel2"/>
        <w:numPr>
          <w:ilvl w:val="1"/>
          <w:numId w:val="2"/>
        </w:numPr>
        <w:spacing w:lineRule="auto" w:line="360" w:before="0" w:after="0"/>
        <w:ind w:hanging="0" w:left="0"/>
        <w:rPr>
          <w:rFonts w:eastAsia="Times New Roman"/>
          <w:kern w:val="2"/>
          <w:sz w:val="22"/>
          <w:szCs w:val="22"/>
        </w:rPr>
      </w:pPr>
      <w:bookmarkStart w:id="40" w:name="_Hlk211953878"/>
      <w:r>
        <w:rPr>
          <w:sz w:val="22"/>
          <w:szCs w:val="22"/>
        </w:rPr>
        <w:t xml:space="preserve">As empresas Vencedoras, deverão encaminhar </w:t>
      </w:r>
      <w:r>
        <w:rPr>
          <w:b/>
          <w:bCs/>
          <w:sz w:val="22"/>
          <w:szCs w:val="22"/>
        </w:rPr>
        <w:t>no prazo de máximo de 48 horas, do término da sessão</w:t>
      </w:r>
      <w:r>
        <w:rPr>
          <w:sz w:val="22"/>
          <w:szCs w:val="22"/>
        </w:rPr>
        <w:t xml:space="preserve">, para a Seção de Licitações, localizada à Avenida Luciano Consoline, nº   </w:t>
      </w:r>
      <w:r>
        <w:rPr>
          <w:rFonts w:eastAsia="Times New Roman"/>
          <w:kern w:val="2"/>
          <w:sz w:val="22"/>
          <w:szCs w:val="22"/>
        </w:rPr>
        <w:t>600 – Jardim de Lucca, CEP 13.250-000, das 09h às 17h, os documentos abaixo relacionados</w:t>
      </w:r>
      <w:bookmarkEnd w:id="40"/>
      <w:r>
        <w:rPr>
          <w:rFonts w:eastAsia="Times New Roman"/>
          <w:kern w:val="2"/>
          <w:sz w:val="22"/>
          <w:szCs w:val="22"/>
        </w:rPr>
        <w:t>:</w:t>
      </w:r>
    </w:p>
    <w:p>
      <w:pPr>
        <w:pStyle w:val="Normal"/>
        <w:spacing w:lineRule="auto" w:line="360" w:before="0" w:after="160"/>
        <w:ind w:left="1134"/>
        <w:jc w:val="both"/>
        <w:rPr>
          <w:rFonts w:ascii="Arial" w:hAnsi="Arial" w:cs="Arial"/>
          <w:color w:val="000000"/>
          <w:sz w:val="22"/>
          <w:szCs w:val="22"/>
        </w:rPr>
      </w:pPr>
      <w:bookmarkStart w:id="41" w:name="_Hlk211953898"/>
      <w:bookmarkStart w:id="42" w:name="_Hlk215059817"/>
      <w:bookmarkStart w:id="43" w:name="_Hlk216694503"/>
      <w:r>
        <w:rPr>
          <w:rFonts w:cs="Arial" w:ascii="Arial" w:hAnsi="Arial"/>
          <w:b/>
          <w:bCs/>
          <w:color w:val="000000"/>
          <w:sz w:val="22"/>
          <w:szCs w:val="22"/>
          <w:u w:val="single"/>
        </w:rPr>
        <w:t xml:space="preserve">8.10.1 - </w:t>
      </w:r>
      <w:bookmarkStart w:id="44" w:name="_Hlk215059868"/>
      <w:r>
        <w:rPr>
          <w:rFonts w:cs="Arial" w:ascii="Arial" w:hAnsi="Arial"/>
          <w:b/>
          <w:bCs/>
          <w:color w:val="000000"/>
          <w:sz w:val="22"/>
          <w:szCs w:val="22"/>
          <w:u w:val="single"/>
        </w:rPr>
        <w:t>Documentos de Habilitação</w:t>
      </w:r>
      <w:r>
        <w:rPr>
          <w:rFonts w:cs="Arial" w:ascii="Arial" w:hAnsi="Arial"/>
          <w:color w:val="000000"/>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bookmarkEnd w:id="44"/>
      <w:r>
        <w:rPr>
          <w:rFonts w:cs="Arial" w:ascii="Arial" w:hAnsi="Arial"/>
          <w:color w:val="000000"/>
          <w:sz w:val="22"/>
          <w:szCs w:val="22"/>
        </w:rPr>
        <w:t>.</w:t>
      </w:r>
    </w:p>
    <w:p>
      <w:pPr>
        <w:pStyle w:val="Nivel2"/>
        <w:numPr>
          <w:ilvl w:val="2"/>
          <w:numId w:val="7"/>
        </w:numPr>
        <w:spacing w:lineRule="auto" w:line="360" w:before="0" w:after="0"/>
        <w:ind w:firstLine="54" w:left="2628"/>
        <w:rPr>
          <w:rFonts w:eastAsia="Times New Roman"/>
          <w:kern w:val="2"/>
          <w:sz w:val="22"/>
          <w:szCs w:val="22"/>
        </w:rPr>
      </w:pPr>
      <w:bookmarkStart w:id="45" w:name="_Hlk216694503"/>
      <w:bookmarkStart w:id="46" w:name="_Hlk215059880"/>
      <w:r>
        <w:rPr>
          <w:rFonts w:eastAsia="Times New Roman"/>
          <w:kern w:val="2"/>
          <w:sz w:val="22"/>
          <w:szCs w:val="22"/>
        </w:rPr>
        <w:t>- A empresa vencedora e seu representante legal assumem inteira responsabilidade pela veracidade e autenticidade dos documentos enviados por meio eletrônico</w:t>
      </w:r>
      <w:bookmarkEnd w:id="45"/>
      <w:r>
        <w:rPr>
          <w:rFonts w:eastAsia="Times New Roman"/>
          <w:kern w:val="2"/>
          <w:sz w:val="22"/>
          <w:szCs w:val="22"/>
        </w:rPr>
        <w:t>.</w:t>
      </w:r>
      <w:bookmarkEnd w:id="42"/>
      <w:bookmarkEnd w:id="46"/>
    </w:p>
    <w:p>
      <w:pPr>
        <w:pStyle w:val="ListParagraph"/>
        <w:spacing w:lineRule="auto" w:line="360"/>
        <w:ind w:left="0"/>
        <w:jc w:val="both"/>
        <w:rPr>
          <w:rFonts w:ascii="Arial" w:hAnsi="Arial" w:cs="Arial"/>
          <w:color w:val="000000"/>
          <w:sz w:val="22"/>
          <w:szCs w:val="22"/>
        </w:rPr>
      </w:pPr>
      <w:bookmarkStart w:id="47" w:name="_Hlk211953898"/>
      <w:r>
        <w:rPr>
          <w:rFonts w:cs="Arial" w:ascii="Arial" w:hAnsi="Arial"/>
          <w:color w:val="000000"/>
          <w:sz w:val="22"/>
          <w:szCs w:val="22"/>
        </w:rPr>
        <w:t>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bookmarkEnd w:id="47"/>
      <w:r>
        <w:rPr>
          <w:rFonts w:cs="Arial" w:ascii="Arial" w:hAnsi="Arial"/>
          <w:color w:val="000000"/>
          <w:sz w:val="22"/>
          <w:szCs w:val="22"/>
        </w:rPr>
        <w:t xml:space="preserve">. </w:t>
      </w:r>
      <w:bookmarkEnd w:id="39"/>
    </w:p>
    <w:p>
      <w:pPr>
        <w:pStyle w:val="ListParagraph"/>
        <w:spacing w:lineRule="auto" w:line="360"/>
        <w:ind w:left="0"/>
        <w:jc w:val="both"/>
        <w:rPr>
          <w:rFonts w:ascii="Arial" w:hAnsi="Arial" w:cs="Arial"/>
          <w:color w:val="000000"/>
          <w:sz w:val="22"/>
          <w:szCs w:val="22"/>
        </w:rPr>
      </w:pPr>
      <w:r>
        <w:rPr>
          <w:rFonts w:cs="Arial" w:ascii="Arial" w:hAnsi="Arial"/>
          <w:color w:val="000000"/>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DOS RECURSOS</w:t>
      </w:r>
    </w:p>
    <w:p>
      <w:pPr>
        <w:pStyle w:val="Nivel2"/>
        <w:numPr>
          <w:ilvl w:val="1"/>
          <w:numId w:val="2"/>
        </w:numPr>
        <w:spacing w:lineRule="auto" w:line="360" w:before="0" w:after="0"/>
        <w:ind w:hanging="0" w:left="0"/>
        <w:rPr>
          <w:sz w:val="22"/>
          <w:szCs w:val="22"/>
        </w:rPr>
      </w:pPr>
      <w:bookmarkStart w:id="48" w:name="_Hlk204237863"/>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ListParagraph"/>
        <w:widowControl w:val="false"/>
        <w:numPr>
          <w:ilvl w:val="1"/>
          <w:numId w:val="2"/>
        </w:numPr>
        <w:suppressAutoHyphens w:val="false"/>
        <w:spacing w:lineRule="auto" w:line="360"/>
        <w:ind w:hanging="6" w:left="0"/>
        <w:jc w:val="both"/>
        <w:rPr>
          <w:rFonts w:ascii="Arial" w:hAnsi="Arial" w:cs="Arial"/>
          <w:color w:val="000000"/>
          <w:sz w:val="22"/>
          <w:szCs w:val="22"/>
        </w:rPr>
      </w:pPr>
      <w:bookmarkStart w:id="49" w:name="_Hlk215059949"/>
      <w:bookmarkStart w:id="50" w:name="_Hlk216171110"/>
      <w:bookmarkStart w:id="51" w:name="_Hlk211953982"/>
      <w:bookmarkEnd w:id="50"/>
      <w:r>
        <w:rPr>
          <w:rFonts w:cs="Arial" w:ascii="Arial" w:hAnsi="Arial"/>
          <w:color w:val="000000"/>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bookmarkEnd w:id="51"/>
      <w:r>
        <w:rPr>
          <w:rFonts w:cs="Arial" w:ascii="Arial" w:hAnsi="Arial"/>
          <w:color w:val="000000"/>
          <w:sz w:val="22"/>
          <w:szCs w:val="22"/>
        </w:rPr>
        <w:t>.</w:t>
      </w:r>
    </w:p>
    <w:p>
      <w:pPr>
        <w:pStyle w:val="ListParagraph"/>
        <w:widowControl w:val="false"/>
        <w:numPr>
          <w:ilvl w:val="1"/>
          <w:numId w:val="2"/>
        </w:numPr>
        <w:suppressAutoHyphens w:val="false"/>
        <w:spacing w:lineRule="auto" w:line="360"/>
        <w:ind w:hanging="6" w:left="0"/>
        <w:jc w:val="both"/>
        <w:rPr>
          <w:rFonts w:ascii="Arial" w:hAnsi="Arial" w:cs="Arial"/>
          <w:color w:val="000000"/>
          <w:sz w:val="22"/>
          <w:szCs w:val="22"/>
        </w:rPr>
      </w:pPr>
      <w:bookmarkStart w:id="52" w:name="_Hlk211954016"/>
      <w:r>
        <w:rPr>
          <w:rFonts w:cs="Arial" w:ascii="Arial" w:hAnsi="Arial"/>
          <w:color w:val="000000"/>
          <w:sz w:val="22"/>
          <w:szCs w:val="22"/>
        </w:rPr>
        <w:t xml:space="preserve">O tempo para manifestação da intenção de recurso será de </w:t>
      </w:r>
      <w:r>
        <w:rPr>
          <w:rFonts w:cs="Arial" w:ascii="Arial" w:hAnsi="Arial"/>
          <w:b/>
          <w:bCs/>
          <w:color w:val="000000"/>
          <w:sz w:val="22"/>
          <w:szCs w:val="22"/>
        </w:rPr>
        <w:t>10 minutos após o Julgamento e Aceitação das Propostas</w:t>
      </w:r>
      <w:r>
        <w:rPr>
          <w:rFonts w:cs="Arial" w:ascii="Arial" w:hAnsi="Arial"/>
          <w:color w:val="000000"/>
          <w:sz w:val="22"/>
          <w:szCs w:val="22"/>
        </w:rPr>
        <w:t xml:space="preserve"> e de </w:t>
      </w:r>
      <w:r>
        <w:rPr>
          <w:rFonts w:cs="Arial" w:ascii="Arial" w:hAnsi="Arial"/>
          <w:b/>
          <w:bCs/>
          <w:color w:val="000000"/>
          <w:sz w:val="22"/>
          <w:szCs w:val="22"/>
        </w:rPr>
        <w:t>10 minutos após a etapa de Habilitação</w:t>
      </w:r>
      <w:r>
        <w:rPr>
          <w:rFonts w:cs="Arial" w:ascii="Arial" w:hAnsi="Arial"/>
          <w:color w:val="000000"/>
          <w:sz w:val="22"/>
          <w:szCs w:val="22"/>
        </w:rPr>
        <w:t>.</w:t>
      </w:r>
    </w:p>
    <w:p>
      <w:pPr>
        <w:pStyle w:val="ListParagraph"/>
        <w:widowControl w:val="false"/>
        <w:numPr>
          <w:ilvl w:val="1"/>
          <w:numId w:val="2"/>
        </w:numPr>
        <w:tabs>
          <w:tab w:val="clear" w:pos="709"/>
          <w:tab w:val="left" w:pos="786" w:leader="none"/>
        </w:tabs>
        <w:suppressAutoHyphens w:val="false"/>
        <w:spacing w:lineRule="auto" w:line="360"/>
        <w:ind w:hanging="6" w:left="0" w:right="152"/>
        <w:jc w:val="both"/>
        <w:rPr>
          <w:rFonts w:ascii="Arial" w:hAnsi="Arial" w:cs="Arial"/>
          <w:color w:val="000000"/>
          <w:sz w:val="22"/>
          <w:szCs w:val="22"/>
        </w:rPr>
      </w:pPr>
      <w:bookmarkStart w:id="53" w:name="_Hlk216171110"/>
      <w:bookmarkStart w:id="54" w:name="_Hlk216171147"/>
      <w:bookmarkEnd w:id="53"/>
      <w:r>
        <w:rPr>
          <w:rFonts w:cs="Arial" w:ascii="Arial" w:hAnsi="Arial"/>
          <w:color w:val="000000"/>
          <w:sz w:val="22"/>
          <w:szCs w:val="22"/>
        </w:rPr>
        <w:t>O licitante que manifestar a intenção de recurso, disporá do prazo de 03 (três) dias úteis para a apresentação das</w:t>
      </w:r>
      <w:r>
        <w:rPr>
          <w:rFonts w:cs="Arial" w:ascii="Arial" w:hAnsi="Arial"/>
          <w:color w:val="000000"/>
          <w:spacing w:val="1"/>
          <w:sz w:val="22"/>
          <w:szCs w:val="22"/>
        </w:rPr>
        <w:t xml:space="preserve"> </w:t>
      </w:r>
      <w:r>
        <w:rPr>
          <w:rFonts w:cs="Arial" w:ascii="Arial" w:hAnsi="Arial"/>
          <w:color w:val="000000"/>
          <w:sz w:val="22"/>
          <w:szCs w:val="22"/>
        </w:rPr>
        <w:t>razões do recurso, por meio do sistema, que será disponibilizado a</w:t>
      </w:r>
      <w:r>
        <w:rPr>
          <w:rFonts w:cs="Arial" w:ascii="Arial" w:hAnsi="Arial"/>
          <w:color w:val="000000"/>
          <w:spacing w:val="-57"/>
          <w:sz w:val="22"/>
          <w:szCs w:val="22"/>
        </w:rPr>
        <w:t xml:space="preserve"> </w:t>
      </w:r>
      <w:r>
        <w:rPr>
          <w:rFonts w:cs="Arial" w:ascii="Arial" w:hAnsi="Arial"/>
          <w:color w:val="000000"/>
          <w:sz w:val="22"/>
          <w:szCs w:val="22"/>
        </w:rPr>
        <w:t>todos</w:t>
      </w:r>
      <w:r>
        <w:rPr>
          <w:rFonts w:cs="Arial" w:ascii="Arial" w:hAnsi="Arial"/>
          <w:color w:val="000000"/>
          <w:spacing w:val="1"/>
          <w:sz w:val="22"/>
          <w:szCs w:val="22"/>
        </w:rPr>
        <w:t xml:space="preserve"> </w:t>
      </w:r>
      <w:r>
        <w:rPr>
          <w:rFonts w:cs="Arial" w:ascii="Arial" w:hAnsi="Arial"/>
          <w:color w:val="000000"/>
          <w:sz w:val="22"/>
          <w:szCs w:val="22"/>
        </w:rPr>
        <w:t>os</w:t>
      </w:r>
      <w:r>
        <w:rPr>
          <w:rFonts w:cs="Arial" w:ascii="Arial" w:hAnsi="Arial"/>
          <w:color w:val="000000"/>
          <w:spacing w:val="1"/>
          <w:sz w:val="22"/>
          <w:szCs w:val="22"/>
        </w:rPr>
        <w:t xml:space="preserve"> </w:t>
      </w:r>
      <w:r>
        <w:rPr>
          <w:rFonts w:cs="Arial" w:ascii="Arial" w:hAnsi="Arial"/>
          <w:color w:val="000000"/>
          <w:sz w:val="22"/>
          <w:szCs w:val="22"/>
        </w:rPr>
        <w:t>participantes,</w:t>
      </w:r>
      <w:r>
        <w:rPr>
          <w:rFonts w:cs="Arial" w:ascii="Arial" w:hAnsi="Arial"/>
          <w:color w:val="000000"/>
          <w:spacing w:val="1"/>
          <w:sz w:val="22"/>
          <w:szCs w:val="22"/>
        </w:rPr>
        <w:t xml:space="preserve"> </w:t>
      </w:r>
      <w:r>
        <w:rPr>
          <w:rFonts w:cs="Arial" w:ascii="Arial" w:hAnsi="Arial"/>
          <w:color w:val="000000"/>
          <w:sz w:val="22"/>
          <w:szCs w:val="22"/>
        </w:rPr>
        <w:t>ficando</w:t>
      </w:r>
      <w:r>
        <w:rPr>
          <w:rFonts w:cs="Arial" w:ascii="Arial" w:hAnsi="Arial"/>
          <w:color w:val="000000"/>
          <w:spacing w:val="1"/>
          <w:sz w:val="22"/>
          <w:szCs w:val="22"/>
        </w:rPr>
        <w:t xml:space="preserve"> </w:t>
      </w:r>
      <w:r>
        <w:rPr>
          <w:rFonts w:cs="Arial" w:ascii="Arial" w:hAnsi="Arial"/>
          <w:color w:val="000000"/>
          <w:sz w:val="22"/>
          <w:szCs w:val="22"/>
        </w:rPr>
        <w:t>as</w:t>
      </w:r>
      <w:r>
        <w:rPr>
          <w:rFonts w:cs="Arial" w:ascii="Arial" w:hAnsi="Arial"/>
          <w:color w:val="000000"/>
          <w:spacing w:val="1"/>
          <w:sz w:val="22"/>
          <w:szCs w:val="22"/>
        </w:rPr>
        <w:t xml:space="preserve"> </w:t>
      </w:r>
      <w:r>
        <w:rPr>
          <w:rFonts w:cs="Arial" w:ascii="Arial" w:hAnsi="Arial"/>
          <w:color w:val="000000"/>
          <w:sz w:val="22"/>
          <w:szCs w:val="22"/>
        </w:rPr>
        <w:t>demais</w:t>
      </w:r>
      <w:r>
        <w:rPr>
          <w:rFonts w:cs="Arial" w:ascii="Arial" w:hAnsi="Arial"/>
          <w:color w:val="000000"/>
          <w:spacing w:val="1"/>
          <w:sz w:val="22"/>
          <w:szCs w:val="22"/>
        </w:rPr>
        <w:t xml:space="preserve"> </w:t>
      </w:r>
      <w:r>
        <w:rPr>
          <w:rFonts w:cs="Arial" w:ascii="Arial" w:hAnsi="Arial"/>
          <w:color w:val="000000"/>
          <w:sz w:val="22"/>
          <w:szCs w:val="22"/>
        </w:rPr>
        <w:t>desde</w:t>
      </w:r>
      <w:r>
        <w:rPr>
          <w:rFonts w:cs="Arial" w:ascii="Arial" w:hAnsi="Arial"/>
          <w:color w:val="000000"/>
          <w:spacing w:val="1"/>
          <w:sz w:val="22"/>
          <w:szCs w:val="22"/>
        </w:rPr>
        <w:t xml:space="preserve"> </w:t>
      </w:r>
      <w:r>
        <w:rPr>
          <w:rFonts w:cs="Arial" w:ascii="Arial" w:hAnsi="Arial"/>
          <w:color w:val="000000"/>
          <w:sz w:val="22"/>
          <w:szCs w:val="22"/>
        </w:rPr>
        <w:t>logo</w:t>
      </w:r>
      <w:r>
        <w:rPr>
          <w:rFonts w:cs="Arial" w:ascii="Arial" w:hAnsi="Arial"/>
          <w:color w:val="000000"/>
          <w:spacing w:val="1"/>
          <w:sz w:val="22"/>
          <w:szCs w:val="22"/>
        </w:rPr>
        <w:t xml:space="preserve"> </w:t>
      </w:r>
      <w:r>
        <w:rPr>
          <w:rFonts w:cs="Arial" w:ascii="Arial" w:hAnsi="Arial"/>
          <w:color w:val="000000"/>
          <w:sz w:val="22"/>
          <w:szCs w:val="22"/>
        </w:rPr>
        <w:t>intimados</w:t>
      </w:r>
      <w:r>
        <w:rPr>
          <w:rFonts w:cs="Arial" w:ascii="Arial" w:hAnsi="Arial"/>
          <w:color w:val="000000"/>
          <w:spacing w:val="1"/>
          <w:sz w:val="22"/>
          <w:szCs w:val="22"/>
        </w:rPr>
        <w:t xml:space="preserve"> </w:t>
      </w:r>
      <w:r>
        <w:rPr>
          <w:rFonts w:cs="Arial" w:ascii="Arial" w:hAnsi="Arial"/>
          <w:color w:val="000000"/>
          <w:sz w:val="22"/>
          <w:szCs w:val="22"/>
        </w:rPr>
        <w:t>para</w:t>
      </w:r>
      <w:r>
        <w:rPr>
          <w:rFonts w:cs="Arial" w:ascii="Arial" w:hAnsi="Arial"/>
          <w:color w:val="000000"/>
          <w:spacing w:val="1"/>
          <w:sz w:val="22"/>
          <w:szCs w:val="22"/>
        </w:rPr>
        <w:t xml:space="preserve"> </w:t>
      </w:r>
      <w:r>
        <w:rPr>
          <w:rFonts w:cs="Arial" w:ascii="Arial" w:hAnsi="Arial"/>
          <w:color w:val="000000"/>
          <w:sz w:val="22"/>
          <w:szCs w:val="22"/>
        </w:rPr>
        <w:t>apresentar</w:t>
      </w:r>
      <w:r>
        <w:rPr>
          <w:rFonts w:cs="Arial" w:ascii="Arial" w:hAnsi="Arial"/>
          <w:color w:val="000000"/>
          <w:spacing w:val="1"/>
          <w:sz w:val="22"/>
          <w:szCs w:val="22"/>
        </w:rPr>
        <w:t xml:space="preserve"> </w:t>
      </w:r>
      <w:r>
        <w:rPr>
          <w:rFonts w:cs="Arial" w:ascii="Arial" w:hAnsi="Arial"/>
          <w:color w:val="000000"/>
          <w:sz w:val="22"/>
          <w:szCs w:val="22"/>
        </w:rPr>
        <w:t>as</w:t>
      </w:r>
      <w:r>
        <w:rPr>
          <w:rFonts w:cs="Arial" w:ascii="Arial" w:hAnsi="Arial"/>
          <w:color w:val="000000"/>
          <w:spacing w:val="1"/>
          <w:sz w:val="22"/>
          <w:szCs w:val="22"/>
        </w:rPr>
        <w:t xml:space="preserve"> </w:t>
      </w:r>
      <w:r>
        <w:rPr>
          <w:rFonts w:cs="Arial" w:ascii="Arial" w:hAnsi="Arial"/>
          <w:color w:val="000000"/>
          <w:sz w:val="22"/>
          <w:szCs w:val="22"/>
        </w:rPr>
        <w:t>contrarrazões em igual número de dias.</w:t>
      </w:r>
    </w:p>
    <w:p>
      <w:pPr>
        <w:pStyle w:val="ListParagraph"/>
        <w:widowControl w:val="false"/>
        <w:numPr>
          <w:ilvl w:val="1"/>
          <w:numId w:val="2"/>
        </w:numPr>
        <w:tabs>
          <w:tab w:val="clear" w:pos="709"/>
          <w:tab w:val="left" w:pos="756" w:leader="none"/>
        </w:tabs>
        <w:suppressAutoHyphens w:val="false"/>
        <w:spacing w:lineRule="auto" w:line="360"/>
        <w:ind w:hanging="6" w:left="0" w:right="159"/>
        <w:jc w:val="both"/>
        <w:rPr>
          <w:rFonts w:ascii="Arial" w:hAnsi="Arial" w:cs="Arial"/>
          <w:color w:val="000000"/>
          <w:sz w:val="22"/>
          <w:szCs w:val="22"/>
        </w:rPr>
      </w:pPr>
      <w:r>
        <w:rPr>
          <w:rFonts w:cs="Arial" w:ascii="Arial" w:hAnsi="Arial"/>
          <w:color w:val="000000"/>
          <w:sz w:val="22"/>
          <w:szCs w:val="22"/>
        </w:rPr>
        <w:t>Os recursos deverão ser encaminhados em campo próprio do sistema durante a fase de Recurso e Contrarrazão pelos licitantes que manifestaram intenção de recorrer.</w:t>
      </w:r>
    </w:p>
    <w:p>
      <w:pPr>
        <w:pStyle w:val="ListParagraph"/>
        <w:widowControl w:val="false"/>
        <w:numPr>
          <w:ilvl w:val="1"/>
          <w:numId w:val="2"/>
        </w:numPr>
        <w:tabs>
          <w:tab w:val="clear" w:pos="709"/>
          <w:tab w:val="left" w:pos="756" w:leader="none"/>
        </w:tabs>
        <w:suppressAutoHyphens w:val="false"/>
        <w:spacing w:lineRule="auto" w:line="360"/>
        <w:ind w:hanging="6" w:left="0" w:right="159"/>
        <w:jc w:val="both"/>
        <w:rPr>
          <w:rFonts w:ascii="Arial" w:hAnsi="Arial" w:cs="Arial"/>
          <w:color w:val="000000"/>
          <w:sz w:val="22"/>
          <w:szCs w:val="22"/>
        </w:rPr>
      </w:pPr>
      <w:r>
        <w:rPr>
          <w:rFonts w:cs="Arial" w:ascii="Arial" w:hAnsi="Arial"/>
          <w:color w:val="000000"/>
          <w:sz w:val="22"/>
          <w:szCs w:val="22"/>
        </w:rPr>
        <w:t>O acolhimento do recurso importará na invalidação apenas dos atos insuscetíveis de</w:t>
      </w:r>
      <w:r>
        <w:rPr>
          <w:rFonts w:cs="Arial" w:ascii="Arial" w:hAnsi="Arial"/>
          <w:color w:val="000000"/>
          <w:spacing w:val="1"/>
          <w:sz w:val="22"/>
          <w:szCs w:val="22"/>
        </w:rPr>
        <w:t xml:space="preserve"> </w:t>
      </w:r>
      <w:r>
        <w:rPr>
          <w:rFonts w:cs="Arial" w:ascii="Arial" w:hAnsi="Arial"/>
          <w:color w:val="000000"/>
          <w:sz w:val="22"/>
          <w:szCs w:val="22"/>
        </w:rPr>
        <w:t>aproveitamento.</w:t>
      </w:r>
    </w:p>
    <w:p>
      <w:pPr>
        <w:pStyle w:val="ListParagraph"/>
        <w:widowControl w:val="false"/>
        <w:numPr>
          <w:ilvl w:val="1"/>
          <w:numId w:val="2"/>
        </w:numPr>
        <w:tabs>
          <w:tab w:val="clear" w:pos="709"/>
          <w:tab w:val="left" w:pos="756" w:leader="none"/>
        </w:tabs>
        <w:suppressAutoHyphens w:val="false"/>
        <w:spacing w:lineRule="auto" w:line="360"/>
        <w:ind w:hanging="6" w:left="0" w:right="157"/>
        <w:jc w:val="both"/>
        <w:rPr>
          <w:rFonts w:ascii="Arial" w:hAnsi="Arial" w:cs="Arial"/>
          <w:color w:val="000000"/>
          <w:sz w:val="22"/>
          <w:szCs w:val="22"/>
        </w:rPr>
      </w:pPr>
      <w:r>
        <w:rPr>
          <w:rFonts w:cs="Arial" w:ascii="Arial" w:hAnsi="Arial"/>
          <w:color w:val="000000"/>
          <w:sz w:val="22"/>
          <w:szCs w:val="22"/>
        </w:rPr>
        <w:t>Não serão conhecidos os recursos interpostos após os respectivos prazos legais, bem</w:t>
      </w:r>
      <w:r>
        <w:rPr>
          <w:rFonts w:cs="Arial" w:ascii="Arial" w:hAnsi="Arial"/>
          <w:color w:val="000000"/>
          <w:spacing w:val="1"/>
          <w:sz w:val="22"/>
          <w:szCs w:val="22"/>
        </w:rPr>
        <w:t xml:space="preserve"> </w:t>
      </w:r>
      <w:r>
        <w:rPr>
          <w:rFonts w:cs="Arial" w:ascii="Arial" w:hAnsi="Arial"/>
          <w:color w:val="000000"/>
          <w:sz w:val="22"/>
          <w:szCs w:val="22"/>
        </w:rPr>
        <w:t>como os encaminhados por fax, correios ou entregues pessoalmente, ou outros meios que não a plataforma eletrônica.</w:t>
      </w:r>
    </w:p>
    <w:p>
      <w:pPr>
        <w:pStyle w:val="ListParagraph"/>
        <w:widowControl w:val="false"/>
        <w:numPr>
          <w:ilvl w:val="1"/>
          <w:numId w:val="2"/>
        </w:numPr>
        <w:tabs>
          <w:tab w:val="clear" w:pos="709"/>
          <w:tab w:val="left" w:pos="756" w:leader="none"/>
        </w:tabs>
        <w:suppressAutoHyphens w:val="false"/>
        <w:spacing w:lineRule="auto" w:line="360"/>
        <w:ind w:hanging="6" w:left="0" w:right="153"/>
        <w:jc w:val="both"/>
        <w:rPr>
          <w:rFonts w:ascii="Arial" w:hAnsi="Arial" w:cs="Arial"/>
          <w:color w:val="000000"/>
          <w:sz w:val="22"/>
          <w:szCs w:val="22"/>
        </w:rPr>
      </w:pPr>
      <w:r>
        <w:rPr>
          <w:rFonts w:cs="Arial" w:ascii="Arial" w:hAnsi="Arial"/>
          <w:color w:val="000000"/>
          <w:sz w:val="22"/>
          <w:szCs w:val="22"/>
        </w:rPr>
        <w:t>Decairá do direito de impugnar, perante a Administração, os termos desta licitação, o licitante que, aceitando-os sem objeção, venha apontar, depois do julgamento, falhas ou</w:t>
      </w:r>
      <w:r>
        <w:rPr>
          <w:rFonts w:cs="Arial" w:ascii="Arial" w:hAnsi="Arial"/>
          <w:color w:val="000000"/>
          <w:spacing w:val="1"/>
          <w:sz w:val="22"/>
          <w:szCs w:val="22"/>
        </w:rPr>
        <w:t xml:space="preserve"> </w:t>
      </w:r>
      <w:r>
        <w:rPr>
          <w:rFonts w:cs="Arial" w:ascii="Arial" w:hAnsi="Arial"/>
          <w:color w:val="000000"/>
          <w:sz w:val="22"/>
          <w:szCs w:val="22"/>
        </w:rPr>
        <w:t>irregularidades que a viciaram, hipótese em que tal comunicação não terá efeito de recurso.</w:t>
      </w:r>
      <w:bookmarkEnd w:id="54"/>
    </w:p>
    <w:p>
      <w:pPr>
        <w:pStyle w:val="Nivel2"/>
        <w:numPr>
          <w:ilvl w:val="1"/>
          <w:numId w:val="2"/>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2"/>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2"/>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2"/>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2"/>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2"/>
        </w:numPr>
        <w:spacing w:lineRule="auto" w:line="360" w:before="0" w:after="0"/>
        <w:ind w:hanging="0" w:left="0"/>
        <w:rPr>
          <w:sz w:val="22"/>
          <w:szCs w:val="22"/>
        </w:rPr>
      </w:pPr>
      <w:bookmarkStart w:id="55" w:name="_Hlk211954016"/>
      <w:r>
        <w:rPr>
          <w:sz w:val="22"/>
          <w:szCs w:val="22"/>
        </w:rPr>
        <w:t>Os autos do processo permanecerão com vista franqueada aos interessados, na Seção de Licitações, localizada na Avenida Luciano Consoline, 600 – Jardim de Lucca, Itatiba/SP</w:t>
      </w:r>
      <w:bookmarkEnd w:id="55"/>
      <w:r>
        <w:rPr>
          <w:sz w:val="22"/>
          <w:szCs w:val="22"/>
        </w:rPr>
        <w:t>.</w:t>
      </w:r>
      <w:bookmarkEnd w:id="48"/>
      <w:bookmarkEnd w:id="49"/>
    </w:p>
    <w:p>
      <w:pPr>
        <w:pStyle w:val="Nivel2"/>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DAS INFRAÇÕES ADMINISTRATIVAS E SANÇÕES</w:t>
      </w:r>
    </w:p>
    <w:p>
      <w:pPr>
        <w:pStyle w:val="Nivel2"/>
        <w:numPr>
          <w:ilvl w:val="1"/>
          <w:numId w:val="2"/>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2"/>
        </w:numPr>
        <w:spacing w:lineRule="auto" w:line="360" w:before="0" w:after="0"/>
        <w:ind w:hanging="0" w:left="0"/>
        <w:rPr>
          <w:sz w:val="22"/>
          <w:szCs w:val="22"/>
        </w:rPr>
      </w:pPr>
      <w:bookmarkStart w:id="56" w:name="_Hlk114652595"/>
      <w:bookmarkStart w:id="57" w:name="_Ref114668085"/>
      <w:r>
        <w:rPr>
          <w:sz w:val="22"/>
          <w:szCs w:val="22"/>
        </w:rPr>
        <w:t>deixar de entregar a documentação exigida para o certame ou não entregar qualquer documento que tenha sido solicitado pelo/a pregoeiro/a durante o certame;</w:t>
      </w:r>
      <w:bookmarkEnd w:id="57"/>
    </w:p>
    <w:p>
      <w:pPr>
        <w:pStyle w:val="Nivel3"/>
        <w:numPr>
          <w:ilvl w:val="2"/>
          <w:numId w:val="2"/>
        </w:numPr>
        <w:spacing w:lineRule="auto" w:line="360" w:before="0" w:after="0"/>
        <w:ind w:hanging="0" w:left="0"/>
        <w:rPr>
          <w:sz w:val="22"/>
          <w:szCs w:val="22"/>
        </w:rPr>
      </w:pPr>
      <w:bookmarkStart w:id="58" w:name="_Ref114668108"/>
      <w:r>
        <w:rPr>
          <w:sz w:val="22"/>
          <w:szCs w:val="22"/>
        </w:rPr>
        <w:t>Salvo em decorrência de fato superveniente devidamente justificado, não mantiver a proposta em especial quando:</w:t>
      </w:r>
      <w:bookmarkEnd w:id="58"/>
    </w:p>
    <w:p>
      <w:pPr>
        <w:pStyle w:val="Nivel4"/>
        <w:numPr>
          <w:ilvl w:val="3"/>
          <w:numId w:val="2"/>
        </w:numPr>
        <w:spacing w:lineRule="auto" w:line="360" w:before="0" w:after="0"/>
        <w:ind w:hanging="0" w:left="0"/>
        <w:rPr>
          <w:sz w:val="22"/>
          <w:szCs w:val="22"/>
        </w:rPr>
      </w:pPr>
      <w:r>
        <w:rPr>
          <w:sz w:val="22"/>
          <w:szCs w:val="22"/>
        </w:rPr>
        <w:t xml:space="preserve">não enviar a proposta adequada ao último lance ofertado ou após a negociação; </w:t>
      </w:r>
    </w:p>
    <w:p>
      <w:pPr>
        <w:pStyle w:val="Nivel4"/>
        <w:numPr>
          <w:ilvl w:val="3"/>
          <w:numId w:val="2"/>
        </w:numPr>
        <w:spacing w:lineRule="auto" w:line="360" w:before="0" w:after="0"/>
        <w:ind w:hanging="0" w:left="0"/>
        <w:rPr>
          <w:sz w:val="22"/>
          <w:szCs w:val="22"/>
        </w:rPr>
      </w:pPr>
      <w:r>
        <w:rPr>
          <w:sz w:val="22"/>
          <w:szCs w:val="22"/>
        </w:rPr>
        <w:t xml:space="preserve">recusar-se a enviar o detalhamento da proposta quando exigível; </w:t>
      </w:r>
    </w:p>
    <w:p>
      <w:pPr>
        <w:pStyle w:val="Nivel4"/>
        <w:numPr>
          <w:ilvl w:val="3"/>
          <w:numId w:val="2"/>
        </w:numPr>
        <w:spacing w:lineRule="auto" w:line="360" w:before="0" w:after="0"/>
        <w:ind w:hanging="0" w:left="0"/>
        <w:rPr>
          <w:sz w:val="22"/>
          <w:szCs w:val="22"/>
        </w:rPr>
      </w:pPr>
      <w:r>
        <w:rPr>
          <w:sz w:val="22"/>
          <w:szCs w:val="22"/>
        </w:rPr>
        <w:t xml:space="preserve">pedir para ser desclassificado quando encerrada a etapa competitiva; ou </w:t>
      </w:r>
    </w:p>
    <w:p>
      <w:pPr>
        <w:pStyle w:val="Nivel4"/>
        <w:numPr>
          <w:ilvl w:val="3"/>
          <w:numId w:val="2"/>
        </w:numPr>
        <w:spacing w:lineRule="auto" w:line="360" w:before="0" w:after="0"/>
        <w:ind w:hanging="0" w:left="0"/>
        <w:rPr>
          <w:sz w:val="22"/>
          <w:szCs w:val="22"/>
        </w:rPr>
      </w:pPr>
      <w:r>
        <w:rPr>
          <w:sz w:val="22"/>
          <w:szCs w:val="22"/>
        </w:rPr>
        <w:t xml:space="preserve">apresentar proposta em desacordo com as especificações do edital; </w:t>
      </w:r>
    </w:p>
    <w:p>
      <w:pPr>
        <w:pStyle w:val="Nivel3"/>
        <w:numPr>
          <w:ilvl w:val="2"/>
          <w:numId w:val="2"/>
        </w:numPr>
        <w:spacing w:lineRule="auto" w:line="360" w:before="0" w:after="0"/>
        <w:ind w:hanging="0" w:left="0"/>
        <w:rPr>
          <w:sz w:val="22"/>
          <w:szCs w:val="22"/>
        </w:rPr>
      </w:pPr>
      <w:bookmarkStart w:id="59" w:name="_Ref114668139"/>
      <w:r>
        <w:rPr>
          <w:sz w:val="22"/>
          <w:szCs w:val="22"/>
        </w:rPr>
        <w:t>não celebrar o contrato ou não entregar a documentação exigida para a contratação, quando convocado dentro do prazo de validade de sua proposta;</w:t>
      </w:r>
      <w:bookmarkEnd w:id="59"/>
    </w:p>
    <w:p>
      <w:pPr>
        <w:pStyle w:val="Nivel4"/>
        <w:numPr>
          <w:ilvl w:val="3"/>
          <w:numId w:val="2"/>
        </w:numPr>
        <w:spacing w:lineRule="auto" w:line="360" w:before="0" w:after="0"/>
        <w:ind w:hanging="0" w:left="0"/>
        <w:rPr>
          <w:sz w:val="22"/>
          <w:szCs w:val="22"/>
        </w:rPr>
      </w:pPr>
      <w:r>
        <w:rPr>
          <w:sz w:val="22"/>
          <w:szCs w:val="22"/>
        </w:rPr>
        <w:t>recusar-se, sem justificativa, a assinar o contrato ou, ou a aceitar ou retirar o instrumento equivalente no prazo estabelecido pela Administração;</w:t>
      </w:r>
    </w:p>
    <w:p>
      <w:pPr>
        <w:pStyle w:val="Nivel3"/>
        <w:numPr>
          <w:ilvl w:val="2"/>
          <w:numId w:val="2"/>
        </w:numPr>
        <w:spacing w:lineRule="auto" w:line="360" w:before="0" w:after="0"/>
        <w:ind w:hanging="0" w:left="0"/>
        <w:rPr>
          <w:sz w:val="22"/>
          <w:szCs w:val="22"/>
        </w:rPr>
      </w:pPr>
      <w:bookmarkStart w:id="60" w:name="_Ref114668249"/>
      <w:r>
        <w:rPr>
          <w:sz w:val="22"/>
          <w:szCs w:val="22"/>
        </w:rPr>
        <w:t>apresentar declaração ou documentação falsa exigida para o certame ou prestar declaração falsa durante a licitação</w:t>
      </w:r>
      <w:bookmarkEnd w:id="60"/>
    </w:p>
    <w:p>
      <w:pPr>
        <w:pStyle w:val="Nivel3"/>
        <w:numPr>
          <w:ilvl w:val="2"/>
          <w:numId w:val="2"/>
        </w:numPr>
        <w:spacing w:lineRule="auto" w:line="360" w:before="0" w:after="0"/>
        <w:ind w:hanging="0" w:left="0"/>
        <w:rPr>
          <w:sz w:val="22"/>
          <w:szCs w:val="22"/>
        </w:rPr>
      </w:pPr>
      <w:bookmarkStart w:id="61" w:name="_Ref114668245"/>
      <w:r>
        <w:rPr>
          <w:sz w:val="22"/>
          <w:szCs w:val="22"/>
        </w:rPr>
        <w:t>fraudar a licitação</w:t>
      </w:r>
      <w:bookmarkEnd w:id="61"/>
    </w:p>
    <w:p>
      <w:pPr>
        <w:pStyle w:val="Nivel3"/>
        <w:numPr>
          <w:ilvl w:val="2"/>
          <w:numId w:val="2"/>
        </w:numPr>
        <w:spacing w:lineRule="auto" w:line="360" w:before="0" w:after="0"/>
        <w:ind w:hanging="0" w:left="0"/>
        <w:rPr>
          <w:sz w:val="22"/>
          <w:szCs w:val="22"/>
        </w:rPr>
      </w:pPr>
      <w:bookmarkStart w:id="62" w:name="_Ref114668247"/>
      <w:r>
        <w:rPr>
          <w:sz w:val="22"/>
          <w:szCs w:val="22"/>
        </w:rPr>
        <w:t>comportar-se de modo inidôneo ou cometer fraude de qualquer natureza, em especial quando:</w:t>
      </w:r>
      <w:bookmarkEnd w:id="62"/>
    </w:p>
    <w:p>
      <w:pPr>
        <w:pStyle w:val="Nivel4"/>
        <w:numPr>
          <w:ilvl w:val="3"/>
          <w:numId w:val="2"/>
        </w:numPr>
        <w:spacing w:lineRule="auto" w:line="360" w:before="0" w:after="0"/>
        <w:ind w:hanging="0" w:left="0"/>
        <w:rPr>
          <w:sz w:val="22"/>
          <w:szCs w:val="22"/>
        </w:rPr>
      </w:pPr>
      <w:r>
        <w:rPr>
          <w:sz w:val="22"/>
          <w:szCs w:val="22"/>
        </w:rPr>
        <w:t xml:space="preserve">agir em conluio ou em desconformidade com a lei; </w:t>
      </w:r>
    </w:p>
    <w:p>
      <w:pPr>
        <w:pStyle w:val="Nivel4"/>
        <w:numPr>
          <w:ilvl w:val="3"/>
          <w:numId w:val="2"/>
        </w:numPr>
        <w:spacing w:lineRule="auto" w:line="360" w:before="0" w:after="0"/>
        <w:ind w:hanging="0" w:left="0"/>
        <w:rPr>
          <w:sz w:val="22"/>
          <w:szCs w:val="22"/>
        </w:rPr>
      </w:pPr>
      <w:r>
        <w:rPr>
          <w:sz w:val="22"/>
          <w:szCs w:val="22"/>
        </w:rPr>
        <w:t xml:space="preserve">induzir deliberadamente a erro no julgamento; </w:t>
      </w:r>
    </w:p>
    <w:p>
      <w:pPr>
        <w:pStyle w:val="Nivel4"/>
        <w:numPr>
          <w:ilvl w:val="3"/>
          <w:numId w:val="2"/>
        </w:numPr>
        <w:spacing w:lineRule="auto" w:line="360" w:before="0" w:after="0"/>
        <w:ind w:hanging="0" w:left="0"/>
        <w:rPr>
          <w:sz w:val="22"/>
          <w:szCs w:val="22"/>
        </w:rPr>
      </w:pPr>
      <w:r>
        <w:rPr>
          <w:sz w:val="22"/>
          <w:szCs w:val="22"/>
        </w:rPr>
        <w:t xml:space="preserve">apresentar amostra falsificada ou deteriorada; </w:t>
      </w:r>
    </w:p>
    <w:p>
      <w:pPr>
        <w:pStyle w:val="Nivel3"/>
        <w:numPr>
          <w:ilvl w:val="2"/>
          <w:numId w:val="2"/>
        </w:numPr>
        <w:spacing w:lineRule="auto" w:line="360" w:before="0" w:after="0"/>
        <w:ind w:hanging="0" w:left="0"/>
        <w:rPr>
          <w:sz w:val="22"/>
          <w:szCs w:val="22"/>
        </w:rPr>
      </w:pPr>
      <w:bookmarkStart w:id="63" w:name="_Ref114668251"/>
      <w:r>
        <w:rPr>
          <w:sz w:val="22"/>
          <w:szCs w:val="22"/>
        </w:rPr>
        <w:t>praticar atos ilícitos com vistas a frustrar os objetivos da licitação</w:t>
      </w:r>
      <w:bookmarkEnd w:id="63"/>
    </w:p>
    <w:p>
      <w:pPr>
        <w:pStyle w:val="Nivel3"/>
        <w:numPr>
          <w:ilvl w:val="2"/>
          <w:numId w:val="2"/>
        </w:numPr>
        <w:spacing w:lineRule="auto" w:line="360" w:before="0" w:after="0"/>
        <w:ind w:hanging="0" w:left="0"/>
        <w:rPr>
          <w:sz w:val="22"/>
          <w:szCs w:val="22"/>
        </w:rPr>
      </w:pPr>
      <w:bookmarkStart w:id="64"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56"/>
      <w:bookmarkEnd w:id="64"/>
    </w:p>
    <w:p>
      <w:pPr>
        <w:pStyle w:val="Nivel2"/>
        <w:numPr>
          <w:ilvl w:val="1"/>
          <w:numId w:val="2"/>
        </w:numPr>
        <w:spacing w:lineRule="auto" w:line="360" w:before="0" w:after="0"/>
        <w:ind w:hanging="0" w:left="0"/>
        <w:rPr>
          <w:sz w:val="22"/>
          <w:szCs w:val="22"/>
        </w:rPr>
      </w:pPr>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2"/>
        </w:numPr>
        <w:spacing w:lineRule="auto" w:line="360" w:before="0" w:after="0"/>
        <w:ind w:hanging="0" w:left="0"/>
        <w:rPr>
          <w:sz w:val="22"/>
          <w:szCs w:val="22"/>
        </w:rPr>
      </w:pPr>
      <w:r>
        <w:rPr>
          <w:sz w:val="22"/>
          <w:szCs w:val="22"/>
        </w:rPr>
        <w:t xml:space="preserve">advertência; </w:t>
      </w:r>
    </w:p>
    <w:p>
      <w:pPr>
        <w:pStyle w:val="Nivel3"/>
        <w:numPr>
          <w:ilvl w:val="2"/>
          <w:numId w:val="2"/>
        </w:numPr>
        <w:spacing w:lineRule="auto" w:line="360" w:before="0" w:after="0"/>
        <w:ind w:hanging="0" w:left="0"/>
        <w:rPr>
          <w:sz w:val="22"/>
          <w:szCs w:val="22"/>
        </w:rPr>
      </w:pPr>
      <w:r>
        <w:rPr>
          <w:sz w:val="22"/>
          <w:szCs w:val="22"/>
        </w:rPr>
        <w:t>multa;</w:t>
      </w:r>
    </w:p>
    <w:p>
      <w:pPr>
        <w:pStyle w:val="Nivel3"/>
        <w:numPr>
          <w:ilvl w:val="2"/>
          <w:numId w:val="2"/>
        </w:numPr>
        <w:spacing w:lineRule="auto" w:line="360" w:before="0" w:after="0"/>
        <w:ind w:hanging="0" w:left="0"/>
        <w:rPr>
          <w:sz w:val="22"/>
          <w:szCs w:val="22"/>
        </w:rPr>
      </w:pPr>
      <w:r>
        <w:rPr>
          <w:sz w:val="22"/>
          <w:szCs w:val="22"/>
        </w:rPr>
        <w:t>impedimento de licitar e contratar e</w:t>
      </w:r>
    </w:p>
    <w:p>
      <w:pPr>
        <w:pStyle w:val="Nivel3"/>
        <w:numPr>
          <w:ilvl w:val="2"/>
          <w:numId w:val="2"/>
        </w:numPr>
        <w:spacing w:lineRule="auto" w:line="360" w:before="0" w:after="0"/>
        <w:ind w:hanging="0" w:left="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2"/>
        </w:numPr>
        <w:spacing w:lineRule="auto" w:line="360" w:before="0" w:after="0"/>
        <w:ind w:hanging="0" w:left="0"/>
        <w:rPr>
          <w:sz w:val="22"/>
          <w:szCs w:val="22"/>
        </w:rPr>
      </w:pPr>
      <w:r>
        <w:rPr>
          <w:sz w:val="22"/>
          <w:szCs w:val="22"/>
        </w:rPr>
        <w:t>Na aplicação das sanções serão considerados:</w:t>
      </w:r>
    </w:p>
    <w:p>
      <w:pPr>
        <w:pStyle w:val="Nivel3"/>
        <w:numPr>
          <w:ilvl w:val="2"/>
          <w:numId w:val="2"/>
        </w:numPr>
        <w:spacing w:lineRule="auto" w:line="360" w:before="0" w:after="0"/>
        <w:ind w:hanging="0" w:left="0"/>
        <w:rPr>
          <w:sz w:val="22"/>
          <w:szCs w:val="22"/>
        </w:rPr>
      </w:pPr>
      <w:r>
        <w:rPr>
          <w:sz w:val="22"/>
          <w:szCs w:val="22"/>
        </w:rPr>
        <w:t>a natureza e a gravidade da infração cometida.</w:t>
      </w:r>
    </w:p>
    <w:p>
      <w:pPr>
        <w:pStyle w:val="Nivel3"/>
        <w:numPr>
          <w:ilvl w:val="2"/>
          <w:numId w:val="2"/>
        </w:numPr>
        <w:spacing w:lineRule="auto" w:line="360" w:before="0" w:after="0"/>
        <w:ind w:hanging="0" w:left="0"/>
        <w:rPr>
          <w:sz w:val="22"/>
          <w:szCs w:val="22"/>
        </w:rPr>
      </w:pPr>
      <w:r>
        <w:rPr>
          <w:sz w:val="22"/>
          <w:szCs w:val="22"/>
        </w:rPr>
        <w:t>as peculiaridades do caso concreto</w:t>
      </w:r>
    </w:p>
    <w:p>
      <w:pPr>
        <w:pStyle w:val="Nivel3"/>
        <w:numPr>
          <w:ilvl w:val="2"/>
          <w:numId w:val="2"/>
        </w:numPr>
        <w:spacing w:lineRule="auto" w:line="360" w:before="0" w:after="0"/>
        <w:ind w:hanging="0" w:left="0"/>
        <w:rPr>
          <w:sz w:val="22"/>
          <w:szCs w:val="22"/>
        </w:rPr>
      </w:pPr>
      <w:r>
        <w:rPr>
          <w:sz w:val="22"/>
          <w:szCs w:val="22"/>
        </w:rPr>
        <w:t>as circunstâncias agravantes ou atenuantes</w:t>
      </w:r>
    </w:p>
    <w:p>
      <w:pPr>
        <w:pStyle w:val="Nivel3"/>
        <w:numPr>
          <w:ilvl w:val="2"/>
          <w:numId w:val="2"/>
        </w:numPr>
        <w:spacing w:lineRule="auto" w:line="360" w:before="0" w:after="0"/>
        <w:ind w:hanging="0" w:left="0"/>
        <w:rPr>
          <w:sz w:val="22"/>
          <w:szCs w:val="22"/>
        </w:rPr>
      </w:pPr>
      <w:r>
        <w:rPr>
          <w:sz w:val="22"/>
          <w:szCs w:val="22"/>
        </w:rPr>
        <w:t>os danos que dela provierem para a Administração Pública</w:t>
      </w:r>
    </w:p>
    <w:p>
      <w:pPr>
        <w:pStyle w:val="Nivel3"/>
        <w:numPr>
          <w:ilvl w:val="2"/>
          <w:numId w:val="2"/>
        </w:numPr>
        <w:spacing w:lineRule="auto" w:line="360" w:before="0" w:after="0"/>
        <w:ind w:hanging="0" w:left="0"/>
        <w:rPr>
          <w:sz w:val="22"/>
          <w:szCs w:val="22"/>
        </w:rPr>
      </w:pPr>
      <w:r>
        <w:rPr>
          <w:sz w:val="22"/>
          <w:szCs w:val="22"/>
        </w:rPr>
        <w:t>a implantação ou o aperfeiçoamento de programa de integridade, conforme normas e orientações dos órgãos de controle.</w:t>
      </w:r>
    </w:p>
    <w:p>
      <w:pPr>
        <w:pStyle w:val="Nivel2"/>
        <w:numPr>
          <w:ilvl w:val="1"/>
          <w:numId w:val="2"/>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2"/>
        </w:numPr>
        <w:spacing w:lineRule="auto" w:line="360" w:before="0" w:after="0"/>
        <w:ind w:hanging="0" w:left="0"/>
        <w:rPr>
          <w:sz w:val="22"/>
          <w:szCs w:val="22"/>
        </w:rPr>
      </w:pPr>
      <w:bookmarkStart w:id="65" w:name="_Hlk113876035"/>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bookmarkEnd w:id="65"/>
    </w:p>
    <w:p>
      <w:pPr>
        <w:pStyle w:val="Nivel3"/>
        <w:numPr>
          <w:ilvl w:val="2"/>
          <w:numId w:val="2"/>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2"/>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2"/>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2"/>
        </w:numPr>
        <w:spacing w:lineRule="auto" w:line="360" w:before="0" w:after="0"/>
        <w:ind w:hanging="0" w:left="0"/>
        <w:rPr>
          <w:sz w:val="22"/>
          <w:szCs w:val="22"/>
        </w:rPr>
      </w:pPr>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2"/>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A recusa injustificada do adjudicatário em assinar o contrato ou,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2"/>
        </w:numPr>
        <w:spacing w:lineRule="auto" w:line="360" w:before="0" w:after="0"/>
        <w:ind w:hanging="0" w:left="0"/>
        <w:rPr>
          <w:sz w:val="22"/>
          <w:szCs w:val="22"/>
        </w:rPr>
      </w:pPr>
      <w:r>
        <w:rPr>
          <w:sz w:val="22"/>
          <w:szCs w:val="22"/>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pPr>
        <w:pStyle w:val="Nivel2"/>
        <w:numPr>
          <w:ilvl w:val="1"/>
          <w:numId w:val="2"/>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2"/>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2"/>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2"/>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DA IMPUGNAÇÃO AO EDITAL E DO PEDIDO DE ESCLARECIMENTO</w:t>
      </w:r>
    </w:p>
    <w:p>
      <w:pPr>
        <w:pStyle w:val="Nivel2"/>
        <w:numPr>
          <w:ilvl w:val="1"/>
          <w:numId w:val="2"/>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2"/>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2"/>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color w:val="000000"/>
            <w:sz w:val="22"/>
            <w:szCs w:val="22"/>
          </w:rPr>
          <w:t>licitacoes@licitacoes.itatiba.sp.gov.br</w:t>
        </w:r>
      </w:hyperlink>
      <w:r>
        <w:rPr>
          <w:sz w:val="22"/>
          <w:szCs w:val="22"/>
        </w:rPr>
        <w:t>.</w:t>
      </w:r>
    </w:p>
    <w:p>
      <w:pPr>
        <w:pStyle w:val="Nivel2"/>
        <w:numPr>
          <w:ilvl w:val="1"/>
          <w:numId w:val="2"/>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2"/>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2"/>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DAS DISPOSIÇÕES GERAIS</w:t>
      </w:r>
    </w:p>
    <w:p>
      <w:pPr>
        <w:pStyle w:val="Nivel2"/>
        <w:numPr>
          <w:ilvl w:val="1"/>
          <w:numId w:val="2"/>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2"/>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2"/>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2"/>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2"/>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2"/>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2"/>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2"/>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2"/>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2"/>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2"/>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2"/>
        </w:numPr>
        <w:spacing w:lineRule="auto" w:line="360" w:before="0" w:after="0"/>
        <w:ind w:hanging="0" w:left="0"/>
        <w:rPr>
          <w:sz w:val="22"/>
          <w:szCs w:val="22"/>
        </w:rPr>
      </w:pPr>
      <w:r>
        <w:rPr>
          <w:sz w:val="22"/>
          <w:szCs w:val="22"/>
        </w:rPr>
        <w:t>ANEXO I - Termo de Referência;</w:t>
      </w:r>
    </w:p>
    <w:p>
      <w:pPr>
        <w:pStyle w:val="Nivel3"/>
        <w:numPr>
          <w:ilvl w:val="2"/>
          <w:numId w:val="2"/>
        </w:numPr>
        <w:spacing w:lineRule="auto" w:line="360" w:before="0" w:after="0"/>
        <w:ind w:hanging="0" w:left="0"/>
        <w:rPr>
          <w:sz w:val="22"/>
          <w:szCs w:val="22"/>
        </w:rPr>
      </w:pPr>
      <w:r>
        <w:rPr>
          <w:sz w:val="22"/>
          <w:szCs w:val="22"/>
        </w:rPr>
        <w:t>ANEXO II – Modelo de Procuração;</w:t>
      </w:r>
    </w:p>
    <w:p>
      <w:pPr>
        <w:pStyle w:val="Nivel3"/>
        <w:numPr>
          <w:ilvl w:val="2"/>
          <w:numId w:val="2"/>
        </w:numPr>
        <w:spacing w:lineRule="auto" w:line="360" w:before="0" w:after="0"/>
        <w:ind w:hanging="0" w:left="0"/>
        <w:rPr>
          <w:sz w:val="22"/>
          <w:szCs w:val="22"/>
        </w:rPr>
      </w:pPr>
      <w:r>
        <w:rPr>
          <w:sz w:val="22"/>
          <w:szCs w:val="22"/>
        </w:rPr>
        <w:t>ANEXO III – Declaração assegurando a inexistência de impedimento legal para licitar ou contratar com a Administração.</w:t>
      </w:r>
    </w:p>
    <w:p>
      <w:pPr>
        <w:pStyle w:val="Nivel3"/>
        <w:numPr>
          <w:ilvl w:val="2"/>
          <w:numId w:val="2"/>
        </w:numPr>
        <w:spacing w:lineRule="auto" w:line="360" w:before="0" w:after="0"/>
        <w:ind w:hanging="0" w:left="0"/>
        <w:rPr>
          <w:sz w:val="22"/>
          <w:szCs w:val="22"/>
        </w:rPr>
      </w:pPr>
      <w:r>
        <w:rPr>
          <w:sz w:val="22"/>
          <w:szCs w:val="22"/>
        </w:rPr>
        <w:t>ANEXO IV – Modelo de Declaração de qualificação microempresa ou empresa de pequeno porte.</w:t>
      </w:r>
    </w:p>
    <w:p>
      <w:pPr>
        <w:pStyle w:val="Nivel3"/>
        <w:numPr>
          <w:ilvl w:val="2"/>
          <w:numId w:val="2"/>
        </w:numPr>
        <w:spacing w:lineRule="auto" w:line="360" w:before="0" w:after="0"/>
        <w:ind w:hanging="0" w:left="0"/>
        <w:rPr>
          <w:sz w:val="22"/>
          <w:szCs w:val="22"/>
        </w:rPr>
      </w:pPr>
      <w:r>
        <w:rPr>
          <w:sz w:val="22"/>
          <w:szCs w:val="22"/>
        </w:rPr>
        <w:t>ANEXO V – Modelo de Proposta</w:t>
      </w:r>
    </w:p>
    <w:p>
      <w:pPr>
        <w:pStyle w:val="Nivel3"/>
        <w:numPr>
          <w:ilvl w:val="2"/>
          <w:numId w:val="2"/>
        </w:numPr>
        <w:spacing w:lineRule="auto" w:line="360" w:before="0" w:after="0"/>
        <w:ind w:hanging="0" w:left="0"/>
        <w:rPr>
          <w:sz w:val="22"/>
          <w:szCs w:val="22"/>
        </w:rPr>
      </w:pPr>
      <w:r>
        <w:rPr>
          <w:sz w:val="22"/>
          <w:szCs w:val="22"/>
        </w:rPr>
        <w:t>ANEXO VI - Minuta de Autorização de Fornecimento</w:t>
      </w:r>
    </w:p>
    <w:p>
      <w:pPr>
        <w:pStyle w:val="Nivel3"/>
        <w:numPr>
          <w:ilvl w:val="2"/>
          <w:numId w:val="2"/>
        </w:numPr>
        <w:spacing w:lineRule="auto" w:line="360" w:before="0" w:after="0"/>
        <w:ind w:hanging="0" w:left="0"/>
        <w:rPr>
          <w:sz w:val="22"/>
          <w:szCs w:val="22"/>
        </w:rPr>
      </w:pPr>
      <w:bookmarkStart w:id="66" w:name="_Hlk82473550"/>
      <w:r>
        <w:rPr>
          <w:sz w:val="22"/>
          <w:szCs w:val="22"/>
        </w:rPr>
        <w:t>ANEXO VII – Minuta do Contrato</w:t>
      </w:r>
      <w:bookmarkEnd w:id="66"/>
    </w:p>
    <w:p>
      <w:pPr>
        <w:pStyle w:val="Normal"/>
        <w:spacing w:lineRule="auto" w:line="360"/>
        <w:rPr>
          <w:rFonts w:ascii="Arial" w:hAnsi="Arial" w:eastAsia="MS Mincho" w:cs="Arial"/>
          <w:color w:val="000000"/>
          <w:sz w:val="22"/>
          <w:szCs w:val="22"/>
        </w:rPr>
      </w:pPr>
      <w:r>
        <w:rPr>
          <w:rFonts w:eastAsia="MS Mincho" w:cs="Arial" w:ascii="Arial" w:hAnsi="Arial"/>
          <w:color w:val="000000"/>
          <w:sz w:val="22"/>
          <w:szCs w:val="22"/>
        </w:rPr>
      </w:r>
    </w:p>
    <w:p>
      <w:pPr>
        <w:pStyle w:val="Normal"/>
        <w:spacing w:lineRule="auto" w:line="360"/>
        <w:rPr>
          <w:rFonts w:ascii="Arial" w:hAnsi="Arial" w:cs="Arial"/>
          <w:sz w:val="22"/>
          <w:szCs w:val="22"/>
        </w:rPr>
      </w:pPr>
      <w:r>
        <w:rPr>
          <w:rFonts w:eastAsia="MS Mincho" w:cs="Arial" w:ascii="Arial" w:hAnsi="Arial"/>
          <w:sz w:val="22"/>
          <w:szCs w:val="22"/>
        </w:rPr>
        <w:t xml:space="preserve">Itatiba, </w:t>
      </w:r>
      <w:r>
        <w:rPr>
          <w:rFonts w:eastAsia="MS Mincho" w:cs="Arial" w:ascii="Arial" w:hAnsi="Arial"/>
          <w:sz w:val="22"/>
          <w:szCs w:val="22"/>
        </w:rPr>
        <w:t>24 de abril de 2026.</w:t>
      </w:r>
    </w:p>
    <w:p>
      <w:pPr>
        <w:pStyle w:val="Normal"/>
        <w:spacing w:lineRule="auto" w:line="360"/>
        <w:ind w:right="-54"/>
        <w:rPr>
          <w:rFonts w:ascii="Arial" w:hAnsi="Arial" w:cs="Arial"/>
          <w:b/>
          <w:bCs/>
          <w:color w:val="000000"/>
          <w:sz w:val="22"/>
          <w:szCs w:val="22"/>
          <w:lang w:val="fr-FR"/>
        </w:rPr>
      </w:pPr>
      <w:r>
        <w:rPr>
          <w:rFonts w:cs="Arial" w:ascii="Arial" w:hAnsi="Arial"/>
          <w:b/>
          <w:bCs/>
          <w:color w:val="000000"/>
          <w:sz w:val="22"/>
          <w:szCs w:val="22"/>
          <w:lang w:val="fr-FR"/>
        </w:rPr>
      </w:r>
    </w:p>
    <w:p>
      <w:pPr>
        <w:pStyle w:val="Normal"/>
        <w:spacing w:lineRule="auto" w:line="360"/>
        <w:ind w:right="-54"/>
        <w:jc w:val="center"/>
        <w:rPr>
          <w:rFonts w:ascii="Arial" w:hAnsi="Arial" w:cs="Arial"/>
          <w:b/>
          <w:bCs/>
          <w:sz w:val="22"/>
          <w:szCs w:val="22"/>
        </w:rPr>
      </w:pPr>
      <w:r>
        <w:rPr>
          <w:rFonts w:cs="Arial" w:ascii="Arial" w:hAnsi="Arial"/>
          <w:b/>
          <w:bCs/>
          <w:sz w:val="22"/>
          <w:szCs w:val="22"/>
        </w:rPr>
        <w:t>ADILSON FRANCO PENTEADO</w:t>
      </w:r>
    </w:p>
    <w:p>
      <w:pPr>
        <w:pStyle w:val="Normal"/>
        <w:spacing w:lineRule="auto" w:line="360"/>
        <w:ind w:right="-54"/>
        <w:jc w:val="center"/>
        <w:rPr>
          <w:rFonts w:ascii="Arial" w:hAnsi="Arial" w:cs="Arial"/>
          <w:b/>
          <w:bCs/>
          <w:sz w:val="22"/>
          <w:szCs w:val="22"/>
        </w:rPr>
      </w:pPr>
      <w:r>
        <w:rPr>
          <w:rFonts w:cs="Arial" w:ascii="Arial" w:hAnsi="Arial"/>
          <w:b/>
          <w:bCs/>
          <w:sz w:val="22"/>
          <w:szCs w:val="22"/>
        </w:rPr>
        <w:t>Secretário Municipal de Obras</w:t>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21</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28</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1.432/2026</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3"/>
        </w:numPr>
        <w:tabs>
          <w:tab w:val="left" w:pos="567" w:leader="none"/>
          <w:tab w:val="left" w:pos="709" w:leader="none"/>
        </w:tabs>
        <w:spacing w:lineRule="auto" w:line="360" w:before="120" w:after="288"/>
        <w:ind w:hanging="0" w:left="0"/>
        <w:rPr>
          <w:sz w:val="22"/>
          <w:szCs w:val="22"/>
        </w:rPr>
      </w:pPr>
      <w:r>
        <w:rPr>
          <w:sz w:val="22"/>
          <w:szCs w:val="22"/>
        </w:rPr>
        <w:t>CONDIÇÕES GERAIS DA CONTRATAÇÃO</w:t>
      </w:r>
    </w:p>
    <w:p>
      <w:pPr>
        <w:pStyle w:val="Normal"/>
        <w:spacing w:lineRule="auto" w:line="360"/>
        <w:jc w:val="both"/>
        <w:rPr>
          <w:rFonts w:ascii="Arial" w:hAnsi="Arial" w:cs="Arial"/>
          <w:sz w:val="22"/>
          <w:szCs w:val="22"/>
        </w:rPr>
      </w:pPr>
      <w:r>
        <w:rPr>
          <w:rFonts w:cs="Arial" w:ascii="Arial" w:hAnsi="Arial"/>
          <w:sz w:val="22"/>
          <w:szCs w:val="22"/>
        </w:rPr>
        <w:t xml:space="preserve">1.1 O presente Termo de Referência tem por objeto a contratação </w:t>
      </w:r>
      <w:r>
        <w:rPr>
          <w:rFonts w:eastAsia="MS Mincho" w:cs="Arial" w:ascii="Arial" w:hAnsi="Arial"/>
          <w:color w:val="000000"/>
          <w:kern w:val="0"/>
          <w:sz w:val="22"/>
          <w:szCs w:val="22"/>
        </w:rPr>
        <w:t>de prestação dos serviços de remoção, guarda e depósito de veículos automotores envolvidos em infrações de trânsito, abandonados ou acidentados nas vias públicas do município de Itatiba, pelo período de 24 (vinte e quatro) meses</w:t>
      </w:r>
      <w:r>
        <w:rPr>
          <w:rFonts w:cs="Arial" w:ascii="Arial" w:hAnsi="Arial"/>
          <w:sz w:val="22"/>
          <w:szCs w:val="22"/>
        </w:rPr>
        <w:t xml:space="preserve">, em conformidade com as quantidades e especificações constantes deste Termo de Referência, bem como a integração de informações com o sistema de frotas, nos termos da tabela abaixo, conforme condições e exigências estabelecidas neste instrumento.     </w:t>
      </w:r>
    </w:p>
    <w:p>
      <w:pPr>
        <w:pStyle w:val="Normal"/>
        <w:spacing w:lineRule="auto" w:line="360"/>
        <w:jc w:val="both"/>
        <w:rPr>
          <w:rFonts w:ascii="Arial" w:hAnsi="Arial" w:eastAsia="MS Mincho" w:cs="Arial"/>
          <w:color w:val="000000"/>
          <w:kern w:val="0"/>
          <w:sz w:val="22"/>
          <w:szCs w:val="22"/>
        </w:rPr>
      </w:pPr>
      <w:r>
        <w:rPr>
          <w:rFonts w:eastAsia="MS Mincho" w:cs="Arial" w:ascii="Arial" w:hAnsi="Arial"/>
          <w:color w:val="000000"/>
          <w:kern w:val="0"/>
          <w:sz w:val="22"/>
          <w:szCs w:val="22"/>
        </w:rPr>
      </w:r>
    </w:p>
    <w:p>
      <w:pPr>
        <w:pStyle w:val="Nivel2"/>
        <w:tabs>
          <w:tab w:val="clear" w:pos="0"/>
        </w:tabs>
        <w:spacing w:lineRule="auto" w:line="360" w:before="0" w:after="0"/>
        <w:ind w:hanging="0" w:left="0"/>
        <w:rPr>
          <w:b/>
          <w:bCs/>
          <w:sz w:val="22"/>
          <w:szCs w:val="22"/>
        </w:rPr>
      </w:pPr>
      <w:r>
        <w:rPr>
          <w:b/>
          <w:bCs/>
          <w:sz w:val="22"/>
          <w:szCs w:val="22"/>
        </w:rPr>
        <w:t xml:space="preserve">2. TABELA DE QUANTITATIVOS </w:t>
      </w:r>
    </w:p>
    <w:p>
      <w:pPr>
        <w:pStyle w:val="Nivel2"/>
        <w:tabs>
          <w:tab w:val="clear" w:pos="0"/>
        </w:tabs>
        <w:spacing w:lineRule="auto" w:line="360" w:before="0" w:after="0"/>
        <w:ind w:hanging="0" w:left="0"/>
        <w:rPr>
          <w:sz w:val="22"/>
          <w:szCs w:val="22"/>
        </w:rPr>
      </w:pPr>
      <w:r>
        <w:rPr>
          <w:sz w:val="22"/>
          <w:szCs w:val="22"/>
        </w:rPr>
      </w:r>
    </w:p>
    <w:tbl>
      <w:tblPr>
        <w:tblW w:w="8445" w:type="dxa"/>
        <w:jc w:val="center"/>
        <w:tblInd w:w="0" w:type="dxa"/>
        <w:tblLayout w:type="fixed"/>
        <w:tblCellMar>
          <w:top w:w="15" w:type="dxa"/>
          <w:left w:w="15" w:type="dxa"/>
          <w:bottom w:w="15" w:type="dxa"/>
          <w:right w:w="15" w:type="dxa"/>
        </w:tblCellMar>
        <w:tblLook w:firstRow="1" w:noVBand="1" w:lastRow="0" w:firstColumn="1" w:lastColumn="0" w:noHBand="0" w:val="04a0"/>
      </w:tblPr>
      <w:tblGrid>
        <w:gridCol w:w="733"/>
        <w:gridCol w:w="2253"/>
        <w:gridCol w:w="1033"/>
        <w:gridCol w:w="1260"/>
        <w:gridCol w:w="1710"/>
        <w:gridCol w:w="1455"/>
      </w:tblGrid>
      <w:tr>
        <w:trPr>
          <w:tblHeader w:val="true"/>
        </w:trPr>
        <w:tc>
          <w:tcPr>
            <w:tcW w:w="7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right="-39"/>
              <w:contextualSpacing/>
              <w:jc w:val="center"/>
              <w:rPr>
                <w:rFonts w:ascii="Arial" w:hAnsi="Arial" w:cs="Arial"/>
                <w:sz w:val="18"/>
                <w:szCs w:val="18"/>
              </w:rPr>
            </w:pPr>
            <w:r>
              <w:rPr>
                <w:rFonts w:cs="Arial" w:ascii="Arial" w:hAnsi="Arial"/>
                <w:b/>
                <w:bCs/>
                <w:sz w:val="18"/>
                <w:szCs w:val="18"/>
              </w:rPr>
              <w:t>LOTE 01</w:t>
            </w:r>
          </w:p>
        </w:tc>
        <w:tc>
          <w:tcPr>
            <w:tcW w:w="2253"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b/>
                <w:bCs/>
                <w:sz w:val="18"/>
                <w:szCs w:val="18"/>
              </w:rPr>
              <w:t>DESCRIÇÃO</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b/>
                <w:bCs/>
                <w:sz w:val="18"/>
                <w:szCs w:val="18"/>
              </w:rPr>
            </w:pPr>
            <w:r>
              <w:rPr>
                <w:rFonts w:cs="Arial" w:ascii="Arial" w:hAnsi="Arial"/>
                <w:b/>
                <w:bCs/>
                <w:sz w:val="18"/>
                <w:szCs w:val="18"/>
              </w:rPr>
              <w:t>UNIDADE</w:t>
            </w:r>
          </w:p>
        </w:tc>
        <w:tc>
          <w:tcPr>
            <w:tcW w:w="126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b/>
                <w:bCs/>
                <w:sz w:val="18"/>
                <w:szCs w:val="18"/>
              </w:rPr>
              <w:t>QTD. TOTAL (24 MESES)</w:t>
            </w:r>
          </w:p>
        </w:tc>
        <w:tc>
          <w:tcPr>
            <w:tcW w:w="171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b/>
                <w:bCs/>
                <w:sz w:val="18"/>
                <w:szCs w:val="18"/>
              </w:rPr>
            </w:pPr>
            <w:r>
              <w:rPr>
                <w:rFonts w:cs="Arial" w:ascii="Arial" w:hAnsi="Arial"/>
                <w:b/>
                <w:bCs/>
                <w:sz w:val="18"/>
                <w:szCs w:val="18"/>
              </w:rPr>
              <w:t>VALOR DA TARIFA UNITÁRIA (R$)</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b/>
                <w:bCs/>
                <w:sz w:val="18"/>
                <w:szCs w:val="18"/>
              </w:rPr>
            </w:pPr>
            <w:r>
              <w:rPr>
                <w:rFonts w:cs="Arial" w:ascii="Arial" w:hAnsi="Arial"/>
                <w:b/>
                <w:bCs/>
                <w:sz w:val="18"/>
                <w:szCs w:val="18"/>
              </w:rPr>
              <w:t>VALOR TOTAL ESTIMADO (R$)</w:t>
            </w:r>
          </w:p>
        </w:tc>
      </w:tr>
      <w:tr>
        <w:trPr>
          <w:trHeight w:val="364" w:hRule="atLeast"/>
        </w:trPr>
        <w:tc>
          <w:tcPr>
            <w:tcW w:w="7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1.1</w:t>
            </w:r>
          </w:p>
        </w:tc>
        <w:tc>
          <w:tcPr>
            <w:tcW w:w="2253"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Remoção Pesados</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UN</w:t>
            </w:r>
          </w:p>
        </w:tc>
        <w:tc>
          <w:tcPr>
            <w:tcW w:w="126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48</w:t>
            </w:r>
          </w:p>
        </w:tc>
        <w:tc>
          <w:tcPr>
            <w:tcW w:w="171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407,22</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19.546,56</w:t>
            </w:r>
          </w:p>
        </w:tc>
      </w:tr>
      <w:tr>
        <w:trPr/>
        <w:tc>
          <w:tcPr>
            <w:tcW w:w="7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1.2</w:t>
            </w:r>
          </w:p>
        </w:tc>
        <w:tc>
          <w:tcPr>
            <w:tcW w:w="2253"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Remoção Leves/Médios</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UN</w:t>
            </w:r>
          </w:p>
        </w:tc>
        <w:tc>
          <w:tcPr>
            <w:tcW w:w="126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360</w:t>
            </w:r>
          </w:p>
        </w:tc>
        <w:tc>
          <w:tcPr>
            <w:tcW w:w="171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407,22</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146.599,20</w:t>
            </w:r>
          </w:p>
        </w:tc>
      </w:tr>
      <w:tr>
        <w:trPr/>
        <w:tc>
          <w:tcPr>
            <w:tcW w:w="7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1.3</w:t>
            </w:r>
          </w:p>
        </w:tc>
        <w:tc>
          <w:tcPr>
            <w:tcW w:w="2253"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Remoção Motos</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UN</w:t>
            </w:r>
          </w:p>
        </w:tc>
        <w:tc>
          <w:tcPr>
            <w:tcW w:w="126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528</w:t>
            </w:r>
          </w:p>
        </w:tc>
        <w:tc>
          <w:tcPr>
            <w:tcW w:w="171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407,22</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215.012,16</w:t>
            </w:r>
          </w:p>
        </w:tc>
      </w:tr>
      <w:tr>
        <w:trPr/>
        <w:tc>
          <w:tcPr>
            <w:tcW w:w="7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1.4</w:t>
            </w:r>
          </w:p>
        </w:tc>
        <w:tc>
          <w:tcPr>
            <w:tcW w:w="2253"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Estadia Pesados (Diárias)</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DIÁRIA</w:t>
            </w:r>
          </w:p>
        </w:tc>
        <w:tc>
          <w:tcPr>
            <w:tcW w:w="126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3.870</w:t>
            </w:r>
          </w:p>
        </w:tc>
        <w:tc>
          <w:tcPr>
            <w:tcW w:w="171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40,72</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157.586,40</w:t>
            </w:r>
          </w:p>
        </w:tc>
      </w:tr>
      <w:tr>
        <w:trPr/>
        <w:tc>
          <w:tcPr>
            <w:tcW w:w="7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1.5</w:t>
            </w:r>
          </w:p>
        </w:tc>
        <w:tc>
          <w:tcPr>
            <w:tcW w:w="2253"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Estadia Leves (Diárias)</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DIÁRIA</w:t>
            </w:r>
          </w:p>
        </w:tc>
        <w:tc>
          <w:tcPr>
            <w:tcW w:w="126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29.025</w:t>
            </w:r>
          </w:p>
        </w:tc>
        <w:tc>
          <w:tcPr>
            <w:tcW w:w="171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40,72</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1.181.898,00</w:t>
            </w:r>
          </w:p>
        </w:tc>
      </w:tr>
      <w:tr>
        <w:trPr/>
        <w:tc>
          <w:tcPr>
            <w:tcW w:w="7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1.6</w:t>
            </w:r>
          </w:p>
        </w:tc>
        <w:tc>
          <w:tcPr>
            <w:tcW w:w="2253"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Estadia Motos (Diárias)</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DIÁRIA</w:t>
            </w:r>
          </w:p>
        </w:tc>
        <w:tc>
          <w:tcPr>
            <w:tcW w:w="126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42.570</w:t>
            </w:r>
          </w:p>
        </w:tc>
        <w:tc>
          <w:tcPr>
            <w:tcW w:w="1710" w:type="dxa"/>
            <w:tcBorders>
              <w:top w:val="single" w:sz="6" w:space="0" w:color="000000"/>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40,72</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1.733.450,40</w:t>
            </w:r>
          </w:p>
        </w:tc>
      </w:tr>
      <w:tr>
        <w:trPr>
          <w:trHeight w:val="555" w:hRule="atLeast"/>
        </w:trPr>
        <w:tc>
          <w:tcPr>
            <w:tcW w:w="6989" w:type="dxa"/>
            <w:gridSpan w:val="5"/>
            <w:tcBorders>
              <w:left w:val="single" w:sz="6" w:space="0" w:color="000000"/>
              <w:bottom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VALOR TOTAL R$</w:t>
            </w:r>
          </w:p>
        </w:tc>
        <w:tc>
          <w:tcPr>
            <w:tcW w:w="1455" w:type="dxa"/>
            <w:tcBorders>
              <w:left w:val="single" w:sz="6" w:space="0" w:color="000000"/>
              <w:bottom w:val="single" w:sz="6" w:space="0" w:color="000000"/>
              <w:right w:val="single" w:sz="6" w:space="0" w:color="000000"/>
            </w:tcBorders>
            <w:vAlign w:val="center"/>
          </w:tcPr>
          <w:p>
            <w:pPr>
              <w:pStyle w:val="Normal"/>
              <w:spacing w:lineRule="auto" w:line="360" w:before="0" w:after="0"/>
              <w:contextualSpacing/>
              <w:jc w:val="center"/>
              <w:rPr>
                <w:rFonts w:ascii="Arial" w:hAnsi="Arial" w:cs="Arial"/>
                <w:sz w:val="18"/>
                <w:szCs w:val="18"/>
              </w:rPr>
            </w:pPr>
            <w:r>
              <w:rPr>
                <w:rFonts w:cs="Arial" w:ascii="Arial" w:hAnsi="Arial"/>
                <w:sz w:val="18"/>
                <w:szCs w:val="18"/>
              </w:rPr>
              <w:t>3.454.092,72</w:t>
            </w:r>
          </w:p>
        </w:tc>
      </w:tr>
    </w:tbl>
    <w:p>
      <w:pPr>
        <w:pStyle w:val="Nivel2"/>
        <w:tabs>
          <w:tab w:val="clear" w:pos="0"/>
        </w:tabs>
        <w:spacing w:lineRule="auto" w:line="360" w:before="0" w:after="0"/>
        <w:ind w:hanging="0" w:left="0"/>
        <w:rPr>
          <w:sz w:val="22"/>
          <w:szCs w:val="22"/>
        </w:rPr>
      </w:pPr>
      <w:r>
        <w:rPr>
          <w:sz w:val="22"/>
          <w:szCs w:val="22"/>
        </w:rPr>
      </w:r>
    </w:p>
    <w:p>
      <w:pPr>
        <w:pStyle w:val="Normal"/>
        <w:spacing w:lineRule="auto" w:line="360" w:before="0" w:after="0"/>
        <w:contextualSpacing/>
        <w:jc w:val="both"/>
        <w:rPr>
          <w:rFonts w:ascii="Arial" w:hAnsi="Arial" w:cs="Arial"/>
        </w:rPr>
      </w:pPr>
      <w:r>
        <w:rPr>
          <w:rFonts w:cs="Arial" w:ascii="Arial" w:hAnsi="Arial"/>
          <w:sz w:val="22"/>
          <w:szCs w:val="22"/>
          <w:u w:val="single"/>
        </w:rPr>
        <w:t>2.1 – JULGAMENTO</w:t>
      </w:r>
      <w:r>
        <w:rPr>
          <w:rFonts w:cs="Arial" w:ascii="Arial" w:hAnsi="Arial"/>
          <w:sz w:val="22"/>
          <w:szCs w:val="22"/>
        </w:rPr>
        <w:t xml:space="preserve"> – O critério de julgamento da presente licitação será o menor preço global, obtido através do maior desconto percentual ofertado sobre o valor das tarifas públicas de remoção e estadia fixadas pela Lei Municipal nº 5.852/2026.</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ListParagraph"/>
        <w:numPr>
          <w:ilvl w:val="0"/>
          <w:numId w:val="10"/>
        </w:numPr>
        <w:spacing w:lineRule="auto" w:line="360" w:before="0" w:after="0"/>
        <w:contextualSpacing/>
        <w:jc w:val="both"/>
        <w:rPr>
          <w:rFonts w:ascii="Arial" w:hAnsi="Arial" w:cs="Arial"/>
          <w:sz w:val="22"/>
          <w:szCs w:val="22"/>
        </w:rPr>
      </w:pPr>
      <w:r>
        <w:rPr>
          <w:rFonts w:cs="Arial" w:ascii="Arial" w:hAnsi="Arial"/>
          <w:b/>
          <w:bCs/>
          <w:sz w:val="22"/>
          <w:szCs w:val="22"/>
        </w:rPr>
        <w:t>PRAZO DE VIGÊNCIA E EXECUÇÃO</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Vigência: 24 (vinte e quatro) meses, contados a partir da assinatura do contrato, prorrogável nos termos da Lei.</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Início da Operação: Após a emissão da Ordem de Serviço, o CONTRATADO terá até 90 dias para comprovar ao Departamento de Mobilidade e Trânsito, toda a estrutura exigida neste edital – instalações e equipamentos.</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ListParagraph"/>
        <w:numPr>
          <w:ilvl w:val="0"/>
          <w:numId w:val="10"/>
        </w:numPr>
        <w:spacing w:lineRule="auto" w:line="360" w:before="0" w:after="0"/>
        <w:contextualSpacing/>
        <w:jc w:val="both"/>
        <w:rPr>
          <w:rFonts w:ascii="Arial" w:hAnsi="Arial" w:cs="Arial"/>
          <w:sz w:val="22"/>
          <w:szCs w:val="22"/>
        </w:rPr>
      </w:pPr>
      <w:r>
        <w:rPr>
          <w:rFonts w:cs="Arial" w:ascii="Arial" w:hAnsi="Arial"/>
          <w:b/>
          <w:bCs/>
          <w:sz w:val="22"/>
          <w:szCs w:val="22"/>
        </w:rPr>
        <w:t>LOCAL DA PRESTAÇÃO DOS SERVIÇOS</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O Pátio de Recolhimento deverá estar localizado, obrigatoriamente, dentro do perímetro urbano do Município de Itatiba.</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 localização interna visa não onerar o munícipe com deslocamentos intermunicipais excessivos e custos elevados de transporte para a recuperação do seu bem, garantindo o princípio da modicidade tarifária e facilitando o acesso por transporte público.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ListParagraph"/>
        <w:numPr>
          <w:ilvl w:val="0"/>
          <w:numId w:val="10"/>
        </w:numPr>
        <w:spacing w:lineRule="auto" w:line="360" w:before="0" w:after="0"/>
        <w:contextualSpacing/>
        <w:jc w:val="both"/>
        <w:rPr>
          <w:rFonts w:ascii="Arial" w:hAnsi="Arial" w:cs="Arial"/>
          <w:sz w:val="22"/>
          <w:szCs w:val="22"/>
        </w:rPr>
      </w:pPr>
      <w:r>
        <w:rPr>
          <w:rFonts w:cs="Arial" w:ascii="Arial" w:hAnsi="Arial"/>
          <w:b/>
          <w:bCs/>
          <w:sz w:val="22"/>
          <w:szCs w:val="22"/>
        </w:rPr>
        <w:t>ESPECIFICAÇÕES TÉCNICAS DO DEPÓSITO (PÁTIO)</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 Contratada deverá disponibilizar área de, no mínimo, 2.500,00 m², a fim de se abrigar adequadamente as estruturas requeridas, bem como veículos depositad</w:t>
      </w:r>
      <w:r>
        <w:rPr>
          <w:rFonts w:cs="Arial" w:ascii="Arial" w:hAnsi="Arial"/>
          <w:sz w:val="22"/>
          <w:szCs w:val="22"/>
          <w:shd w:fill="auto" w:val="clear"/>
        </w:rPr>
        <w:t xml:space="preserve">os. </w:t>
      </w:r>
      <w:r>
        <w:rPr>
          <w:rFonts w:ascii="Arial" w:hAnsi="Arial"/>
          <w:sz w:val="22"/>
          <w:szCs w:val="22"/>
        </w:rPr>
        <w:t>O croqui em anexo (I)</w:t>
      </w:r>
      <w:r>
        <w:rPr>
          <w:rFonts w:cs="Arial" w:ascii="Arial" w:hAnsi="Arial"/>
          <w:color w:val="EE0000"/>
          <w:sz w:val="22"/>
          <w:szCs w:val="22"/>
          <w:shd w:fill="auto" w:val="clear"/>
        </w:rPr>
        <w:t xml:space="preserve"> </w:t>
      </w:r>
      <w:r>
        <w:rPr>
          <w:rFonts w:cs="Arial" w:ascii="Arial" w:hAnsi="Arial"/>
          <w:b/>
          <w:bCs/>
          <w:sz w:val="22"/>
          <w:szCs w:val="22"/>
          <w:u w:val="single"/>
          <w:shd w:fill="auto" w:val="clear"/>
        </w:rPr>
        <w:t>EXEMPLIFICA</w:t>
      </w:r>
      <w:r>
        <w:rPr>
          <w:rFonts w:cs="Arial" w:ascii="Arial" w:hAnsi="Arial"/>
          <w:sz w:val="22"/>
          <w:szCs w:val="22"/>
          <w:shd w:fill="auto" w:val="clear"/>
        </w:rPr>
        <w:t xml:space="preserve"> e </w:t>
      </w:r>
      <w:r>
        <w:rPr>
          <w:rFonts w:cs="Arial" w:ascii="Arial" w:hAnsi="Arial"/>
          <w:b/>
          <w:bCs/>
          <w:sz w:val="22"/>
          <w:szCs w:val="22"/>
          <w:u w:val="single"/>
          <w:shd w:fill="auto" w:val="clear"/>
        </w:rPr>
        <w:t>JUSTIFICA</w:t>
      </w:r>
      <w:r>
        <w:rPr>
          <w:rFonts w:cs="Arial" w:ascii="Arial" w:hAnsi="Arial"/>
          <w:sz w:val="22"/>
          <w:szCs w:val="22"/>
          <w:shd w:fill="auto" w:val="clear"/>
        </w:rPr>
        <w:t xml:space="preserve"> a área minimamente estipulada.</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 área em questão deverá atender rigorosamente aos seguintes requisitos:</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Acessibilidade e Terreno</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O local deve ser acessível por via pública pavimentada, sem obstáculos à circulação de caminhões guincho, e servido por transporte coletivo municipal.</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Topografia plana ou levemente inclinada. O terreno deve possuir sistema de drenagem eficiente, evitando acúmulo de água ou lama que possa degradar os veículos custodiados.</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Infraestrutura e Pavimentação</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Vias de Circulação e Atendimento: Obrigatoriamente pavimentadas (concreto, asfalto ou piso intertravado de 7 cm) para suportar o tráfego pesado e garantir a limpeza.</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Áreas de Estocagem (Vagas): Admitida terra batida com brita compactada, desde que nivelada e livre de vegetação alta.</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Delimitação de Vagas (Quadras): Os veículos devem ser dispostos em quadras, mantendo distância mínima de 01 (um) metro entre fileiras para vistoria e prevenção de propagação de incêndio. As quadras de motocicletas devem, preferencialmente, estar locadas no centro do pátio ou em área coberta.</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Dispor sistema de drenagem provido de caixa separadora de água e óleo (CSAO) nas áreas de vistoria e eventual lavagem.</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Segurança Perimetral e Monitoramento</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Perímetro: Muro de alvenaria estruturado, alambrado ou gradil com altura mínima de 2,20 m.</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Anti-transposição: Instalação de concertina, cerca elétrica ou sensores de barreira no topo da cerca/muro.</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CFTV: Sistema de monitoramento 24 h com gravação contínua, cobrindo portões, área administrativa e pátio de veículos. As imagens devem ser armazenadas por 30 dias e disponibilizadas à Fiscalização quando solicitado.</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Iluminação: Postes com luminárias LED que garantam iluminância mínima de 10 LUX em toda a área do pátio, permitindo a segurança noturna.</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Prevenção de Incêndios e Edificações</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Disponibilização de extintores de pó químico (PQS ABC), distribuídos na proporção mínima de 1 kg para cada 10 vagas ou conforme projeto de bombeiro.</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Edificações: Área administrativa, recepção com banheiros adaptados (PNE) para usuários, vestiário para funcionários e área coberta exclusiva para vistoria de entrada de veículos.</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ListParagraph"/>
        <w:numPr>
          <w:ilvl w:val="0"/>
          <w:numId w:val="10"/>
        </w:numPr>
        <w:spacing w:lineRule="auto" w:line="360" w:before="0" w:after="0"/>
        <w:ind w:hanging="0" w:left="0"/>
        <w:contextualSpacing/>
        <w:jc w:val="both"/>
        <w:rPr>
          <w:rFonts w:ascii="Arial" w:hAnsi="Arial" w:cs="Arial"/>
          <w:sz w:val="22"/>
          <w:szCs w:val="22"/>
        </w:rPr>
      </w:pPr>
      <w:r>
        <w:rPr>
          <w:rFonts w:cs="Arial" w:ascii="Arial" w:hAnsi="Arial"/>
          <w:b/>
          <w:bCs/>
          <w:sz w:val="22"/>
          <w:szCs w:val="22"/>
        </w:rPr>
        <w:t>ESPECIFICAÇÕES DA FROTA (GUINCHOS)</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 Contratada deverá disponibilizar frota 24 horas, composta no mínimo por:</w:t>
      </w:r>
    </w:p>
    <w:p>
      <w:pPr>
        <w:pStyle w:val="ListParagraph"/>
        <w:numPr>
          <w:ilvl w:val="2"/>
          <w:numId w:val="10"/>
        </w:numPr>
        <w:spacing w:lineRule="auto" w:line="360" w:before="0" w:after="0"/>
        <w:ind w:hanging="0" w:left="0"/>
        <w:contextualSpacing/>
        <w:jc w:val="both"/>
        <w:rPr>
          <w:rFonts w:ascii="Arial" w:hAnsi="Arial" w:cs="Arial"/>
          <w:sz w:val="22"/>
          <w:szCs w:val="22"/>
          <w:u w:val="single"/>
        </w:rPr>
      </w:pPr>
      <w:r>
        <w:rPr>
          <w:rFonts w:cs="Arial" w:ascii="Arial" w:hAnsi="Arial"/>
          <w:sz w:val="22"/>
          <w:szCs w:val="22"/>
          <w:u w:val="single"/>
        </w:rPr>
        <w:t>Guincho Leve (01 unidade)</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Caminhão com no máximo 10 (dez) anos de fabricação, com plataforma hidráulica deslizante e asa delta (para segundo veículo).</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Capacidade de carga mínima de 2.500 kg sobre a plataforma.</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Capacidade para transporte de no mínimo 02 automóveis simultâneos ou múltiplas motocicletas.</w:t>
      </w:r>
    </w:p>
    <w:p>
      <w:pPr>
        <w:pStyle w:val="ListParagraph"/>
        <w:numPr>
          <w:ilvl w:val="2"/>
          <w:numId w:val="10"/>
        </w:numPr>
        <w:spacing w:lineRule="auto" w:line="360" w:before="0" w:after="0"/>
        <w:ind w:hanging="0" w:left="0"/>
        <w:contextualSpacing/>
        <w:jc w:val="both"/>
        <w:rPr>
          <w:rFonts w:ascii="Arial" w:hAnsi="Arial" w:cs="Arial"/>
          <w:sz w:val="22"/>
          <w:szCs w:val="22"/>
          <w:u w:val="single"/>
        </w:rPr>
      </w:pPr>
      <w:r>
        <w:rPr>
          <w:rFonts w:cs="Arial" w:ascii="Arial" w:hAnsi="Arial"/>
          <w:sz w:val="22"/>
          <w:szCs w:val="22"/>
          <w:u w:val="single"/>
        </w:rPr>
        <w:t>Guincho Pesado (01 unidade)</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Caminhão com no máximo 10 (dez) anos de fabricação, tipo “Lança Zero Grau” (para ônibus/caminhões) ou com lança hidráulica telescópica.</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Capacidade mínima de tração/elevação compatível com veículos pesados (ônibus/carretas).</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O equipamento deve possuir dispositivos para desacoplamento de eixo cardã e fornecimento de ar para desbloqueio de freios.</w:t>
      </w:r>
    </w:p>
    <w:p>
      <w:pPr>
        <w:pStyle w:val="ListParagraph"/>
        <w:numPr>
          <w:ilvl w:val="2"/>
          <w:numId w:val="10"/>
        </w:numPr>
        <w:spacing w:lineRule="auto" w:line="360" w:before="0" w:after="0"/>
        <w:ind w:hanging="0" w:left="0"/>
        <w:contextualSpacing/>
        <w:jc w:val="both"/>
        <w:rPr>
          <w:rFonts w:ascii="Arial" w:hAnsi="Arial" w:cs="Arial"/>
          <w:sz w:val="22"/>
          <w:szCs w:val="22"/>
          <w:u w:val="single"/>
        </w:rPr>
      </w:pPr>
      <w:r>
        <w:rPr>
          <w:rFonts w:cs="Arial" w:ascii="Arial" w:hAnsi="Arial"/>
          <w:sz w:val="22"/>
          <w:szCs w:val="22"/>
          <w:u w:val="single"/>
        </w:rPr>
        <w:t>Itens Obrigatórios nos Veículos</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Sinalização luminosa intermitente (giro flex) âmbar/vermelho.</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01 Macaco hidráulico (mínimo 2 toneladas).</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Patins de Rodas: Sistema para remover veículos travados sem arrastar pneus.</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Cones refletivos (mínimo 05) para sinalização viária no local da remoção.</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ListParagraph"/>
        <w:numPr>
          <w:ilvl w:val="0"/>
          <w:numId w:val="10"/>
        </w:numPr>
        <w:spacing w:lineRule="auto" w:line="360" w:before="0" w:after="0"/>
        <w:ind w:hanging="0" w:left="0"/>
        <w:contextualSpacing/>
        <w:jc w:val="both"/>
        <w:rPr>
          <w:rFonts w:ascii="Arial" w:hAnsi="Arial" w:cs="Arial"/>
          <w:sz w:val="22"/>
          <w:szCs w:val="22"/>
        </w:rPr>
      </w:pPr>
      <w:r>
        <w:rPr>
          <w:rFonts w:cs="Arial" w:ascii="Arial" w:hAnsi="Arial"/>
          <w:b/>
          <w:bCs/>
          <w:sz w:val="22"/>
          <w:szCs w:val="22"/>
        </w:rPr>
        <w:t>ESPECIFICAÇÕES DOS EQUIPAMENTOS DE TECNOLOGIA</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 Contratada deverá utilizar solução móvel (tablet ou smartphone) para o registro da remoção. O sistema deve garantir:</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Fotos de alta resolução com data, hora e coordenadas GPS (geotag) impressas na imagem.</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Check-list digital preenchido no local da apreensão.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Sincronização imediata com o sistema do pátio, impedindo a alteração posterior das fotos."</w:t>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ListParagraph"/>
        <w:numPr>
          <w:ilvl w:val="0"/>
          <w:numId w:val="10"/>
        </w:numPr>
        <w:spacing w:lineRule="auto" w:line="360" w:before="0" w:after="0"/>
        <w:ind w:hanging="0" w:left="0"/>
        <w:contextualSpacing/>
        <w:jc w:val="both"/>
        <w:rPr>
          <w:rFonts w:ascii="Arial" w:hAnsi="Arial" w:cs="Arial"/>
          <w:sz w:val="22"/>
          <w:szCs w:val="22"/>
        </w:rPr>
      </w:pPr>
      <w:r>
        <w:rPr>
          <w:rFonts w:cs="Arial" w:ascii="Arial" w:hAnsi="Arial"/>
          <w:b/>
          <w:bCs/>
          <w:sz w:val="22"/>
          <w:szCs w:val="22"/>
        </w:rPr>
        <w:t>PROCEDIMENTOS OPERACIONAIS (O “PASSO A PASSO”)</w:t>
      </w:r>
    </w:p>
    <w:p>
      <w:pPr>
        <w:pStyle w:val="ListParagraph"/>
        <w:numPr>
          <w:ilvl w:val="1"/>
          <w:numId w:val="10"/>
        </w:numPr>
        <w:spacing w:lineRule="auto" w:line="360" w:before="0" w:after="0"/>
        <w:ind w:hanging="0" w:left="0"/>
        <w:contextualSpacing/>
        <w:jc w:val="both"/>
        <w:rPr>
          <w:rFonts w:ascii="Arial" w:hAnsi="Arial" w:cs="Arial"/>
          <w:sz w:val="22"/>
          <w:szCs w:val="22"/>
          <w:u w:val="single"/>
        </w:rPr>
      </w:pPr>
      <w:r>
        <w:rPr>
          <w:rFonts w:cs="Arial" w:ascii="Arial" w:hAnsi="Arial"/>
          <w:sz w:val="22"/>
          <w:szCs w:val="22"/>
          <w:u w:val="single"/>
        </w:rPr>
        <w:t>Da Remoção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SLA (Tempo de Chegada): Máximo de 30 (trinta) minutos após o acionamento.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Registro Fotográfico: Antes de içar o veículo, o operador deve fotografá-lo em todos os ângulos no local da infração, documentando avarias preexistentes.</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Amarração: Obrigatória a amarração das rodas (cintas) de modo a garantir a total imobilidade da carga. Motocicletas devem ser fixadas com cintas específicas, sendo proibido o transporte “deitadas” ou soltas.</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Veículos Pesados: Nas remoções de caminhões/ônibus com tração traseira, é obrigatório o desacoplamento do eixo cardã para evitar danos à transmissão.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Acompanhamento: A remoção sempre será acompanhada ou autorizada pelo Agente de Trânsito ou autoridade competente, mediante entrega da Guia de Recolhimento.</w:t>
      </w:r>
    </w:p>
    <w:p>
      <w:pPr>
        <w:pStyle w:val="ListParagraph"/>
        <w:numPr>
          <w:ilvl w:val="1"/>
          <w:numId w:val="10"/>
        </w:numPr>
        <w:spacing w:lineRule="auto" w:line="360" w:before="0" w:after="0"/>
        <w:ind w:hanging="0" w:left="0"/>
        <w:contextualSpacing/>
        <w:jc w:val="both"/>
        <w:rPr>
          <w:rFonts w:ascii="Arial" w:hAnsi="Arial" w:cs="Arial"/>
          <w:sz w:val="22"/>
          <w:szCs w:val="22"/>
          <w:u w:val="single"/>
        </w:rPr>
      </w:pPr>
      <w:r>
        <w:rPr>
          <w:rFonts w:cs="Arial" w:ascii="Arial" w:hAnsi="Arial"/>
          <w:sz w:val="22"/>
          <w:szCs w:val="22"/>
          <w:u w:val="single"/>
        </w:rPr>
        <w:t>Da Vistoria e Guarda (Entrada no Pátio)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Ao chegar ao pátio, o veículo passará por nova vistoria (check-list) na presença do condutor do guincho.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Lacração de portas, porta-malas e tanque de combustível, se possível.</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Cadastro imediato no sistema informatizado, gerando o protocolo de entrada.</w:t>
      </w:r>
    </w:p>
    <w:p>
      <w:pPr>
        <w:pStyle w:val="ListParagraph"/>
        <w:numPr>
          <w:ilvl w:val="1"/>
          <w:numId w:val="10"/>
        </w:numPr>
        <w:spacing w:lineRule="auto" w:line="360" w:before="0" w:after="0"/>
        <w:ind w:hanging="0" w:left="0"/>
        <w:contextualSpacing/>
        <w:jc w:val="both"/>
        <w:rPr>
          <w:rFonts w:ascii="Arial" w:hAnsi="Arial" w:cs="Arial"/>
          <w:sz w:val="22"/>
          <w:szCs w:val="22"/>
          <w:u w:val="single"/>
        </w:rPr>
      </w:pPr>
      <w:r>
        <w:rPr>
          <w:rFonts w:cs="Arial" w:ascii="Arial" w:hAnsi="Arial"/>
          <w:sz w:val="22"/>
          <w:szCs w:val="22"/>
          <w:u w:val="single"/>
        </w:rPr>
        <w:t>Do Atendimento ao Usuário e Liberação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 liberação ocorrerá somente mediante apresentação do Termo de Liberação do Veículo (TLV) emitido pelo órgão de trânsito, após a quitação de todos os débitos (multas, IPVA, taxas de pátio/guincho).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Documentos exigidos:</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TLV (Original).</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CRLV atualizado.</w:t>
      </w:r>
    </w:p>
    <w:p>
      <w:pPr>
        <w:pStyle w:val="ListParagraph"/>
        <w:numPr>
          <w:ilvl w:val="3"/>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CNH do proprietário ou procurador legalmente constituído (procuração com firma reconhecida).</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O atendimento ao usuário deve ser pautado pela urbanidade, clareza e agilidade.</w:t>
      </w:r>
    </w:p>
    <w:p>
      <w:pPr>
        <w:pStyle w:val="Normal"/>
        <w:spacing w:lineRule="auto" w:line="360" w:before="0" w:after="0"/>
        <w:contextualSpacing/>
        <w:jc w:val="both"/>
        <w:rPr>
          <w:rFonts w:ascii="Arial" w:hAnsi="Arial" w:cs="Arial"/>
          <w:sz w:val="22"/>
          <w:szCs w:val="22"/>
        </w:rPr>
      </w:pPr>
      <w:r>
        <w:rPr>
          <w:rFonts w:cs="Arial" w:ascii="Arial" w:hAnsi="Arial"/>
          <w:sz w:val="22"/>
          <w:szCs w:val="22"/>
        </w:rPr>
      </w:r>
    </w:p>
    <w:p>
      <w:pPr>
        <w:pStyle w:val="ListParagraph"/>
        <w:numPr>
          <w:ilvl w:val="0"/>
          <w:numId w:val="10"/>
        </w:numPr>
        <w:spacing w:lineRule="auto" w:line="360" w:before="0" w:after="0"/>
        <w:ind w:hanging="0" w:left="0"/>
        <w:contextualSpacing/>
        <w:jc w:val="both"/>
        <w:rPr>
          <w:rFonts w:ascii="Arial" w:hAnsi="Arial" w:cs="Arial"/>
          <w:sz w:val="22"/>
          <w:szCs w:val="22"/>
        </w:rPr>
      </w:pPr>
      <w:r>
        <w:rPr>
          <w:rFonts w:cs="Arial" w:ascii="Arial" w:hAnsi="Arial"/>
          <w:b/>
          <w:bCs/>
          <w:sz w:val="22"/>
          <w:szCs w:val="22"/>
        </w:rPr>
        <w:t>SISTEMA INFORMATIZADO</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 Contratada deve fornecer software de gestão integrado que permita:</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Registro de fotos da remoção e vistoria.</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Controle de vagas e inventário de veículos em tempo real.</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Geração de relatórios gerenciais para a Prefeitura (veículos apreendidos por dia, tempo médio de estadia, faturamento).</w:t>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ListParagraph"/>
        <w:numPr>
          <w:ilvl w:val="0"/>
          <w:numId w:val="10"/>
        </w:numPr>
        <w:spacing w:lineRule="auto" w:line="360" w:before="0" w:after="0"/>
        <w:ind w:hanging="0" w:left="0"/>
        <w:contextualSpacing/>
        <w:jc w:val="both"/>
        <w:rPr>
          <w:rFonts w:ascii="Arial" w:hAnsi="Arial" w:cs="Arial"/>
          <w:sz w:val="22"/>
          <w:szCs w:val="22"/>
        </w:rPr>
      </w:pPr>
      <w:r>
        <w:rPr>
          <w:rFonts w:cs="Arial" w:ascii="Arial" w:hAnsi="Arial"/>
          <w:b/>
          <w:bCs/>
          <w:sz w:val="22"/>
          <w:szCs w:val="22"/>
        </w:rPr>
        <w:t>SUPORTE A LEILÕES</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 Contratada deve organizar o pátio para leilões periódicos, separando os veículos em lotes (conservados e sucatas), permitindo a visitação pública e auxiliando na retirada após o arremate.</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i/>
          <w:iCs/>
          <w:sz w:val="22"/>
          <w:szCs w:val="22"/>
        </w:rPr>
        <w:t>Nota I:</w:t>
      </w:r>
      <w:r>
        <w:rPr>
          <w:rFonts w:cs="Arial" w:ascii="Arial" w:hAnsi="Arial"/>
          <w:sz w:val="22"/>
          <w:szCs w:val="22"/>
        </w:rPr>
        <w:t xml:space="preserve"> Custos com Leiloeiro e Publicidade Legal não integram este contrato.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i/>
          <w:iCs/>
          <w:sz w:val="22"/>
          <w:szCs w:val="22"/>
        </w:rPr>
        <w:t>Nota II:</w:t>
      </w:r>
      <w:r>
        <w:rPr>
          <w:rFonts w:cs="Arial" w:ascii="Arial" w:hAnsi="Arial"/>
          <w:sz w:val="22"/>
          <w:szCs w:val="22"/>
        </w:rPr>
        <w:t xml:space="preserve"> A Contratante se compromete a providenciar os Leilões em uma periodicidade não inferior a 6 meses, e não superior a 12 meses.</w:t>
      </w:r>
    </w:p>
    <w:p>
      <w:pPr>
        <w:pStyle w:val="Normal"/>
        <w:spacing w:lineRule="auto" w:line="360" w:before="0" w:after="0"/>
        <w:contextualSpacing/>
        <w:jc w:val="both"/>
        <w:rPr>
          <w:rFonts w:ascii="Arial" w:hAnsi="Arial" w:cs="Arial"/>
          <w:b/>
          <w:bCs/>
          <w:sz w:val="22"/>
          <w:szCs w:val="22"/>
        </w:rPr>
      </w:pPr>
      <w:r>
        <w:rPr>
          <w:rFonts w:cs="Arial" w:ascii="Arial" w:hAnsi="Arial"/>
          <w:b/>
          <w:bCs/>
          <w:sz w:val="22"/>
          <w:szCs w:val="22"/>
        </w:rPr>
      </w:r>
    </w:p>
    <w:p>
      <w:pPr>
        <w:pStyle w:val="ListParagraph"/>
        <w:numPr>
          <w:ilvl w:val="0"/>
          <w:numId w:val="10"/>
        </w:numPr>
        <w:spacing w:lineRule="auto" w:line="360" w:before="0" w:after="0"/>
        <w:ind w:hanging="0" w:left="0"/>
        <w:contextualSpacing/>
        <w:jc w:val="both"/>
        <w:rPr>
          <w:rFonts w:ascii="Arial" w:hAnsi="Arial" w:cs="Arial"/>
          <w:sz w:val="22"/>
          <w:szCs w:val="22"/>
        </w:rPr>
      </w:pPr>
      <w:r>
        <w:rPr>
          <w:rFonts w:cs="Arial" w:ascii="Arial" w:hAnsi="Arial"/>
          <w:b/>
          <w:bCs/>
          <w:sz w:val="22"/>
          <w:szCs w:val="22"/>
        </w:rPr>
        <w:t>OBRIGAÇÕES E RESPONSABILIDADES</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 Contratada responde civil e criminalmente por danos causados aos veículos durante a remoção ou guarda (riscos, colisões, furtos de peças, incêndio).</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É obrigatória a manutenção de Seguro de Responsabilidade Civil (RC Garagista) vigente durante todo o contrato.</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Gestão Ambiental: A Contratada deve possuir Licença Ambiental e dar destinação correta a resíduos (óleos, fluidos), conforme Lei 12.305/2010.</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A CONTRATADA deverá apresentar mensalmente relatório dos veículos aptos a leilão (conforme Art. 328 do CTB). A realização dos leilões ocorrerá a critério exclusivo da Administração Municipal, mediante autorização do DETRAN, cabendo à Contratada apenas o suporte logístico (organização do pátio e visitação).</w:t>
      </w:r>
    </w:p>
    <w:p>
      <w:pPr>
        <w:pStyle w:val="ListParagraph"/>
        <w:spacing w:lineRule="auto" w:line="360"/>
        <w:ind w:left="0"/>
        <w:jc w:val="both"/>
        <w:rPr>
          <w:rFonts w:ascii="Arial" w:hAnsi="Arial" w:cs="Arial"/>
          <w:sz w:val="22"/>
          <w:szCs w:val="22"/>
        </w:rPr>
      </w:pPr>
      <w:r>
        <w:rPr>
          <w:rFonts w:cs="Arial" w:ascii="Arial" w:hAnsi="Arial"/>
          <w:sz w:val="22"/>
          <w:szCs w:val="22"/>
        </w:rPr>
      </w:r>
    </w:p>
    <w:p>
      <w:pPr>
        <w:pStyle w:val="ListParagraph"/>
        <w:numPr>
          <w:ilvl w:val="0"/>
          <w:numId w:val="10"/>
        </w:numPr>
        <w:spacing w:lineRule="auto" w:line="360" w:before="0" w:after="0"/>
        <w:ind w:hanging="0" w:left="0"/>
        <w:contextualSpacing/>
        <w:jc w:val="both"/>
        <w:rPr>
          <w:rFonts w:ascii="Arial" w:hAnsi="Arial" w:cs="Arial"/>
          <w:b/>
          <w:bCs/>
          <w:sz w:val="22"/>
          <w:szCs w:val="22"/>
        </w:rPr>
      </w:pPr>
      <w:r>
        <w:rPr>
          <w:rFonts w:cs="Arial" w:ascii="Arial" w:hAnsi="Arial"/>
          <w:b/>
          <w:bCs/>
          <w:sz w:val="22"/>
          <w:szCs w:val="22"/>
        </w:rPr>
        <w:t>PARTICIPAÇÃO EM CONSÓRCIO E SUBCONTRATAÇÃO</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Considerando o teor da contratação, fica vedado a participação de empresas em consórcio, sendo, entretanto, autorizado a subcontratação do serviço de guincho da operação.</w:t>
      </w:r>
    </w:p>
    <w:p>
      <w:pPr>
        <w:pStyle w:val="Normal"/>
        <w:spacing w:lineRule="auto" w:line="360" w:before="0" w:after="0"/>
        <w:ind w:right="-54"/>
        <w:contextualSpacing/>
        <w:jc w:val="both"/>
        <w:rPr>
          <w:rFonts w:ascii="Arial" w:hAnsi="Arial" w:cs="Arial"/>
          <w:color w:val="000000"/>
          <w:sz w:val="22"/>
          <w:szCs w:val="22"/>
        </w:rPr>
      </w:pPr>
      <w:r>
        <w:rPr>
          <w:rFonts w:cs="Arial" w:ascii="Arial" w:hAnsi="Arial"/>
          <w:color w:val="000000"/>
          <w:sz w:val="22"/>
          <w:szCs w:val="22"/>
        </w:rPr>
      </w:r>
    </w:p>
    <w:p>
      <w:pPr>
        <w:pStyle w:val="ListParagraph"/>
        <w:numPr>
          <w:ilvl w:val="0"/>
          <w:numId w:val="10"/>
        </w:numPr>
        <w:spacing w:lineRule="auto" w:line="360" w:before="0" w:after="0"/>
        <w:ind w:hanging="0" w:left="0"/>
        <w:contextualSpacing/>
        <w:jc w:val="both"/>
        <w:rPr>
          <w:rFonts w:ascii="Arial" w:hAnsi="Arial" w:cs="Arial"/>
          <w:sz w:val="22"/>
          <w:szCs w:val="22"/>
        </w:rPr>
      </w:pPr>
      <w:r>
        <w:rPr>
          <w:rFonts w:cs="Arial" w:ascii="Arial" w:hAnsi="Arial"/>
          <w:b/>
          <w:bCs/>
          <w:sz w:val="22"/>
          <w:szCs w:val="22"/>
        </w:rPr>
        <w:t>CRITÉRIO DE MEDIÇÃO, FATURAMENTO E PAGAMENTO</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Do Pagamento pelo Usuário (Munícipe): Fica estabelecido que a CONTRATADA não está autorizada a receber quaisquer valores diretamente dos proprietários de veículos. Todo o recolhimento das taxas de remoção e estadia será realizado exclusivamente por meio de Documento de Arrecadação Municipal (DAM/Boleto), emitido pela Prefeitura e pago pelo usuário na rede bancária. O valor cobrado do usuário será o valor integral da tarifa pública vigente.</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Do Pagamento à Contratada (Repasse): A remuneração da CONTRATADA será realizada mensalmente pela Prefeitura de Itatiba, com base na efetiva prestação dos serviços (veículos removidos e diárias contabilizadas), aplicando-se sobre o valor da tarifa pública o PERCENTUAL DE DESCONTO ofertado na proposta vencedora da licitação.</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Da Medição Mensal: Até o 5º dia útil do mês subsequente, a CONTRATADA deverá apresentar o Boletim de Medição contendo: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Relatório analítico dos veículos removidos e dias de estadia de cada veículo.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Comprovante dos serviços executados (fotos, check-list de entrada/saída e cópia do Termo de Liberação).</w:t>
      </w:r>
    </w:p>
    <w:p>
      <w:pPr>
        <w:pStyle w:val="ListParagraph"/>
        <w:numPr>
          <w:ilvl w:val="2"/>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 xml:space="preserve">Cálculo do valor a receber: </w:t>
      </w:r>
      <w:r>
        <w:rPr>
          <w:rFonts w:cs="Arial" w:ascii="Arial" w:hAnsi="Arial"/>
          <w:i/>
          <w:iCs/>
          <w:sz w:val="22"/>
          <w:szCs w:val="22"/>
        </w:rPr>
        <w:t>(Valor Total da Tarifa Pública dos serviços executados) – (Desconto Ofertado em %) = Valor a Faturar</w:t>
      </w:r>
      <w:r>
        <w:rPr>
          <w:rFonts w:cs="Arial" w:ascii="Arial" w:hAnsi="Arial"/>
          <w:sz w:val="22"/>
          <w:szCs w:val="22"/>
        </w:rPr>
        <w:t>.</w:t>
      </w:r>
    </w:p>
    <w:p>
      <w:pPr>
        <w:pStyle w:val="ListParagraph"/>
        <w:numPr>
          <w:ilvl w:val="1"/>
          <w:numId w:val="10"/>
        </w:numPr>
        <w:spacing w:lineRule="auto" w:line="360" w:before="0" w:after="0"/>
        <w:ind w:hanging="0" w:left="0"/>
        <w:contextualSpacing/>
        <w:jc w:val="both"/>
        <w:rPr>
          <w:rFonts w:ascii="Arial" w:hAnsi="Arial" w:cs="Arial"/>
          <w:sz w:val="22"/>
          <w:szCs w:val="22"/>
        </w:rPr>
      </w:pPr>
      <w:r>
        <w:rPr>
          <w:rFonts w:cs="Arial" w:ascii="Arial" w:hAnsi="Arial"/>
          <w:sz w:val="22"/>
          <w:szCs w:val="22"/>
        </w:rPr>
        <w:t>Do Faturamento: Após a conferência e ateste do Gestor do Contrato sobre o Boletim de Medição, a CONTRATADA emitirá a Nota Fiscal Eletrônica de Serviços. O pagamento será efetuado em conta-corrente de titularidade da empresa em até 10 dias após o ateste da Nota Fiscal, obedecendo à ordem cronológica de pagamentos.</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eastAsia="@Arial Unicode MS" w:cs="Arial"/>
          <w:b/>
          <w:bCs/>
          <w:kern w:val="0"/>
          <w:sz w:val="22"/>
          <w:szCs w:val="22"/>
        </w:rPr>
      </w:pPr>
      <w:r>
        <w:rPr>
          <w:rFonts w:eastAsia="@Arial Unicode MS" w:cs="Arial" w:ascii="Arial" w:hAnsi="Arial"/>
          <w:b/>
          <w:bCs/>
          <w:kern w:val="0"/>
          <w:sz w:val="22"/>
          <w:szCs w:val="22"/>
        </w:rPr>
        <w:t>14. DA CONTRATAÇÃO</w:t>
      </w:r>
    </w:p>
    <w:p>
      <w:pPr>
        <w:pStyle w:val="Nivel2"/>
        <w:tabs>
          <w:tab w:val="clear" w:pos="0"/>
        </w:tabs>
        <w:spacing w:lineRule="auto" w:line="360" w:before="0" w:after="0"/>
        <w:ind w:hanging="0" w:left="0"/>
        <w:rPr>
          <w:sz w:val="22"/>
          <w:szCs w:val="22"/>
        </w:rPr>
      </w:pPr>
      <w:r>
        <w:rPr>
          <w:sz w:val="22"/>
          <w:szCs w:val="22"/>
        </w:rPr>
        <w:t>14.1 -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4"/>
        </w:numPr>
        <w:spacing w:lineRule="auto" w:line="360" w:before="0" w:after="0"/>
        <w:ind w:hanging="0" w:left="0"/>
        <w:rPr>
          <w:sz w:val="22"/>
          <w:szCs w:val="22"/>
        </w:rPr>
      </w:pPr>
      <w:r>
        <w:rPr>
          <w:sz w:val="22"/>
          <w:szCs w:val="22"/>
        </w:rPr>
        <w:t>Indicação, por escrito, de endereço de e-mail para a realização de quaisquer comunicações sobre a execução do contrato;</w:t>
      </w:r>
    </w:p>
    <w:p>
      <w:pPr>
        <w:pStyle w:val="Nivel2"/>
        <w:numPr>
          <w:ilvl w:val="0"/>
          <w:numId w:val="4"/>
        </w:numPr>
        <w:spacing w:lineRule="auto" w:line="360" w:before="0" w:after="0"/>
        <w:ind w:hanging="0" w:left="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4"/>
        </w:numPr>
        <w:spacing w:lineRule="auto" w:line="360" w:before="0" w:after="0"/>
        <w:ind w:hanging="0" w:left="0"/>
        <w:rPr>
          <w:sz w:val="22"/>
          <w:szCs w:val="22"/>
        </w:rPr>
      </w:pPr>
      <w:r>
        <w:rPr>
          <w:sz w:val="22"/>
          <w:szCs w:val="22"/>
        </w:rPr>
        <w:t>Apresentar comprovante de recolhimento da garantia contratual.</w:t>
      </w:r>
    </w:p>
    <w:p>
      <w:pPr>
        <w:pStyle w:val="Nivel2"/>
        <w:numPr>
          <w:ilvl w:val="0"/>
          <w:numId w:val="4"/>
        </w:numPr>
        <w:spacing w:lineRule="auto" w:line="360" w:before="0" w:after="0"/>
        <w:ind w:hanging="0" w:left="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4"/>
        </w:numPr>
        <w:spacing w:lineRule="auto" w:line="360" w:before="0" w:after="0"/>
        <w:ind w:hanging="0" w:left="0"/>
        <w:rPr>
          <w:sz w:val="22"/>
          <w:szCs w:val="22"/>
          <w:lang w:eastAsia="en-US"/>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Standard"/>
        <w:tabs>
          <w:tab w:val="clear" w:pos="709"/>
          <w:tab w:val="left" w:pos="-3780" w:leader="none"/>
        </w:tabs>
        <w:spacing w:lineRule="auto" w:line="360"/>
        <w:jc w:val="both"/>
        <w:rPr>
          <w:rFonts w:ascii="Arial" w:hAnsi="Arial" w:cs="Arial"/>
          <w:kern w:val="0"/>
          <w:sz w:val="22"/>
          <w:szCs w:val="22"/>
        </w:rPr>
      </w:pPr>
      <w:r>
        <w:rPr>
          <w:rFonts w:cs="Arial" w:ascii="Arial" w:hAnsi="Arial"/>
          <w:kern w:val="0"/>
          <w:sz w:val="22"/>
          <w:szCs w:val="22"/>
        </w:rPr>
      </w:r>
    </w:p>
    <w:p>
      <w:pPr>
        <w:pStyle w:val="Standard"/>
        <w:spacing w:lineRule="auto" w:line="360"/>
        <w:ind w:right="-54"/>
        <w:jc w:val="both"/>
        <w:rPr>
          <w:rFonts w:ascii="Arial" w:hAnsi="Arial" w:cs="Arial"/>
          <w:b/>
          <w:bCs/>
          <w:sz w:val="22"/>
          <w:szCs w:val="22"/>
        </w:rPr>
      </w:pPr>
      <w:r>
        <w:rPr>
          <w:rFonts w:cs="Arial" w:ascii="Arial" w:hAnsi="Arial"/>
          <w:b/>
          <w:bCs/>
          <w:sz w:val="22"/>
          <w:szCs w:val="22"/>
        </w:rPr>
        <w:t>15 – REAJUSTE</w:t>
      </w:r>
    </w:p>
    <w:p>
      <w:pPr>
        <w:pStyle w:val="Standard"/>
        <w:spacing w:lineRule="auto" w:line="360"/>
        <w:jc w:val="both"/>
        <w:rPr>
          <w:rFonts w:ascii="Arial" w:hAnsi="Arial" w:cs="Arial"/>
          <w:sz w:val="22"/>
          <w:szCs w:val="22"/>
        </w:rPr>
      </w:pPr>
      <w:r>
        <w:rPr>
          <w:rFonts w:cs="Arial" w:ascii="Arial" w:hAnsi="Arial"/>
          <w:sz w:val="22"/>
          <w:szCs w:val="22"/>
        </w:rPr>
        <w:t xml:space="preserve">15.1 - O percentual de desconto aplicadas sobre o valor das tarifas públicas propostos </w:t>
      </w:r>
      <w:r>
        <w:rPr>
          <w:rFonts w:cs="Arial" w:ascii="Arial" w:hAnsi="Arial"/>
          <w:b/>
          <w:bCs/>
          <w:sz w:val="22"/>
          <w:szCs w:val="22"/>
        </w:rPr>
        <w:t>serão fixos e irreajustáveis</w:t>
      </w:r>
      <w:r>
        <w:rPr>
          <w:rFonts w:cs="Arial" w:ascii="Arial" w:hAnsi="Arial"/>
          <w:sz w:val="22"/>
          <w:szCs w:val="22"/>
        </w:rPr>
        <w:t>.</w:t>
      </w:r>
    </w:p>
    <w:p>
      <w:pPr>
        <w:pStyle w:val="Standard"/>
        <w:spacing w:lineRule="auto" w:line="360"/>
        <w:ind w:right="-54"/>
        <w:jc w:val="both"/>
        <w:rPr>
          <w:rFonts w:ascii="Arial" w:hAnsi="Arial" w:cs="Arial"/>
          <w:b/>
          <w:bCs/>
          <w:sz w:val="22"/>
          <w:szCs w:val="22"/>
        </w:rPr>
      </w:pPr>
      <w:r>
        <w:rPr>
          <w:rFonts w:cs="Arial" w:ascii="Arial" w:hAnsi="Arial"/>
          <w:b/>
          <w:bCs/>
          <w:sz w:val="22"/>
          <w:szCs w:val="22"/>
        </w:rPr>
      </w:r>
    </w:p>
    <w:p>
      <w:pPr>
        <w:pStyle w:val="Standard"/>
        <w:spacing w:lineRule="auto" w:line="360"/>
        <w:ind w:right="-54"/>
        <w:jc w:val="both"/>
        <w:rPr>
          <w:rFonts w:ascii="Arial" w:hAnsi="Arial" w:cs="Arial"/>
          <w:b/>
          <w:sz w:val="22"/>
          <w:szCs w:val="22"/>
        </w:rPr>
      </w:pPr>
      <w:r>
        <w:rPr>
          <w:rFonts w:cs="Arial" w:ascii="Arial" w:hAnsi="Arial"/>
          <w:b/>
          <w:sz w:val="22"/>
          <w:szCs w:val="22"/>
        </w:rPr>
        <w:t>16 - DA ALTERAÇÃO DO CONTRATO</w:t>
      </w:r>
    </w:p>
    <w:p>
      <w:pPr>
        <w:pStyle w:val="Standard"/>
        <w:spacing w:lineRule="auto" w:line="360"/>
        <w:ind w:right="-54"/>
        <w:jc w:val="both"/>
        <w:rPr>
          <w:rFonts w:ascii="Arial" w:hAnsi="Arial" w:cs="Arial"/>
          <w:sz w:val="22"/>
          <w:szCs w:val="22"/>
        </w:rPr>
      </w:pPr>
      <w:r>
        <w:rPr>
          <w:rFonts w:cs="Arial" w:ascii="Arial" w:hAnsi="Arial"/>
          <w:sz w:val="22"/>
          <w:szCs w:val="22"/>
        </w:rPr>
        <w:t>16.1. Este contrato pode ser alterado nos casos previstos na Lei 14.133/2021, desde que haja interesse da CONTRATANTE, com a apresentação das devidas justificativas.</w:t>
      </w:r>
    </w:p>
    <w:p>
      <w:pPr>
        <w:pStyle w:val="Standard"/>
        <w:spacing w:lineRule="auto" w:line="360"/>
        <w:jc w:val="both"/>
        <w:rPr>
          <w:rFonts w:ascii="Arial" w:hAnsi="Arial" w:cs="Arial"/>
          <w:b/>
          <w:bCs/>
          <w:sz w:val="22"/>
          <w:szCs w:val="22"/>
        </w:rPr>
      </w:pPr>
      <w:r>
        <w:rPr>
          <w:rFonts w:cs="Arial" w:ascii="Arial" w:hAnsi="Arial"/>
          <w:b/>
          <w:bCs/>
          <w:sz w:val="22"/>
          <w:szCs w:val="22"/>
        </w:rPr>
      </w:r>
    </w:p>
    <w:p>
      <w:pPr>
        <w:pStyle w:val="Standard"/>
        <w:spacing w:lineRule="auto" w:line="360"/>
        <w:jc w:val="both"/>
        <w:rPr>
          <w:rFonts w:ascii="Arial" w:hAnsi="Arial" w:cs="Arial"/>
          <w:sz w:val="22"/>
          <w:szCs w:val="22"/>
        </w:rPr>
      </w:pPr>
      <w:r>
        <w:rPr>
          <w:rFonts w:cs="Arial" w:ascii="Arial" w:hAnsi="Arial"/>
          <w:b/>
          <w:bCs/>
          <w:sz w:val="22"/>
          <w:szCs w:val="22"/>
        </w:rPr>
        <w:t>17</w:t>
      </w:r>
      <w:r>
        <w:rPr>
          <w:rFonts w:cs="Arial" w:ascii="Arial" w:hAnsi="Arial"/>
          <w:b/>
          <w:sz w:val="22"/>
          <w:szCs w:val="22"/>
        </w:rPr>
        <w:t xml:space="preserve"> - DA GARANTIA PARA CONTRATAR</w:t>
      </w:r>
    </w:p>
    <w:p>
      <w:pPr>
        <w:pStyle w:val="Standard"/>
        <w:spacing w:lineRule="auto" w:line="360"/>
        <w:jc w:val="both"/>
        <w:rPr>
          <w:rFonts w:ascii="Arial" w:hAnsi="Arial" w:cs="Arial"/>
          <w:sz w:val="22"/>
          <w:szCs w:val="22"/>
        </w:rPr>
      </w:pPr>
      <w:r>
        <w:rPr>
          <w:rFonts w:cs="Arial" w:ascii="Arial" w:hAnsi="Arial"/>
          <w:sz w:val="22"/>
          <w:szCs w:val="22"/>
        </w:rPr>
        <w:t>17.1 - A garantia do contrato a ser lavrado será prestada, após a convocação e antes da assinatura, mediante depósito na Tesouraria Municipal, no valor correspondente a 5% (cinco inteiros por cento) do valor do contrato a ser lavrado em dinheiro, títulos da dívida pública, seguro garantia, (com prazo compatível com o da vigência do contrato), ou fiança bancária, (com prazo compatível com o da vigência do contrato).</w:t>
      </w:r>
    </w:p>
    <w:p>
      <w:pPr>
        <w:pStyle w:val="Standard"/>
        <w:spacing w:lineRule="auto" w:line="360"/>
        <w:jc w:val="both"/>
        <w:rPr>
          <w:rFonts w:ascii="Arial" w:hAnsi="Arial" w:cs="Arial"/>
          <w:sz w:val="22"/>
          <w:szCs w:val="22"/>
        </w:rPr>
      </w:pPr>
      <w:r>
        <w:rPr>
          <w:rFonts w:cs="Arial" w:ascii="Arial" w:hAnsi="Arial"/>
          <w:sz w:val="22"/>
          <w:szCs w:val="22"/>
        </w:rPr>
        <w:t>17.1.1 – No caso de seguro garantia ou fiança bancária deverá constar expressamente da apólice informação que assegure a sua aplicação em face de penalidades contratuais.</w:t>
      </w:r>
    </w:p>
    <w:p>
      <w:pPr>
        <w:pStyle w:val="Standard"/>
        <w:spacing w:lineRule="auto" w:line="360"/>
        <w:jc w:val="both"/>
        <w:rPr>
          <w:rFonts w:ascii="Arial" w:hAnsi="Arial" w:cs="Arial"/>
          <w:sz w:val="22"/>
          <w:szCs w:val="22"/>
        </w:rPr>
      </w:pPr>
      <w:r>
        <w:rPr>
          <w:rFonts w:cs="Arial" w:ascii="Arial" w:hAnsi="Arial"/>
          <w:sz w:val="22"/>
          <w:szCs w:val="22"/>
        </w:rPr>
        <w:t>17.2 - Após o término do contrato, desde que cumpridas todas as obrigações assumidas, a garantia prestada será liberada, mediante requerimento dirigido à Secretaria da Administração, por intermédio do Serviço de Protocolo Geral.</w:t>
      </w:r>
    </w:p>
    <w:p>
      <w:pPr>
        <w:pStyle w:val="Standard"/>
        <w:spacing w:lineRule="auto" w:line="360"/>
        <w:jc w:val="both"/>
        <w:rPr>
          <w:rFonts w:ascii="Arial" w:hAnsi="Arial" w:cs="Arial"/>
          <w:b/>
          <w:kern w:val="0"/>
          <w:sz w:val="22"/>
          <w:szCs w:val="22"/>
        </w:rPr>
      </w:pPr>
      <w:r>
        <w:rPr>
          <w:rFonts w:cs="Arial" w:ascii="Arial" w:hAnsi="Arial"/>
          <w:b/>
          <w:kern w:val="0"/>
          <w:sz w:val="22"/>
          <w:szCs w:val="22"/>
        </w:rPr>
      </w:r>
    </w:p>
    <w:p>
      <w:pPr>
        <w:pStyle w:val="Standard"/>
        <w:spacing w:lineRule="auto" w:line="360"/>
        <w:jc w:val="both"/>
        <w:rPr>
          <w:rFonts w:ascii="Arial" w:hAnsi="Arial" w:cs="Arial"/>
          <w:b/>
          <w:color w:val="auto"/>
          <w:kern w:val="0"/>
          <w:sz w:val="22"/>
          <w:szCs w:val="22"/>
        </w:rPr>
      </w:pPr>
      <w:r>
        <w:rPr>
          <w:rFonts w:cs="Arial" w:ascii="Arial" w:hAnsi="Arial"/>
          <w:b/>
          <w:color w:val="auto"/>
          <w:kern w:val="0"/>
          <w:sz w:val="22"/>
          <w:szCs w:val="22"/>
        </w:rPr>
        <w:t>18 – SANÇÕES</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18.1 – Disposições Gerais</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18.1.1 - O cometimento de infrações administrativas implicará a aplicação de sanções à Contratada, nos termos da Lei Federal nº 14.133/2021 (arts. 155 a 163), sem prejuízo da responsabilidade civil e criminal cabível. </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18.1.2 - A aplicação de qualquer sanção será precedida de processo administrativo, assegurando-se o contraditório e a ampla defesa.</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 xml:space="preserve">18.2 - Das Sanções Aplicáveis </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18.2.1 - A Contratada que incorrer nas infrações previstas neste Edital e na Lei nº 14.133/2021 estará sujeita às seguintes penalidades:</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 xml:space="preserve">I. Advertência: </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Aplicada formalmente por escrito, quando a Contratada der causa a inexecução parcial do contrato que não justifique a imposição de penalidade mais grave, caracterizando falha leve de ordem operacional ou administrativa.</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 xml:space="preserve">II. Multa: </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As multas serão aplicadas de forma moratória (por atraso) ou compensatória (por inexecução ou descumprimento de cláusula), calculadas sobre o valor estimado do contrato ou sobre o faturamento mensal estimado, conforme a gravidade:</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II.1 Multa Moratória (Atraso no atendimento do Guincho):</w:t>
      </w:r>
    </w:p>
    <w:p>
      <w:pPr>
        <w:pStyle w:val="Standard"/>
        <w:numPr>
          <w:ilvl w:val="0"/>
          <w:numId w:val="11"/>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Atraso superior ao Tempo de Resposta (SLA) estabelecido no Termo de Referência para a chegada do guincho ao local da ocorrência: Multa de 1% (um por cento) do valor da estimativa de faturamento mensal, por cada hora ou fração de atraso injustificado, até o limite de 10%.</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II.2 Multa Compensatória por Falhas Operacionais:</w:t>
      </w:r>
    </w:p>
    <w:p>
      <w:pPr>
        <w:pStyle w:val="Standard"/>
        <w:numPr>
          <w:ilvl w:val="0"/>
          <w:numId w:val="12"/>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Grau Leve (ex: falta de uniformização da equipe, desobediência a rotinas administrativas do pátio, atraso na inserção de dados no sistema municipal): Multa de 2% (dois por cento) sobre o valor mensal estimado.</w:t>
      </w:r>
    </w:p>
    <w:p>
      <w:pPr>
        <w:pStyle w:val="Standard"/>
        <w:numPr>
          <w:ilvl w:val="0"/>
          <w:numId w:val="12"/>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Grau Médio (ex: avarias leves causadas ao veículo durante o içamento, transporte ou guarda; recusa injustificada de remoção solicitada pela autoridade de trânsito): Multa de 5% (cinco por cento) sobre o valor mensal estimado, além do ressarcimento integral do dano ao proprietário do veículo.</w:t>
      </w:r>
    </w:p>
    <w:p>
      <w:pPr>
        <w:pStyle w:val="Standard"/>
        <w:numPr>
          <w:ilvl w:val="0"/>
          <w:numId w:val="12"/>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Grau Grave (ex: furto de peças ou bens no interior do veículo sob guarda no pátio; liberação de veículo sem a devida autorização do órgão de trânsito; cobrança de valores em desacordo com a tabela municipal): Multa de 10% a 20% (dez a vinte por cento) sobre o valor global atualizado do contrato, sem prejuízo da rescisão unilateral.</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II.3 Multa por Atraso ou Falha na Implantação do Pátio de Guarda de Veículos:</w:t>
      </w:r>
    </w:p>
    <w:p>
      <w:pPr>
        <w:pStyle w:val="Standard"/>
        <w:numPr>
          <w:ilvl w:val="0"/>
          <w:numId w:val="13"/>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O descumprimento do prazo fixado neste Edital contados a partir da assinatura do contrato para a completa implantação, adequação estrutural e disponibilização do pátio, incluindo a obtenção de todos os alvarás, sistemas de monitoramento e licenças exigidos, sujeitará a Contratada a uma multa diária de 0,5% (meio por cento) sobre o valor global estimado do contrato.</w:t>
      </w:r>
    </w:p>
    <w:p>
      <w:pPr>
        <w:pStyle w:val="Standard"/>
        <w:numPr>
          <w:ilvl w:val="0"/>
          <w:numId w:val="13"/>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Caso o atraso na adequação e liberação operacional do pátio ultrapasse 15 (quinze) dias do prazo limite estipulado, a Administração Pública poderá, a seu critério, considerar configurada a inexecução total do contrato, aplicando-se cumulativamente as seguintes sanções:</w:t>
      </w:r>
    </w:p>
    <w:p>
      <w:pPr>
        <w:pStyle w:val="Standard"/>
        <w:tabs>
          <w:tab w:val="clear" w:pos="709"/>
          <w:tab w:val="left" w:pos="9540" w:leader="none"/>
        </w:tabs>
        <w:spacing w:lineRule="auto" w:line="360"/>
        <w:ind w:left="1560" w:right="-82"/>
        <w:jc w:val="both"/>
        <w:rPr>
          <w:rFonts w:ascii="Arial" w:hAnsi="Arial" w:cs="Arial"/>
          <w:sz w:val="22"/>
          <w:szCs w:val="22"/>
        </w:rPr>
      </w:pPr>
      <w:r>
        <w:rPr>
          <w:rFonts w:cs="Arial" w:ascii="Arial" w:hAnsi="Arial"/>
          <w:sz w:val="22"/>
          <w:szCs w:val="22"/>
        </w:rPr>
        <w:t>b.1 Multa compensatória de 20% (vinte por cento) sobre o valor global atualizado da contratação;</w:t>
      </w:r>
    </w:p>
    <w:p>
      <w:pPr>
        <w:pStyle w:val="Standard"/>
        <w:tabs>
          <w:tab w:val="clear" w:pos="709"/>
          <w:tab w:val="left" w:pos="9540" w:leader="none"/>
        </w:tabs>
        <w:spacing w:lineRule="auto" w:line="360"/>
        <w:ind w:left="1560" w:right="-82"/>
        <w:jc w:val="both"/>
        <w:rPr>
          <w:rFonts w:ascii="Arial" w:hAnsi="Arial" w:cs="Arial"/>
          <w:sz w:val="22"/>
          <w:szCs w:val="22"/>
        </w:rPr>
      </w:pPr>
      <w:r>
        <w:rPr>
          <w:rFonts w:cs="Arial" w:ascii="Arial" w:hAnsi="Arial"/>
          <w:sz w:val="22"/>
          <w:szCs w:val="22"/>
        </w:rPr>
        <w:t>b.2 Rescisão unilateral do contrato, sem direito a qualquer indenização à Contratada;</w:t>
      </w:r>
    </w:p>
    <w:p>
      <w:pPr>
        <w:pStyle w:val="Standard"/>
        <w:tabs>
          <w:tab w:val="clear" w:pos="709"/>
          <w:tab w:val="left" w:pos="9540" w:leader="none"/>
        </w:tabs>
        <w:spacing w:lineRule="auto" w:line="360"/>
        <w:ind w:left="1560" w:right="-82"/>
        <w:jc w:val="both"/>
        <w:rPr>
          <w:rFonts w:ascii="Arial" w:hAnsi="Arial" w:cs="Arial"/>
          <w:sz w:val="22"/>
          <w:szCs w:val="22"/>
        </w:rPr>
      </w:pPr>
      <w:r>
        <w:rPr>
          <w:rFonts w:cs="Arial" w:ascii="Arial" w:hAnsi="Arial"/>
          <w:sz w:val="22"/>
          <w:szCs w:val="22"/>
        </w:rPr>
        <w:t>b.3 Aplicação da sanção de Impedimento de Licitar e Contratar com o Município;</w:t>
      </w:r>
    </w:p>
    <w:p>
      <w:pPr>
        <w:pStyle w:val="Standard"/>
        <w:tabs>
          <w:tab w:val="clear" w:pos="709"/>
          <w:tab w:val="left" w:pos="9540" w:leader="none"/>
        </w:tabs>
        <w:spacing w:lineRule="auto" w:line="360"/>
        <w:ind w:left="1560" w:right="-82"/>
        <w:jc w:val="both"/>
        <w:rPr>
          <w:rFonts w:ascii="Arial" w:hAnsi="Arial" w:cs="Arial"/>
          <w:sz w:val="22"/>
          <w:szCs w:val="22"/>
        </w:rPr>
      </w:pPr>
      <w:r>
        <w:rPr>
          <w:rFonts w:cs="Arial" w:ascii="Arial" w:hAnsi="Arial"/>
          <w:sz w:val="22"/>
          <w:szCs w:val="22"/>
        </w:rPr>
        <w:t>b.4 Imediata convocação do licitante classificado em segundo lugar para assumir o objeto, nas condições do edital.</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 xml:space="preserve">18.3 - Impedimento de Licitar e Contratar: </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18.3.1 Será aplicada a sanção de impedimento de licitar e contratar com o Município de Itatiba, pelo prazo máximo de até 3 (três) anos, à Contratada que:</w:t>
      </w:r>
    </w:p>
    <w:p>
      <w:pPr>
        <w:pStyle w:val="Standard"/>
        <w:numPr>
          <w:ilvl w:val="0"/>
          <w:numId w:val="14"/>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Der causa à inexecução total ou parcial grave do contrato;</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 xml:space="preserve">18.4 - Declaração de Inidoneidade para Licitar ou Contratar: </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Aplicada pelo prazo mínimo de 3 (três) anos e máximo de 6 (seis) anos, nos casos em que a Contratada:</w:t>
      </w:r>
    </w:p>
    <w:p>
      <w:pPr>
        <w:pStyle w:val="Standard"/>
        <w:numPr>
          <w:ilvl w:val="0"/>
          <w:numId w:val="14"/>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Apresentar declaração ou documentação falsa exigida para o certame ou execução do contrato;</w:t>
      </w:r>
    </w:p>
    <w:p>
      <w:pPr>
        <w:pStyle w:val="Standard"/>
        <w:numPr>
          <w:ilvl w:val="0"/>
          <w:numId w:val="14"/>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Praticar atos ilícitos com vistas a frustrar os objetivos da licitação;</w:t>
      </w:r>
    </w:p>
    <w:p>
      <w:pPr>
        <w:pStyle w:val="Standard"/>
        <w:numPr>
          <w:ilvl w:val="0"/>
          <w:numId w:val="14"/>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Praticar ato lesivo à administração pública nacional (Lei nº 12.846/2013).</w:t>
      </w:r>
    </w:p>
    <w:p>
      <w:pPr>
        <w:pStyle w:val="Standard"/>
        <w:tabs>
          <w:tab w:val="clear" w:pos="709"/>
          <w:tab w:val="left" w:pos="9540" w:leader="none"/>
        </w:tabs>
        <w:spacing w:lineRule="auto" w:line="360"/>
        <w:ind w:right="-82"/>
        <w:jc w:val="both"/>
        <w:rPr>
          <w:rFonts w:ascii="Arial" w:hAnsi="Arial" w:cs="Arial"/>
          <w:sz w:val="22"/>
          <w:szCs w:val="22"/>
        </w:rPr>
      </w:pPr>
      <w:r>
        <w:rPr>
          <w:rFonts w:cs="Arial" w:ascii="Arial" w:hAnsi="Arial"/>
          <w:sz w:val="22"/>
          <w:szCs w:val="22"/>
        </w:rPr>
        <w:t xml:space="preserve">18.5 Condicionantes e Execução das Penas </w:t>
      </w:r>
    </w:p>
    <w:p>
      <w:pPr>
        <w:pStyle w:val="Standard"/>
        <w:numPr>
          <w:ilvl w:val="0"/>
          <w:numId w:val="15"/>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As multas são independentes e a aplicação de uma não exclui a de outras.</w:t>
      </w:r>
    </w:p>
    <w:p>
      <w:pPr>
        <w:pStyle w:val="Standard"/>
        <w:numPr>
          <w:ilvl w:val="0"/>
          <w:numId w:val="15"/>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O valor da multa aplicada será, preferencialmente, descontado dos pagamentos eventualmente devidos pela Administração à Contratada ou cobrado judicialmente (Dívida Ativa).</w:t>
      </w:r>
    </w:p>
    <w:p>
      <w:pPr>
        <w:pStyle w:val="Standard"/>
        <w:numPr>
          <w:ilvl w:val="0"/>
          <w:numId w:val="15"/>
        </w:numPr>
        <w:tabs>
          <w:tab w:val="clear" w:pos="709"/>
          <w:tab w:val="left" w:pos="9540" w:leader="none"/>
        </w:tabs>
        <w:spacing w:lineRule="auto" w:line="360"/>
        <w:ind w:hanging="360" w:left="720" w:right="-82"/>
        <w:jc w:val="both"/>
        <w:rPr>
          <w:rFonts w:ascii="Arial" w:hAnsi="Arial" w:cs="Arial"/>
          <w:sz w:val="22"/>
          <w:szCs w:val="22"/>
        </w:rPr>
      </w:pPr>
      <w:r>
        <w:rPr>
          <w:rFonts w:cs="Arial" w:ascii="Arial" w:hAnsi="Arial"/>
          <w:sz w:val="22"/>
          <w:szCs w:val="22"/>
        </w:rPr>
        <w:t>No caso de danos causados a veículos de terceiros (cidadãos) durante a remoção ou estadia no pátio, a aplicação da multa administrativa não exime a Contratada de realizar a reparação civil direta ao proprietário do veículo no prazo máximo de 15 (quinze) dias após a constatação.</w:t>
      </w:r>
    </w:p>
    <w:p>
      <w:pPr>
        <w:pStyle w:val="Standard"/>
        <w:spacing w:lineRule="auto" w:line="360"/>
        <w:ind w:right="-54"/>
        <w:jc w:val="both"/>
        <w:rPr>
          <w:rFonts w:ascii="Arial" w:hAnsi="Arial" w:cs="Arial"/>
          <w:sz w:val="22"/>
          <w:szCs w:val="22"/>
        </w:rPr>
      </w:pPr>
      <w:r>
        <w:rPr>
          <w:rFonts w:cs="Arial" w:ascii="Arial" w:hAnsi="Arial"/>
          <w:sz w:val="22"/>
          <w:szCs w:val="22"/>
        </w:rPr>
        <w:t>18.5 - As sanções previstas neste Capítulo poderão ser aplicadas cumulativamente, ou não, de acordo com a gravidade da infração, facultada ampla defesa à adjudicatária, no prazo de 05 (cinco) dias úteis a contar da intimação do ato.</w:t>
      </w:r>
    </w:p>
    <w:p>
      <w:pPr>
        <w:pStyle w:val="Standard"/>
        <w:spacing w:lineRule="auto" w:line="360"/>
        <w:ind w:right="-54"/>
        <w:jc w:val="both"/>
        <w:rPr>
          <w:rFonts w:ascii="Arial" w:hAnsi="Arial" w:cs="Arial"/>
          <w:sz w:val="22"/>
          <w:szCs w:val="22"/>
        </w:rPr>
      </w:pPr>
      <w:r>
        <w:rPr>
          <w:rFonts w:cs="Arial" w:ascii="Arial" w:hAnsi="Arial"/>
          <w:sz w:val="22"/>
          <w:szCs w:val="22"/>
        </w:rPr>
        <w:t>18.6 - Nenhuma parte será responsável perante a outra pelos atrasos ocasionados por motivo de força</w:t>
      </w:r>
      <w:r>
        <w:rPr>
          <w:rFonts w:cs="Arial" w:ascii="Arial" w:hAnsi="Arial"/>
          <w:color w:val="000080"/>
          <w:sz w:val="22"/>
          <w:szCs w:val="22"/>
        </w:rPr>
        <w:t xml:space="preserve"> </w:t>
      </w:r>
      <w:r>
        <w:rPr>
          <w:rFonts w:cs="Arial" w:ascii="Arial" w:hAnsi="Arial"/>
          <w:sz w:val="22"/>
          <w:szCs w:val="22"/>
        </w:rPr>
        <w:t>maior ou caso fortuito.</w:t>
      </w:r>
    </w:p>
    <w:p>
      <w:pPr>
        <w:pStyle w:val="Standard"/>
        <w:spacing w:lineRule="auto" w:line="360"/>
        <w:ind w:right="-54"/>
        <w:jc w:val="both"/>
        <w:rPr>
          <w:rFonts w:ascii="Arial" w:hAnsi="Arial" w:cs="Arial"/>
          <w:sz w:val="22"/>
          <w:szCs w:val="22"/>
        </w:rPr>
      </w:pPr>
      <w:r>
        <w:rPr>
          <w:rFonts w:cs="Arial" w:ascii="Arial" w:hAnsi="Arial"/>
          <w:sz w:val="22"/>
          <w:szCs w:val="22"/>
        </w:rPr>
        <w:t>18.7 - A sanção de suspensão de participar em licitação e contratar com a Administração Pública poderá ser também aplicada àqueles que:</w:t>
      </w:r>
    </w:p>
    <w:p>
      <w:pPr>
        <w:pStyle w:val="Standard"/>
        <w:spacing w:lineRule="auto" w:line="360"/>
        <w:ind w:firstLine="708" w:right="-54"/>
        <w:jc w:val="both"/>
        <w:rPr>
          <w:rFonts w:ascii="Arial" w:hAnsi="Arial" w:cs="Arial"/>
          <w:sz w:val="22"/>
          <w:szCs w:val="22"/>
        </w:rPr>
      </w:pPr>
      <w:r>
        <w:rPr>
          <w:rFonts w:cs="Arial" w:ascii="Arial" w:hAnsi="Arial"/>
          <w:sz w:val="22"/>
          <w:szCs w:val="22"/>
        </w:rPr>
        <w:t>18.7.1 - Retardarem a execução do pregão;</w:t>
      </w:r>
    </w:p>
    <w:p>
      <w:pPr>
        <w:pStyle w:val="Standard"/>
        <w:spacing w:lineRule="auto" w:line="360"/>
        <w:ind w:hanging="1" w:left="709" w:right="-54"/>
        <w:jc w:val="both"/>
        <w:rPr>
          <w:rFonts w:ascii="Arial" w:hAnsi="Arial" w:cs="Arial"/>
          <w:sz w:val="22"/>
          <w:szCs w:val="22"/>
        </w:rPr>
      </w:pPr>
      <w:r>
        <w:rPr>
          <w:rFonts w:cs="Arial" w:ascii="Arial" w:hAnsi="Arial"/>
          <w:sz w:val="22"/>
          <w:szCs w:val="22"/>
        </w:rPr>
        <w:t>18.8.2 - Demonstrarem não possuir idoneidade para contratar com a Administração e;</w:t>
      </w:r>
    </w:p>
    <w:p>
      <w:pPr>
        <w:pStyle w:val="Standard"/>
        <w:spacing w:lineRule="auto" w:line="360"/>
        <w:ind w:firstLine="708" w:right="-54"/>
        <w:jc w:val="both"/>
        <w:rPr>
          <w:rFonts w:ascii="Arial" w:hAnsi="Arial" w:cs="Arial"/>
          <w:sz w:val="22"/>
          <w:szCs w:val="22"/>
        </w:rPr>
      </w:pPr>
      <w:r>
        <w:rPr>
          <w:rFonts w:cs="Arial" w:ascii="Arial" w:hAnsi="Arial"/>
          <w:sz w:val="22"/>
          <w:szCs w:val="22"/>
        </w:rPr>
        <w:t>18.9.3 - Fizerem declaração falsa ou cometerem fraude fiscal.</w:t>
      </w:r>
    </w:p>
    <w:p>
      <w:pPr>
        <w:pStyle w:val="Standard"/>
        <w:spacing w:lineRule="auto" w:line="360"/>
        <w:ind w:right="-54"/>
        <w:jc w:val="both"/>
        <w:rPr>
          <w:rFonts w:ascii="Arial" w:hAnsi="Arial" w:cs="Arial"/>
          <w:b/>
          <w:bCs/>
          <w:sz w:val="22"/>
          <w:szCs w:val="22"/>
        </w:rPr>
      </w:pPr>
      <w:r>
        <w:rPr>
          <w:rFonts w:cs="Arial" w:ascii="Arial" w:hAnsi="Arial"/>
          <w:b/>
          <w:bCs/>
          <w:sz w:val="22"/>
          <w:szCs w:val="22"/>
        </w:rPr>
      </w:r>
    </w:p>
    <w:p>
      <w:pPr>
        <w:pStyle w:val="Nivel01"/>
        <w:numPr>
          <w:ilvl w:val="0"/>
          <w:numId w:val="0"/>
        </w:numPr>
        <w:tabs>
          <w:tab w:val="clear" w:pos="567"/>
        </w:tabs>
        <w:spacing w:lineRule="auto" w:line="360" w:before="0" w:after="0"/>
        <w:ind w:hanging="0" w:left="0"/>
        <w:rPr>
          <w:sz w:val="22"/>
          <w:szCs w:val="22"/>
        </w:rPr>
      </w:pPr>
      <w:r>
        <w:rPr>
          <w:sz w:val="22"/>
          <w:szCs w:val="22"/>
        </w:rPr>
        <w:t>19 - ADEQUAÇÃO ORÇAMENTÁRIA</w:t>
      </w:r>
    </w:p>
    <w:p>
      <w:pPr>
        <w:pStyle w:val="Normal"/>
        <w:spacing w:lineRule="auto" w:line="360"/>
        <w:jc w:val="both"/>
        <w:rPr>
          <w:rFonts w:ascii="Arial" w:hAnsi="Arial" w:cs="Arial"/>
          <w:sz w:val="22"/>
          <w:szCs w:val="22"/>
        </w:rPr>
      </w:pPr>
      <w:r>
        <w:rPr>
          <w:rFonts w:cs="Arial" w:ascii="Arial" w:hAnsi="Arial"/>
          <w:sz w:val="22"/>
          <w:szCs w:val="22"/>
        </w:rPr>
        <w:t>19.1 - Para fazer frente às despesas do ajuste, existem recursos orçamentários reservados, onerando as dotações classificadas nas Naturezas das Despesas: 3.3.90.39.00 – Outros serviços Pessoa Jurídica. Unidade Orçamentária: 02.19.04 – Secretaria Municipal de Obras/Departamento de Mobilidade e Trânsito; Classificação Funcional: 15.452.0003.2.118 – Manutenção da Secretaria de Obras/Gestão de Trânsito.</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21</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28</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1.432/2026</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rPr>
      </w:pPr>
      <w:r>
        <w:rPr>
          <w:rFonts w:cs="Arial" w:ascii="Arial" w:hAnsi="Arial"/>
          <w:sz w:val="22"/>
          <w:szCs w:val="22"/>
          <w:u w:val="single"/>
        </w:rPr>
        <w:t>PROCURAÇÃO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III</w:t>
      </w:r>
    </w:p>
    <w:p>
      <w:pPr>
        <w:pStyle w:val="Normal"/>
        <w:spacing w:lineRule="auto" w:line="360"/>
        <w:ind w:right="-54"/>
        <w:jc w:val="both"/>
        <w:rPr>
          <w:rFonts w:ascii="Arial" w:hAnsi="Arial" w:cs="Arial"/>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21</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28</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1.432/2026</w:t>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u w:val="single"/>
        </w:rPr>
        <w:t>DECLARAÇÃO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21</w:t>
      </w:r>
      <w:r>
        <w:rPr>
          <w:rFonts w:cs="Arial" w:ascii="Arial" w:hAnsi="Arial"/>
          <w:sz w:val="22"/>
          <w:szCs w:val="22"/>
        </w:rPr>
        <w:t>/2026),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21</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28</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1.432/2026</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b/>
          <w:bCs/>
          <w:sz w:val="22"/>
          <w:szCs w:val="22"/>
        </w:rPr>
        <w:t>ANEXO V - MODELO - Proposta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nº </w:t>
      </w:r>
      <w:r>
        <w:rPr>
          <w:rFonts w:cs="Arial" w:ascii="Arial" w:hAnsi="Arial"/>
          <w:b/>
          <w:bCs/>
          <w:sz w:val="22"/>
          <w:szCs w:val="22"/>
        </w:rPr>
        <w:t>21</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1.432/2026</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tbl>
      <w:tblPr>
        <w:tblW w:w="946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4109"/>
        <w:gridCol w:w="1216"/>
        <w:gridCol w:w="1911"/>
        <w:gridCol w:w="2223"/>
      </w:tblGrid>
      <w:tr>
        <w:trPr>
          <w:trHeight w:val="1320" w:hRule="atLeast"/>
        </w:trPr>
        <w:tc>
          <w:tcPr>
            <w:tcW w:w="9459" w:type="dxa"/>
            <w:gridSpan w:val="4"/>
            <w:tcBorders>
              <w:left w:val="single" w:sz="4" w:space="0" w:color="000000"/>
              <w:bottom w:val="single" w:sz="4" w:space="0" w:color="000000"/>
            </w:tcBorders>
            <w:vAlign w:val="center"/>
          </w:tcPr>
          <w:p>
            <w:pPr>
              <w:pStyle w:val="Normal"/>
              <w:suppressAutoHyphens w:val="false"/>
              <w:jc w:val="center"/>
              <w:rPr>
                <w:rFonts w:ascii="Arial" w:hAnsi="Arial" w:cs="Arial"/>
                <w:b/>
                <w:bCs/>
                <w:color w:val="000000"/>
                <w:kern w:val="0"/>
                <w:sz w:val="18"/>
                <w:szCs w:val="18"/>
                <w:lang w:eastAsia="pt-BR"/>
              </w:rPr>
            </w:pPr>
            <w:r>
              <w:rPr>
                <w:rFonts w:cs="Arial" w:ascii="Arial" w:hAnsi="Arial"/>
                <w:b/>
                <w:bCs/>
                <w:color w:val="000000"/>
                <w:kern w:val="0"/>
                <w:sz w:val="18"/>
                <w:szCs w:val="18"/>
                <w:lang w:eastAsia="pt-BR"/>
              </w:rPr>
              <w:t>LOTE 01 - Contratação de prestação dos serviços de remoção, guarda e depósito de veículos automotores envolvidos em infrações de trânsito, abandonados ou acidentados nas vias públicas do município de Itatiba, pelo período de 24 (vinte e quatro) meses.</w:t>
            </w:r>
          </w:p>
        </w:tc>
      </w:tr>
      <w:tr>
        <w:trPr>
          <w:trHeight w:val="885" w:hRule="atLeast"/>
        </w:trPr>
        <w:tc>
          <w:tcPr>
            <w:tcW w:w="7236"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Preço Estimado Total para 24 meses - SEM APLICAÇÃO DO PERCENTUAL DE DESCONTO</w:t>
            </w:r>
          </w:p>
        </w:tc>
        <w:tc>
          <w:tcPr>
            <w:tcW w:w="2223" w:type="dxa"/>
            <w:tcBorders>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Arial" w:ascii="Arial" w:hAnsi="Arial"/>
                <w:color w:val="000000"/>
                <w:kern w:val="0"/>
                <w:sz w:val="18"/>
                <w:szCs w:val="18"/>
                <w:lang w:eastAsia="pt-BR"/>
              </w:rPr>
              <w:t> </w:t>
            </w:r>
            <w:r>
              <w:rPr>
                <w:rFonts w:cs="Arial" w:ascii="Arial" w:hAnsi="Arial"/>
                <w:color w:val="000000"/>
                <w:kern w:val="0"/>
                <w:sz w:val="18"/>
                <w:szCs w:val="18"/>
                <w:lang w:eastAsia="pt-BR"/>
              </w:rPr>
              <w:t>R$ 3.454.092,72</w:t>
            </w:r>
          </w:p>
        </w:tc>
      </w:tr>
      <w:tr>
        <w:trPr>
          <w:trHeight w:val="885" w:hRule="atLeast"/>
        </w:trPr>
        <w:tc>
          <w:tcPr>
            <w:tcW w:w="7236"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Percentual de desconto sobre valor das Tarifas Públicas (%)</w:t>
            </w:r>
          </w:p>
        </w:tc>
        <w:tc>
          <w:tcPr>
            <w:tcW w:w="2223"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w:t>
            </w:r>
          </w:p>
        </w:tc>
      </w:tr>
      <w:tr>
        <w:trPr>
          <w:trHeight w:val="885" w:hRule="atLeast"/>
        </w:trPr>
        <w:tc>
          <w:tcPr>
            <w:tcW w:w="7236"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Preço Total para 24 meses - COM APLICAÇÃO DO PERCENTUAL DE DESCONTO</w:t>
            </w:r>
          </w:p>
        </w:tc>
        <w:tc>
          <w:tcPr>
            <w:tcW w:w="2223"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R$</w:t>
            </w:r>
          </w:p>
        </w:tc>
      </w:tr>
      <w:tr>
        <w:trPr>
          <w:trHeight w:val="525" w:hRule="atLeast"/>
        </w:trPr>
        <w:tc>
          <w:tcPr>
            <w:tcW w:w="4109" w:type="dxa"/>
            <w:tcBorders>
              <w:left w:val="single" w:sz="4" w:space="0" w:color="000000"/>
              <w:bottom w:val="single" w:sz="4" w:space="0" w:color="000000"/>
              <w:right w:val="single" w:sz="4" w:space="0" w:color="000000"/>
            </w:tcBorders>
            <w:shd w:color="000000" w:fill="000000" w:val="clear"/>
            <w:vAlign w:val="center"/>
          </w:tcPr>
          <w:p>
            <w:pPr>
              <w:pStyle w:val="Normal"/>
              <w:suppressAutoHyphens w:val="false"/>
              <w:rPr>
                <w:rFonts w:ascii="Arial" w:hAnsi="Arial" w:cs="Arial"/>
                <w:kern w:val="0"/>
                <w:sz w:val="18"/>
                <w:szCs w:val="18"/>
                <w:lang w:eastAsia="pt-BR"/>
              </w:rPr>
            </w:pPr>
            <w:r>
              <w:rPr>
                <w:rFonts w:cs="Arial" w:ascii="Arial" w:hAnsi="Arial"/>
                <w:kern w:val="0"/>
                <w:sz w:val="18"/>
                <w:szCs w:val="18"/>
                <w:lang w:eastAsia="pt-BR"/>
              </w:rPr>
              <w:t> </w:t>
            </w:r>
          </w:p>
        </w:tc>
        <w:tc>
          <w:tcPr>
            <w:tcW w:w="1216" w:type="dxa"/>
            <w:tcBorders>
              <w:bottom w:val="single" w:sz="4" w:space="0" w:color="000000"/>
              <w:right w:val="single" w:sz="4" w:space="0" w:color="000000"/>
            </w:tcBorders>
            <w:shd w:color="000000" w:fill="000000" w:val="clear"/>
            <w:vAlign w:val="center"/>
          </w:tcPr>
          <w:p>
            <w:pPr>
              <w:pStyle w:val="Normal"/>
              <w:suppressAutoHyphens w:val="false"/>
              <w:rPr>
                <w:rFonts w:ascii="Arial" w:hAnsi="Arial" w:cs="Arial"/>
                <w:kern w:val="0"/>
                <w:sz w:val="18"/>
                <w:szCs w:val="18"/>
                <w:lang w:eastAsia="pt-BR"/>
              </w:rPr>
            </w:pPr>
            <w:r>
              <w:rPr>
                <w:rFonts w:cs="Arial" w:ascii="Arial" w:hAnsi="Arial"/>
                <w:kern w:val="0"/>
                <w:sz w:val="18"/>
                <w:szCs w:val="18"/>
                <w:lang w:eastAsia="pt-BR"/>
              </w:rPr>
              <w:t> </w:t>
            </w:r>
          </w:p>
        </w:tc>
        <w:tc>
          <w:tcPr>
            <w:tcW w:w="1911" w:type="dxa"/>
            <w:tcBorders>
              <w:bottom w:val="single" w:sz="4" w:space="0" w:color="000000"/>
              <w:right w:val="single" w:sz="4" w:space="0" w:color="000000"/>
            </w:tcBorders>
            <w:shd w:color="000000" w:fill="000000" w:val="clear"/>
            <w:vAlign w:val="center"/>
          </w:tcPr>
          <w:p>
            <w:pPr>
              <w:pStyle w:val="Normal"/>
              <w:suppressAutoHyphens w:val="false"/>
              <w:rPr>
                <w:rFonts w:ascii="Arial" w:hAnsi="Arial" w:cs="Arial"/>
                <w:kern w:val="0"/>
                <w:sz w:val="18"/>
                <w:szCs w:val="18"/>
                <w:lang w:eastAsia="pt-BR"/>
              </w:rPr>
            </w:pPr>
            <w:r>
              <w:rPr>
                <w:rFonts w:cs="Arial" w:ascii="Arial" w:hAnsi="Arial"/>
                <w:kern w:val="0"/>
                <w:sz w:val="18"/>
                <w:szCs w:val="18"/>
                <w:lang w:eastAsia="pt-BR"/>
              </w:rPr>
              <w:t> </w:t>
            </w:r>
          </w:p>
        </w:tc>
        <w:tc>
          <w:tcPr>
            <w:tcW w:w="2223" w:type="dxa"/>
            <w:tcBorders>
              <w:bottom w:val="single" w:sz="4" w:space="0" w:color="000000"/>
              <w:right w:val="single" w:sz="4" w:space="0" w:color="000000"/>
            </w:tcBorders>
            <w:shd w:color="000000" w:fill="000000" w:val="clear"/>
            <w:vAlign w:val="bottom"/>
          </w:tcPr>
          <w:p>
            <w:pPr>
              <w:pStyle w:val="Normal"/>
              <w:suppressAutoHyphens w:val="false"/>
              <w:rPr>
                <w:rFonts w:ascii="Arial" w:hAnsi="Arial" w:cs="Arial"/>
                <w:kern w:val="0"/>
                <w:sz w:val="18"/>
                <w:szCs w:val="18"/>
                <w:lang w:eastAsia="pt-BR"/>
              </w:rPr>
            </w:pPr>
            <w:r>
              <w:rPr>
                <w:rFonts w:cs="Arial" w:ascii="Arial" w:hAnsi="Arial"/>
                <w:kern w:val="0"/>
                <w:sz w:val="18"/>
                <w:szCs w:val="18"/>
                <w:lang w:eastAsia="pt-BR"/>
              </w:rPr>
              <w:t> </w:t>
            </w:r>
          </w:p>
        </w:tc>
      </w:tr>
      <w:tr>
        <w:trPr>
          <w:trHeight w:val="2160" w:hRule="atLeast"/>
        </w:trPr>
        <w:tc>
          <w:tcPr>
            <w:tcW w:w="4109" w:type="dxa"/>
            <w:tcBorders>
              <w:left w:val="single" w:sz="4" w:space="0" w:color="000000"/>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DESCRIÇÃO</w:t>
            </w:r>
          </w:p>
        </w:tc>
        <w:tc>
          <w:tcPr>
            <w:tcW w:w="1216" w:type="dxa"/>
            <w:tcBorders>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QTD. TOTAL (24 MESES)</w:t>
            </w:r>
          </w:p>
        </w:tc>
        <w:tc>
          <w:tcPr>
            <w:tcW w:w="1911" w:type="dxa"/>
            <w:tcBorders>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VALOR UNITÁRIO - CORRESPONDENTE AO VALOR DA TARIFA APLICADO PERCENTUAL DE DESCONTO(R$)</w:t>
            </w:r>
          </w:p>
        </w:tc>
        <w:tc>
          <w:tcPr>
            <w:tcW w:w="2223" w:type="dxa"/>
            <w:tcBorders>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VALOR TOTAL (R$)</w:t>
            </w:r>
          </w:p>
        </w:tc>
      </w:tr>
      <w:tr>
        <w:trPr>
          <w:trHeight w:val="495" w:hRule="atLeast"/>
        </w:trPr>
        <w:tc>
          <w:tcPr>
            <w:tcW w:w="4109" w:type="dxa"/>
            <w:tcBorders>
              <w:left w:val="single" w:sz="4" w:space="0" w:color="000000"/>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Remoção Pesados</w:t>
            </w:r>
          </w:p>
        </w:tc>
        <w:tc>
          <w:tcPr>
            <w:tcW w:w="1216" w:type="dxa"/>
            <w:tcBorders>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48</w:t>
            </w:r>
          </w:p>
        </w:tc>
        <w:tc>
          <w:tcPr>
            <w:tcW w:w="1911"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c>
          <w:tcPr>
            <w:tcW w:w="2223"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r>
      <w:tr>
        <w:trPr>
          <w:trHeight w:val="495" w:hRule="atLeast"/>
        </w:trPr>
        <w:tc>
          <w:tcPr>
            <w:tcW w:w="4109" w:type="dxa"/>
            <w:tcBorders>
              <w:left w:val="single" w:sz="4" w:space="0" w:color="000000"/>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Remoção Leves/Médios</w:t>
            </w:r>
          </w:p>
        </w:tc>
        <w:tc>
          <w:tcPr>
            <w:tcW w:w="1216" w:type="dxa"/>
            <w:tcBorders>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360</w:t>
            </w:r>
          </w:p>
        </w:tc>
        <w:tc>
          <w:tcPr>
            <w:tcW w:w="1911"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c>
          <w:tcPr>
            <w:tcW w:w="2223"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r>
      <w:tr>
        <w:trPr>
          <w:trHeight w:val="495" w:hRule="atLeast"/>
        </w:trPr>
        <w:tc>
          <w:tcPr>
            <w:tcW w:w="4109" w:type="dxa"/>
            <w:tcBorders>
              <w:left w:val="single" w:sz="4" w:space="0" w:color="000000"/>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Remoção Motos</w:t>
            </w:r>
          </w:p>
        </w:tc>
        <w:tc>
          <w:tcPr>
            <w:tcW w:w="1216" w:type="dxa"/>
            <w:tcBorders>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528</w:t>
            </w:r>
          </w:p>
        </w:tc>
        <w:tc>
          <w:tcPr>
            <w:tcW w:w="1911"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c>
          <w:tcPr>
            <w:tcW w:w="2223"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r>
      <w:tr>
        <w:trPr>
          <w:trHeight w:val="495" w:hRule="atLeast"/>
        </w:trPr>
        <w:tc>
          <w:tcPr>
            <w:tcW w:w="4109" w:type="dxa"/>
            <w:tcBorders>
              <w:left w:val="single" w:sz="4" w:space="0" w:color="000000"/>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Estadia Pesados (Diárias)</w:t>
            </w:r>
          </w:p>
        </w:tc>
        <w:tc>
          <w:tcPr>
            <w:tcW w:w="1216" w:type="dxa"/>
            <w:tcBorders>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3.870</w:t>
            </w:r>
          </w:p>
        </w:tc>
        <w:tc>
          <w:tcPr>
            <w:tcW w:w="1911"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c>
          <w:tcPr>
            <w:tcW w:w="2223"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r>
      <w:tr>
        <w:trPr>
          <w:trHeight w:val="495" w:hRule="atLeast"/>
        </w:trPr>
        <w:tc>
          <w:tcPr>
            <w:tcW w:w="4109" w:type="dxa"/>
            <w:tcBorders>
              <w:left w:val="single" w:sz="4" w:space="0" w:color="000000"/>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Estadia Leves (Diárias)</w:t>
            </w:r>
          </w:p>
        </w:tc>
        <w:tc>
          <w:tcPr>
            <w:tcW w:w="1216" w:type="dxa"/>
            <w:tcBorders>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29.025</w:t>
            </w:r>
          </w:p>
        </w:tc>
        <w:tc>
          <w:tcPr>
            <w:tcW w:w="1911"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c>
          <w:tcPr>
            <w:tcW w:w="2223"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r>
      <w:tr>
        <w:trPr>
          <w:trHeight w:val="495" w:hRule="atLeast"/>
        </w:trPr>
        <w:tc>
          <w:tcPr>
            <w:tcW w:w="4109" w:type="dxa"/>
            <w:tcBorders>
              <w:left w:val="single" w:sz="4" w:space="0" w:color="000000"/>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Estadia Motos (Diárias)</w:t>
            </w:r>
          </w:p>
        </w:tc>
        <w:tc>
          <w:tcPr>
            <w:tcW w:w="1216" w:type="dxa"/>
            <w:tcBorders>
              <w:bottom w:val="single" w:sz="4" w:space="0" w:color="000000"/>
              <w:right w:val="single" w:sz="4" w:space="0" w:color="000000"/>
            </w:tcBorders>
            <w:vAlign w:val="center"/>
          </w:tcPr>
          <w:p>
            <w:pPr>
              <w:pStyle w:val="Normal"/>
              <w:suppressAutoHyphens w:val="false"/>
              <w:jc w:val="center"/>
              <w:rPr>
                <w:rFonts w:ascii="Arial" w:hAnsi="Arial" w:cs="Arial"/>
                <w:color w:val="000000"/>
                <w:kern w:val="0"/>
                <w:sz w:val="18"/>
                <w:szCs w:val="18"/>
                <w:lang w:eastAsia="pt-BR"/>
              </w:rPr>
            </w:pPr>
            <w:r>
              <w:rPr>
                <w:rFonts w:cs="Calibri" w:ascii="Arial" w:hAnsi="Arial"/>
                <w:color w:val="000000"/>
                <w:kern w:val="0"/>
                <w:sz w:val="18"/>
                <w:szCs w:val="18"/>
                <w:lang w:eastAsia="pt-BR"/>
              </w:rPr>
              <w:t>42.570</w:t>
            </w:r>
          </w:p>
        </w:tc>
        <w:tc>
          <w:tcPr>
            <w:tcW w:w="1911"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c>
          <w:tcPr>
            <w:tcW w:w="2223"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r>
      <w:tr>
        <w:trPr>
          <w:trHeight w:val="495" w:hRule="atLeast"/>
        </w:trPr>
        <w:tc>
          <w:tcPr>
            <w:tcW w:w="4109" w:type="dxa"/>
            <w:tcBorders>
              <w:left w:val="single" w:sz="4" w:space="0" w:color="000000"/>
              <w:bottom w:val="single" w:sz="4" w:space="0" w:color="000000"/>
              <w:right w:val="single" w:sz="4" w:space="0" w:color="000000"/>
            </w:tcBorders>
            <w:vAlign w:val="bottom"/>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VALOR TOTAL</w:t>
            </w:r>
          </w:p>
        </w:tc>
        <w:tc>
          <w:tcPr>
            <w:tcW w:w="1216" w:type="dxa"/>
            <w:tcBorders>
              <w:bottom w:val="single" w:sz="4" w:space="0" w:color="000000"/>
              <w:right w:val="single" w:sz="4" w:space="0" w:color="000000"/>
            </w:tcBorders>
            <w:vAlign w:val="bottom"/>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w:t>
            </w:r>
          </w:p>
        </w:tc>
        <w:tc>
          <w:tcPr>
            <w:tcW w:w="1911" w:type="dxa"/>
            <w:tcBorders>
              <w:bottom w:val="single" w:sz="4" w:space="0" w:color="000000"/>
              <w:right w:val="single" w:sz="4" w:space="0" w:color="000000"/>
            </w:tcBorders>
            <w:vAlign w:val="bottom"/>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w:t>
            </w:r>
          </w:p>
        </w:tc>
        <w:tc>
          <w:tcPr>
            <w:tcW w:w="2223" w:type="dxa"/>
            <w:tcBorders>
              <w:bottom w:val="single" w:sz="4" w:space="0" w:color="000000"/>
              <w:right w:val="single" w:sz="4" w:space="0" w:color="000000"/>
            </w:tcBorders>
            <w:vAlign w:val="center"/>
          </w:tcPr>
          <w:p>
            <w:pPr>
              <w:pStyle w:val="Normal"/>
              <w:suppressAutoHyphens w:val="false"/>
              <w:rPr>
                <w:rFonts w:ascii="Arial" w:hAnsi="Arial" w:cs="Arial"/>
                <w:color w:val="000000"/>
                <w:kern w:val="0"/>
                <w:sz w:val="18"/>
                <w:szCs w:val="18"/>
                <w:lang w:eastAsia="pt-BR"/>
              </w:rPr>
            </w:pPr>
            <w:r>
              <w:rPr>
                <w:rFonts w:cs="Arial" w:ascii="Arial" w:hAnsi="Arial"/>
                <w:color w:val="000000"/>
                <w:kern w:val="0"/>
                <w:sz w:val="18"/>
                <w:szCs w:val="18"/>
                <w:lang w:eastAsia="pt-BR"/>
              </w:rPr>
              <w:t xml:space="preserve">R$ </w:t>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b/>
          <w:bCs/>
          <w:sz w:val="22"/>
          <w:szCs w:val="22"/>
        </w:rPr>
        <w:object>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position:absolute;margin-left:-9.45pt;margin-top:27.55pt;width:493.75pt;height:569.65pt;mso-wrap-distance-right:0pt;mso-position-horizontal-relative:text;mso-position-vertical-relative:text" filled="t" fillcolor="#FFFFFF" o:ole="">
            <v:imagedata r:id="rId18" o:title=""/>
            <w10:wrap type="square"/>
          </v:shape>
          <o:OLEObject Type="Embed" ProgID="Excel.Sheet.8" ShapeID="ole_rId17" DrawAspect="Content" ObjectID="_61784757" r:id="rId17"/>
        </w:object>
      </w:r>
      <w:r>
        <w:rPr>
          <w:rFonts w:cs="Arial" w:ascii="Arial" w:hAnsi="Arial"/>
          <w:b/>
          <w:bCs/>
          <w:sz w:val="22"/>
          <w:szCs w:val="22"/>
        </w:rPr>
        <w:t>ANEXO VI</w:t>
      </w:r>
    </w:p>
    <w:p>
      <w:pPr>
        <w:pStyle w:val="Normal"/>
        <w:spacing w:lineRule="auto" w:line="276"/>
        <w:ind w:right="-54"/>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PROCESSO ADMINISTRATIVO Nº 9606/2025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rPr>
        <w:t xml:space="preserve">Pregão Eletrônico </w:t>
      </w:r>
      <w:r>
        <w:rPr>
          <w:rFonts w:cs="Arial" w:ascii="Arial" w:hAnsi="Arial"/>
          <w:b/>
          <w:bCs/>
          <w:sz w:val="22"/>
          <w:szCs w:val="22"/>
        </w:rPr>
        <w:t>21</w:t>
      </w:r>
      <w:r>
        <w:rPr>
          <w:rFonts w:cs="Arial" w:ascii="Arial" w:hAnsi="Arial"/>
          <w:b/>
          <w:bCs/>
          <w:sz w:val="22"/>
          <w:szCs w:val="22"/>
        </w:rPr>
        <w:t>/2026</w:t>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19">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hanging="0" w:left="0"/>
        <w:rPr>
          <w:sz w:val="22"/>
          <w:szCs w:val="22"/>
        </w:rPr>
      </w:pPr>
      <w:r>
        <w:rPr>
          <w:sz w:val="22"/>
          <w:szCs w:val="22"/>
        </w:rPr>
        <w:t xml:space="preserve">CLÁUSULA PRIMEIRA – OBJETO </w:t>
      </w:r>
    </w:p>
    <w:p>
      <w:pPr>
        <w:pStyle w:val="Nivel2"/>
        <w:tabs>
          <w:tab w:val="clear" w:pos="0"/>
        </w:tabs>
        <w:spacing w:before="120" w:after="288"/>
        <w:ind w:hanging="0" w:left="0"/>
        <w:rPr>
          <w:sz w:val="22"/>
          <w:szCs w:val="22"/>
        </w:rPr>
      </w:pPr>
      <w:r>
        <w:rPr>
          <w:sz w:val="22"/>
          <w:szCs w:val="22"/>
        </w:rPr>
        <w:t>1- O objeto do presente instrumento é xxxxxxxxxxxx, nas condições estabelecidas no Termo de Referência do Edital, que fica fazendo parte integrante desse Contrato.</w:t>
      </w:r>
    </w:p>
    <w:p>
      <w:pPr>
        <w:pStyle w:val="Nivel01"/>
        <w:numPr>
          <w:ilvl w:val="0"/>
          <w:numId w:val="0"/>
        </w:numPr>
        <w:spacing w:lineRule="auto" w:line="276" w:before="120" w:after="288"/>
        <w:ind w:hanging="0" w:left="0"/>
        <w:rPr>
          <w:color w:val="000000"/>
          <w:sz w:val="22"/>
          <w:szCs w:val="22"/>
        </w:rPr>
      </w:pPr>
      <w:r>
        <w:rPr>
          <w:sz w:val="22"/>
          <w:szCs w:val="22"/>
        </w:rPr>
        <w:t>CLÁUSULA SEGUNDA – VIGÊNCIA E PRORROGAÇÃO</w:t>
      </w:r>
    </w:p>
    <w:p>
      <w:pPr>
        <w:pStyle w:val="Nvel2-Red"/>
        <w:tabs>
          <w:tab w:val="clear" w:pos="0"/>
        </w:tabs>
        <w:spacing w:before="120" w:after="288"/>
        <w:rPr>
          <w:i w:val="false"/>
          <w:i w:val="false"/>
          <w:iCs w:val="false"/>
          <w:color w:val="000000"/>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sz w:val="22"/>
          <w:i w:val="false"/>
          <w:szCs w:val="22"/>
          <w:iCs w:val="false"/>
          <w:color w:val="000000"/>
        </w:rPr>
        <w:instrText xml:space="preserve"> HYPERLINK "http://www.planalto.gov.br/ccivil_03/_ato2019-2022/2021/lei/L14133.htm" \l "art105"</w:instrText>
      </w:r>
      <w:r>
        <w:rPr>
          <w:rStyle w:val="Hyperlink"/>
          <w:sz w:val="22"/>
          <w:i w:val="false"/>
          <w:szCs w:val="22"/>
          <w:iCs w:val="false"/>
          <w:color w:val="000000"/>
        </w:rPr>
        <w:fldChar w:fldCharType="separate"/>
      </w:r>
      <w:r>
        <w:rPr>
          <w:rStyle w:val="Hyperlink"/>
          <w:i w:val="false"/>
          <w:iCs w:val="false"/>
          <w:color w:val="000000"/>
          <w:sz w:val="22"/>
          <w:szCs w:val="22"/>
        </w:rPr>
        <w:t>artigo 105 da Lei n° 14.133, de 2021</w:t>
      </w:r>
      <w:r>
        <w:rPr>
          <w:rStyle w:val="Hyperlink"/>
          <w:sz w:val="22"/>
          <w:i w:val="false"/>
          <w:szCs w:val="22"/>
          <w:iCs w:val="false"/>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276" w:before="0" w:after="0"/>
        <w:ind w:hanging="0" w:left="0"/>
        <w:rPr>
          <w:sz w:val="22"/>
          <w:szCs w:val="22"/>
        </w:rPr>
      </w:pPr>
      <w:r>
        <w:rPr>
          <w:sz w:val="22"/>
          <w:szCs w:val="22"/>
        </w:rPr>
        <w:t xml:space="preserve">CLÁUSULA TERCEIRA – MODELOS DE EXECUÇÃO E GESTÃO CONTRATUAIS </w:t>
      </w:r>
    </w:p>
    <w:p>
      <w:pPr>
        <w:pStyle w:val="Nivel2"/>
        <w:tabs>
          <w:tab w:val="clear" w:pos="0"/>
        </w:tabs>
        <w:spacing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2"/>
        <w:tabs>
          <w:tab w:val="clear" w:pos="0"/>
        </w:tabs>
        <w:spacing w:before="120" w:after="288"/>
        <w:ind w:hanging="0" w:left="0"/>
        <w:rPr>
          <w:sz w:val="22"/>
          <w:szCs w:val="22"/>
        </w:rPr>
      </w:pPr>
      <w:r>
        <w:rPr>
          <w:sz w:val="22"/>
          <w:szCs w:val="22"/>
        </w:rPr>
      </w:r>
    </w:p>
    <w:p>
      <w:pPr>
        <w:pStyle w:val="Nivel01"/>
        <w:numPr>
          <w:ilvl w:val="0"/>
          <w:numId w:val="0"/>
        </w:numPr>
        <w:spacing w:lineRule="auto" w:line="276" w:before="120" w:after="288"/>
        <w:ind w:hanging="0" w:left="0"/>
        <w:rPr>
          <w:color w:val="000000"/>
          <w:sz w:val="22"/>
          <w:szCs w:val="22"/>
        </w:rPr>
      </w:pPr>
      <w:r>
        <w:rPr>
          <w:sz w:val="22"/>
          <w:szCs w:val="22"/>
        </w:rPr>
        <w:t>CLÁUSULA QUARTA – SUBCONTRATAÇÃO</w:t>
      </w:r>
    </w:p>
    <w:p>
      <w:pPr>
        <w:pStyle w:val="Nvel2-Red"/>
        <w:tabs>
          <w:tab w:val="clear" w:pos="0"/>
        </w:tabs>
        <w:spacing w:before="120" w:after="288"/>
        <w:rPr>
          <w:i w:val="false"/>
          <w:i w:val="false"/>
          <w:iCs w:val="false"/>
          <w:color w:val="000000"/>
          <w:sz w:val="22"/>
          <w:szCs w:val="22"/>
        </w:rPr>
      </w:pPr>
      <w:r>
        <w:rPr>
          <w:i w:val="false"/>
          <w:iCs w:val="false"/>
          <w:color w:val="000000"/>
          <w:sz w:val="22"/>
          <w:szCs w:val="22"/>
        </w:rPr>
        <w:t>4.1 Será admitida a subcontratação do serviço de guincho da operação.do objeto contratual.</w:t>
      </w:r>
    </w:p>
    <w:p>
      <w:pPr>
        <w:pStyle w:val="Nivel01"/>
        <w:numPr>
          <w:ilvl w:val="0"/>
          <w:numId w:val="0"/>
        </w:numPr>
        <w:spacing w:lineRule="auto" w:line="276" w:before="120" w:after="288"/>
        <w:ind w:hanging="0" w:left="0"/>
        <w:rPr>
          <w:color w:val="000000"/>
          <w:sz w:val="22"/>
          <w:szCs w:val="22"/>
        </w:rPr>
      </w:pPr>
      <w:r>
        <w:rPr>
          <w:sz w:val="22"/>
          <w:szCs w:val="22"/>
        </w:rPr>
        <w:t>CLÁUSULA QUINTA – DO PREÇO E DA DOTAÇÃO ORÇAMENTÁRIA</w:t>
      </w:r>
    </w:p>
    <w:p>
      <w:pPr>
        <w:pStyle w:val="Nvel2-Red"/>
        <w:tabs>
          <w:tab w:val="clear" w:pos="0"/>
        </w:tabs>
        <w:spacing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before="0" w:after="0"/>
        <w:rPr>
          <w:i w:val="false"/>
          <w:i w:val="false"/>
          <w:iCs w:val="false"/>
          <w:color w:val="000000"/>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vel2-Red"/>
        <w:tabs>
          <w:tab w:val="clear" w:pos="0"/>
        </w:tabs>
        <w:spacing w:before="0" w:after="0"/>
        <w:rPr>
          <w:sz w:val="22"/>
          <w:szCs w:val="22"/>
        </w:rPr>
      </w:pPr>
      <w:r>
        <w:rPr>
          <w:sz w:val="22"/>
          <w:szCs w:val="22"/>
        </w:rPr>
      </w:r>
    </w:p>
    <w:p>
      <w:pPr>
        <w:pStyle w:val="Nivel01"/>
        <w:numPr>
          <w:ilvl w:val="0"/>
          <w:numId w:val="0"/>
        </w:numPr>
        <w:spacing w:lineRule="auto" w:line="276" w:before="120" w:after="288"/>
        <w:ind w:hanging="0" w:left="0"/>
        <w:rPr>
          <w:sz w:val="22"/>
          <w:szCs w:val="22"/>
        </w:rPr>
      </w:pPr>
      <w:r>
        <w:rPr>
          <w:sz w:val="22"/>
          <w:szCs w:val="22"/>
        </w:rPr>
        <w:t>CLÁUSULA SEXTA - PAGAMENTO</w:t>
      </w:r>
    </w:p>
    <w:p>
      <w:pPr>
        <w:pStyle w:val="Nivel2"/>
        <w:tabs>
          <w:tab w:val="clear" w:pos="0"/>
        </w:tabs>
        <w:spacing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276"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01"/>
        <w:numPr>
          <w:ilvl w:val="0"/>
          <w:numId w:val="0"/>
        </w:numPr>
        <w:spacing w:lineRule="auto" w:line="276" w:before="120" w:after="288"/>
        <w:ind w:hanging="0" w:left="0"/>
        <w:rPr>
          <w:rFonts w:eastAsia="MS Mincho"/>
          <w:b w:val="false"/>
          <w:bCs w:val="false"/>
          <w:color w:val="000000"/>
          <w:sz w:val="22"/>
          <w:szCs w:val="22"/>
        </w:rPr>
      </w:pPr>
      <w:r>
        <w:rPr>
          <w:rFonts w:eastAsia="MS Mincho"/>
          <w:b w:val="false"/>
          <w:bCs w:val="false"/>
          <w:color w:val="000000"/>
          <w:sz w:val="22"/>
          <w:szCs w:val="22"/>
        </w:rPr>
        <w:t>8.1 - O percentual de desconto aplicadas sobre o valor das tarifas públicas propostos serão fixos e irreajustáveis.</w:t>
      </w:r>
    </w:p>
    <w:p>
      <w:pPr>
        <w:pStyle w:val="Normal"/>
        <w:rPr>
          <w:rFonts w:eastAsia="MS Mincho"/>
        </w:rPr>
      </w:pPr>
      <w:r>
        <w:rPr>
          <w:rFonts w:eastAsia="MS Mincho"/>
        </w:rPr>
      </w:r>
    </w:p>
    <w:p>
      <w:pPr>
        <w:pStyle w:val="Nivel01"/>
        <w:numPr>
          <w:ilvl w:val="0"/>
          <w:numId w:val="0"/>
        </w:numPr>
        <w:spacing w:lineRule="auto" w:line="276" w:before="120" w:after="288"/>
        <w:ind w:hanging="0" w:left="0"/>
        <w:rPr>
          <w:sz w:val="22"/>
          <w:szCs w:val="22"/>
        </w:rPr>
      </w:pPr>
      <w:r>
        <w:rPr>
          <w:sz w:val="22"/>
          <w:szCs w:val="22"/>
        </w:rPr>
        <w:t xml:space="preserve">CLÁUSULA OITAVA - OBRIGAÇÕES DO CONTRATANTE </w:t>
      </w:r>
    </w:p>
    <w:p>
      <w:pPr>
        <w:pStyle w:val="Nivel2"/>
        <w:tabs>
          <w:tab w:val="clear" w:pos="0"/>
        </w:tabs>
        <w:spacing w:before="120" w:after="288"/>
        <w:ind w:hanging="0" w:left="0"/>
        <w:rPr>
          <w:sz w:val="22"/>
          <w:szCs w:val="22"/>
        </w:rPr>
      </w:pPr>
      <w:r>
        <w:rPr>
          <w:sz w:val="22"/>
          <w:szCs w:val="22"/>
        </w:rPr>
        <w:t>8.1 - São obrigações do Contratante:</w:t>
      </w:r>
    </w:p>
    <w:p>
      <w:pPr>
        <w:pStyle w:val="Nivel2"/>
        <w:tabs>
          <w:tab w:val="clear" w:pos="0"/>
        </w:tabs>
        <w:spacing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276"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tabs>
          <w:tab w:val="clear" w:pos="0"/>
        </w:tabs>
        <w:spacing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tabs>
          <w:tab w:val="clear" w:pos="0"/>
        </w:tabs>
        <w:spacing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tabs>
          <w:tab w:val="clear" w:pos="0"/>
        </w:tabs>
        <w:spacing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276"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8"/>
        </w:numPr>
        <w:spacing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numPr>
          <w:ilvl w:val="1"/>
          <w:numId w:val="8"/>
        </w:numPr>
        <w:spacing w:before="0" w:after="0"/>
        <w:ind w:hanging="0" w:left="0"/>
        <w:rPr>
          <w:sz w:val="22"/>
          <w:szCs w:val="22"/>
          <w:lang w:eastAsia="pt-BR"/>
        </w:rPr>
      </w:pPr>
      <w:r>
        <w:rPr>
          <w:sz w:val="22"/>
          <w:szCs w:val="22"/>
          <w:lang w:eastAsia="pt-BR"/>
        </w:rPr>
      </w:r>
    </w:p>
    <w:p>
      <w:pPr>
        <w:pStyle w:val="Normal"/>
        <w:spacing w:lineRule="auto" w:line="276"/>
        <w:rPr>
          <w:rFonts w:ascii="Arial" w:hAnsi="Arial" w:cs="Arial"/>
          <w:color w:val="000000"/>
          <w:sz w:val="22"/>
          <w:szCs w:val="22"/>
          <w:lang w:eastAsia="pt-BR"/>
        </w:rPr>
      </w:pPr>
      <w:r>
        <w:rPr>
          <w:rFonts w:cs="Arial" w:ascii="Arial" w:hAnsi="Arial"/>
          <w:color w:val="000000"/>
          <w:sz w:val="22"/>
          <w:szCs w:val="22"/>
          <w:lang w:eastAsia="pt-BR"/>
        </w:rPr>
      </w:r>
    </w:p>
    <w:p>
      <w:pPr>
        <w:pStyle w:val="Nivel01"/>
        <w:numPr>
          <w:ilvl w:val="0"/>
          <w:numId w:val="0"/>
        </w:numPr>
        <w:spacing w:lineRule="auto" w:line="276"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ind w:hanging="0" w:left="-14"/>
        <w:rPr>
          <w:rFonts w:eastAsia="Arial"/>
          <w:i w:val="false"/>
          <w:i w:val="false"/>
          <w:iCs w:val="false"/>
          <w:color w:val="000000"/>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vel3-R"/>
        <w:tabs>
          <w:tab w:val="clear" w:pos="0"/>
        </w:tabs>
        <w:ind w:hanging="0" w:left="-14"/>
        <w:rPr>
          <w:rFonts w:eastAsia="Arial"/>
          <w:sz w:val="22"/>
          <w:szCs w:val="22"/>
        </w:rPr>
      </w:pPr>
      <w:r>
        <w:rPr>
          <w:rFonts w:eastAsia="Arial"/>
          <w:sz w:val="22"/>
          <w:szCs w:val="22"/>
        </w:rPr>
      </w:r>
    </w:p>
    <w:p>
      <w:pPr>
        <w:pStyle w:val="Nvel2-Red"/>
        <w:tabs>
          <w:tab w:val="clear" w:pos="0"/>
        </w:tabs>
        <w:spacing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III</w:t>
      </w:r>
      <w:r>
        <w:rPr>
          <w:rStyle w:val="Hyperlink"/>
          <w:sz w:val="22"/>
          <w:szCs w:val="22"/>
          <w:color w:val="000000"/>
        </w:rPr>
        <w:fldChar w:fldCharType="end"/>
      </w:r>
      <w:r>
        <w:rPr>
          <w:b/>
          <w:bCs/>
          <w:i w:val="false"/>
          <w:iCs w:val="false"/>
          <w:color w:val="000000"/>
          <w:sz w:val="22"/>
          <w:szCs w:val="22"/>
        </w:rPr>
        <w:t>)</w:t>
      </w:r>
    </w:p>
    <w:p>
      <w:pPr>
        <w:pStyle w:val="Nivel2"/>
        <w:tabs>
          <w:tab w:val="clear" w:pos="0"/>
        </w:tabs>
        <w:spacing w:before="120" w:after="288"/>
        <w:ind w:hanging="0" w:left="0"/>
        <w:rPr>
          <w:sz w:val="22"/>
          <w:szCs w:val="22"/>
        </w:rPr>
      </w:pPr>
      <w:r>
        <w:rPr>
          <w:sz w:val="22"/>
          <w:szCs w:val="22"/>
        </w:rPr>
        <w:t xml:space="preserve">12.1 Os casos omissos serão decididos pelo contratante, segundo as disposições contidas na Lei </w:t>
      </w:r>
      <w:hyperlink r:id="rId20">
        <w:r>
          <w:rPr>
            <w:rStyle w:val="Hyperlink"/>
            <w:sz w:val="22"/>
            <w:szCs w:val="22"/>
          </w:rPr>
          <w:t>nº 14.133, de 2021</w:t>
        </w:r>
      </w:hyperlink>
      <w:r>
        <w:rPr>
          <w:sz w:val="22"/>
          <w:szCs w:val="22"/>
        </w:rPr>
        <w:t xml:space="preserve">, e demais normas federais aplicáveis e, subsidiariamente, segundo as disposições contidas na </w:t>
      </w:r>
      <w:hyperlink r:id="rId21">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276" w:before="120" w:after="288"/>
        <w:ind w:hanging="0" w:left="0"/>
        <w:rPr>
          <w:sz w:val="22"/>
          <w:szCs w:val="22"/>
        </w:rPr>
      </w:pPr>
      <w:r>
        <w:rPr>
          <w:sz w:val="22"/>
          <w:szCs w:val="22"/>
        </w:rPr>
        <w:t>CLÁUSULA DÉCIMA TERCEIRA – ALTERAÇÕES</w:t>
      </w:r>
    </w:p>
    <w:p>
      <w:pPr>
        <w:pStyle w:val="Nivel2"/>
        <w:tabs>
          <w:tab w:val="clear" w:pos="0"/>
        </w:tabs>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276" w:before="120" w:after="288"/>
        <w:ind w:hanging="0" w:left="0"/>
        <w:rPr>
          <w:sz w:val="22"/>
          <w:szCs w:val="22"/>
        </w:rPr>
      </w:pPr>
      <w:r>
        <w:rPr>
          <w:sz w:val="22"/>
          <w:szCs w:val="22"/>
        </w:rPr>
        <w:t>CLÁUSULA DÉCIMA QUARTA – PUBLICAÇÃO</w:t>
      </w:r>
    </w:p>
    <w:p>
      <w:pPr>
        <w:pStyle w:val="Nivel2"/>
        <w:tabs>
          <w:tab w:val="clear" w:pos="0"/>
        </w:tabs>
        <w:spacing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276"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before="120" w:after="288"/>
        <w:ind w:hanging="0" w:left="0"/>
        <w:rPr>
          <w:rFonts w:eastAsia="Arial"/>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before="120" w:after="288"/>
        <w:ind w:hanging="0" w:left="2836"/>
        <w:rPr>
          <w:bCs/>
          <w:sz w:val="22"/>
          <w:szCs w:val="22"/>
        </w:rPr>
      </w:pPr>
      <w:r>
        <w:rPr>
          <w:rFonts w:eastAsia="Arial"/>
          <w:i/>
          <w:iCs/>
          <w:sz w:val="22"/>
          <w:szCs w:val="22"/>
        </w:rPr>
        <w:t xml:space="preserve">    </w:t>
      </w:r>
      <w:r>
        <w:rPr>
          <w:i/>
          <w:iCs/>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9"/>
        </w:numPr>
        <w:spacing w:lineRule="auto" w:line="276" w:before="120" w:after="288"/>
        <w:rPr>
          <w:rFonts w:ascii="Arial" w:hAnsi="Arial" w:cs="Arial"/>
          <w:i/>
          <w:i/>
          <w:iCs/>
          <w:sz w:val="22"/>
          <w:szCs w:val="22"/>
        </w:rPr>
      </w:pPr>
      <w:r>
        <w:rPr>
          <w:rFonts w:cs="Arial" w:ascii="Arial" w:hAnsi="Arial"/>
          <w:i/>
          <w:iCs/>
          <w:sz w:val="22"/>
          <w:szCs w:val="22"/>
        </w:rPr>
        <w:t xml:space="preserve">2- </w:t>
      </w:r>
    </w:p>
    <w:p>
      <w:pPr>
        <w:pStyle w:val="Heading1"/>
        <w:numPr>
          <w:ilvl w:val="0"/>
          <w:numId w:val="1"/>
        </w:numPr>
        <w:tabs>
          <w:tab w:val="clear" w:pos="709"/>
          <w:tab w:val="left" w:pos="0" w:leader="none"/>
          <w:tab w:val="left" w:pos="1440" w:leader="none"/>
        </w:tabs>
        <w:spacing w:lineRule="auto" w:line="360"/>
        <w:jc w:val="center"/>
        <w:rPr>
          <w:sz w:val="22"/>
          <w:szCs w:val="22"/>
        </w:rPr>
      </w:pPr>
      <w:r>
        <w:rPr>
          <w:bCs w:val="false"/>
          <w:sz w:val="22"/>
          <w:szCs w:val="22"/>
          <w:u w:val="single"/>
        </w:rPr>
        <w:t>TERMO DE RECEBIMENTO DO EDITAL</w:t>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21</w:t>
      </w:r>
      <w:r>
        <w:rPr>
          <w:rFonts w:cs="Arial" w:ascii="Arial" w:hAnsi="Arial"/>
          <w:bCs/>
          <w:sz w:val="22"/>
          <w:szCs w:val="22"/>
        </w:rPr>
        <w:t xml:space="preserve">/2026. Objeto: </w:t>
      </w:r>
      <w:r>
        <w:rPr>
          <w:rFonts w:cs="Arial" w:ascii="Arial" w:hAnsi="Arial"/>
          <w:sz w:val="22"/>
          <w:szCs w:val="22"/>
        </w:rPr>
        <w:t>Contratação de prestação dos serviços de remoção, guarda e depósito de veículos automotores envolvidos em infrações de trânsito, abandonados ou acidentados nas vias públicas do município de Itatiba, pelo período de 24 (vinte e quatro) meses.</w:t>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spacing w:lineRule="auto" w:line="276"/>
        <w:jc w:val="both"/>
        <w:rPr>
          <w:rFonts w:ascii="Arial" w:hAnsi="Arial" w:cs="Arial"/>
          <w:sz w:val="22"/>
          <w:szCs w:val="22"/>
        </w:rPr>
      </w:pPr>
      <w:r>
        <w:rPr>
          <w:rFonts w:cs="Arial" w:ascii="Arial" w:hAnsi="Arial"/>
          <w:b/>
          <w:bCs/>
          <w:sz w:val="22"/>
          <w:szCs w:val="22"/>
        </w:rPr>
        <w:t>Pregão Eletrônico Nº 21/2026,</w:t>
      </w:r>
      <w:r>
        <w:rPr>
          <w:rFonts w:cs="Arial" w:ascii="Arial" w:hAnsi="Arial"/>
          <w:sz w:val="22"/>
          <w:szCs w:val="22"/>
        </w:rPr>
        <w:t xml:space="preserve"> </w:t>
      </w:r>
      <w:r>
        <w:rPr>
          <w:rFonts w:cs="Arial" w:ascii="Arial" w:hAnsi="Arial"/>
          <w:b/>
          <w:bCs/>
          <w:sz w:val="22"/>
          <w:szCs w:val="22"/>
        </w:rPr>
        <w:t>Edital Nº 28/2026</w:t>
      </w:r>
      <w:r>
        <w:rPr>
          <w:rFonts w:cs="Arial" w:ascii="Arial" w:hAnsi="Arial"/>
          <w:sz w:val="22"/>
          <w:szCs w:val="22"/>
        </w:rPr>
        <w:t>, Tipo Menor Preço Global. Objeto: Contratação de prestação dos serviços de remoção, guarda e depósito de veículos automotores envolvidos em infrações de trânsito, abandonados ou acidentados nas vias públicas do município de Itatiba, pelo período de 24 (vinte e quatro) meses. Os cadastros das Propostas serão recebidos até o dia</w:t>
      </w:r>
      <w:r>
        <w:rPr>
          <w:rFonts w:cs="Arial" w:ascii="Arial" w:hAnsi="Arial"/>
          <w:b/>
          <w:sz w:val="22"/>
          <w:szCs w:val="22"/>
        </w:rPr>
        <w:t xml:space="preserve"> </w:t>
      </w:r>
      <w:r>
        <w:rPr>
          <w:rFonts w:cs="Arial" w:ascii="Arial" w:hAnsi="Arial"/>
          <w:b/>
          <w:sz w:val="22"/>
          <w:szCs w:val="22"/>
          <w:u w:val="single"/>
        </w:rPr>
        <w:t>13 de maio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2">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3">
        <w:r>
          <w:rPr>
            <w:rStyle w:val="Hyperlink"/>
            <w:rFonts w:cs="Arial" w:ascii="Arial" w:hAnsi="Arial"/>
            <w:color w:val="000000"/>
            <w:sz w:val="22"/>
            <w:szCs w:val="22"/>
          </w:rPr>
          <w:t>www.itatiba.sp.gov.br</w:t>
        </w:r>
      </w:hyperlink>
      <w:r>
        <w:rPr>
          <w:rFonts w:cs="Arial" w:ascii="Arial" w:hAnsi="Arial"/>
          <w:sz w:val="22"/>
          <w:szCs w:val="22"/>
        </w:rPr>
        <w:t xml:space="preserve"> e </w:t>
      </w:r>
      <w:hyperlink r:id="rId24">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swiss"/>
    <w:pitch w:val="variable"/>
  </w:font>
  <w:font w:name="Verdana">
    <w:charset w:val="00"/>
    <w:family w:val="swiss"/>
    <w:pitch w:val="variable"/>
  </w:font>
  <w:font w:name="Times New">
    <w:charset w:val="00"/>
    <w:family w:val="roman"/>
    <w:pitch w:val="variable"/>
  </w:font>
  <w:font w:name="OpenSymbol">
    <w:altName w:val="Arial Unicode MS"/>
    <w:charset w:val="00"/>
    <w:family w:val="roman"/>
    <w:pitch w:val="variable"/>
  </w:font>
  <w:font w:name="Ecofont_Spranq_eco_Sans">
    <w:charset w:val="00"/>
    <w:family w:val="swiss"/>
    <w:pitch w:val="variable"/>
  </w:font>
  <w:font w:name="Liberation Sans">
    <w:altName w:val="Arial"/>
    <w:charset w:val="00"/>
    <w:family w:val="swiss"/>
    <w:pitch w:val="variable"/>
  </w:font>
  <w:font w:name="Helvetica LT Light">
    <w:charset w:val="00"/>
    <w:family w:val="roman"/>
    <w:pitch w:val="variable"/>
  </w:font>
  <w:font w:name="Calibri">
    <w:charset w:val="00"/>
    <w:family w:val="swiss"/>
    <w:pitch w:val="variable"/>
  </w:font>
  <w:font w:name="Conduit ITC Light">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44</w:t>
    </w:r>
    <w:r>
      <w:rPr/>
      <w:fldChar w:fldCharType="end"/>
    </w:r>
    <w:r>
      <w:rPr/>
      <w:drawing>
        <wp:inline distT="0" distB="0" distL="0" distR="0">
          <wp:extent cx="6029325" cy="85725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rcRect l="-18" t="-127" r="-18" b="-127"/>
                  <a:stretch>
                    <a:fillRect/>
                  </a:stretch>
                </pic:blipFill>
                <pic:spPr bwMode="auto">
                  <a:xfrm>
                    <a:off x="0" y="0"/>
                    <a:ext cx="6029325" cy="857250"/>
                  </a:xfrm>
                  <a:prstGeom prst="rect">
                    <a:avLst/>
                  </a:prstGeom>
                  <a:solidFill>
                    <a:srgbClr val="ffffff"/>
                  </a:solid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44</w:t>
    </w:r>
    <w:r>
      <w:rPr/>
      <w:fldChar w:fldCharType="end"/>
    </w:r>
    <w:r>
      <w:rPr/>
      <w:drawing>
        <wp:inline distT="0" distB="0" distL="0" distR="0">
          <wp:extent cx="6029325" cy="85725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18" t="-127" r="-18" b="-127"/>
                  <a:stretch>
                    <a:fillRect/>
                  </a:stretch>
                </pic:blipFill>
                <pic:spPr bwMode="auto">
                  <a:xfrm>
                    <a:off x="0" y="0"/>
                    <a:ext cx="6029325" cy="857250"/>
                  </a:xfrm>
                  <a:prstGeom prst="rect">
                    <a:avLst/>
                  </a:prstGeom>
                  <a:solidFill>
                    <a:srgbClr val="ffffff"/>
                  </a:solid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7" t="-265" r="-27" b="-265"/>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7" t="-265" r="-27" b="-265"/>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8"/>
      <w:numFmt w:val="decimal"/>
      <w:lvlText w:val="%1"/>
      <w:lvlJc w:val="left"/>
      <w:pPr>
        <w:tabs>
          <w:tab w:val="num" w:pos="0"/>
        </w:tabs>
        <w:ind w:left="600" w:hanging="600"/>
      </w:pPr>
      <w:rPr/>
    </w:lvl>
    <w:lvl w:ilvl="1">
      <w:start w:val="10"/>
      <w:numFmt w:val="decimal"/>
      <w:lvlText w:val="%1.%2"/>
      <w:lvlJc w:val="left"/>
      <w:pPr>
        <w:tabs>
          <w:tab w:val="num" w:pos="0"/>
        </w:tabs>
        <w:ind w:left="780" w:hanging="600"/>
      </w:pPr>
      <w:rPr/>
    </w:lvl>
    <w:lvl w:ilvl="2">
      <w:start w:val="2"/>
      <w:numFmt w:val="decimal"/>
      <w:lvlText w:val="%1.%2.%3"/>
      <w:lvlJc w:val="left"/>
      <w:pPr>
        <w:tabs>
          <w:tab w:val="num" w:pos="0"/>
        </w:tabs>
        <w:ind w:left="1080" w:hanging="720"/>
      </w:pPr>
      <w:rPr/>
    </w:lvl>
    <w:lvl w:ilvl="3">
      <w:start w:val="1"/>
      <w:numFmt w:val="decimal"/>
      <w:lvlText w:val="%1.%2.%3.%4"/>
      <w:lvlJc w:val="left"/>
      <w:pPr>
        <w:tabs>
          <w:tab w:val="num" w:pos="0"/>
        </w:tabs>
        <w:ind w:left="126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98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700" w:hanging="1440"/>
      </w:pPr>
      <w:rPr/>
    </w:lvl>
    <w:lvl w:ilvl="8">
      <w:start w:val="1"/>
      <w:numFmt w:val="decimal"/>
      <w:lvlText w:val="%1.%2.%3.%4.%5.%6.%7.%8.%9"/>
      <w:lvlJc w:val="left"/>
      <w:pPr>
        <w:tabs>
          <w:tab w:val="num" w:pos="0"/>
        </w:tabs>
        <w:ind w:left="3240" w:hanging="1800"/>
      </w:pPr>
      <w:rPr/>
    </w:lvl>
  </w:abstractNum>
  <w:abstractNum w:abstractNumId="8">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9">
    <w:lvl w:ilvl="0">
      <w:start w:val="1"/>
      <w:numFmt w:val="decimal"/>
      <w:lvlText w:val="%1-"/>
      <w:lvlJc w:val="left"/>
      <w:pPr>
        <w:tabs>
          <w:tab w:val="num" w:pos="0"/>
        </w:tabs>
        <w:ind w:left="4770" w:hanging="4410"/>
      </w:pPr>
      <w:rPr>
        <w:rFonts w:eastAsia="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3"/>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b w:val="false"/>
        <w:bCs w:val="false"/>
      </w:rPr>
    </w:lvl>
    <w:lvl w:ilvl="3">
      <w:start w:val="1"/>
      <w:numFmt w:val="decimal"/>
      <w:lvlText w:val="%1.%2.%3.%4"/>
      <w:lvlJc w:val="left"/>
      <w:pPr>
        <w:tabs>
          <w:tab w:val="num" w:pos="0"/>
        </w:tabs>
        <w:ind w:left="720" w:hanging="720"/>
      </w:pPr>
      <w:rPr>
        <w:b w:val="false"/>
        <w:bCs w:val="false"/>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eastAsia="zh-CN" w:val="pt-BR"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2z0" w:customStyle="1">
    <w:name w:val="WW8Num2z0"/>
    <w:qFormat/>
    <w:rPr>
      <w:b/>
    </w:rPr>
  </w:style>
  <w:style w:type="character" w:styleId="WW8Num2z1" w:customStyle="1">
    <w:name w:val="WW8Num2z1"/>
    <w:qFormat/>
    <w:rPr>
      <w:b w:val="false"/>
      <w:i w:val="false"/>
      <w:strike w:val="false"/>
      <w:dstrike w:val="false"/>
      <w:color w:val="000000"/>
      <w:sz w:val="20"/>
      <w:szCs w:val="20"/>
      <w:u w:val="none"/>
    </w:rPr>
  </w:style>
  <w:style w:type="character" w:styleId="WW8Num2z2" w:customStyle="1">
    <w:name w:val="WW8Num2z2"/>
    <w:qFormat/>
    <w:rPr>
      <w:rFonts w:ascii="Arial" w:hAnsi="Arial" w:cs="Arial"/>
      <w:b w:val="false"/>
      <w:i w:val="false"/>
      <w:strike w:val="false"/>
      <w:dstrike w:val="false"/>
      <w:color w:val="000000"/>
      <w:sz w:val="20"/>
      <w:szCs w:val="20"/>
    </w:rPr>
  </w:style>
  <w:style w:type="character" w:styleId="WW8Num4z0" w:customStyle="1">
    <w:name w:val="WW8Num4z0"/>
    <w:qFormat/>
    <w:rPr>
      <w:b/>
    </w:rPr>
  </w:style>
  <w:style w:type="character" w:styleId="WW8Num4z1" w:customStyle="1">
    <w:name w:val="WW8Num4z1"/>
    <w:qFormat/>
    <w:rPr>
      <w:b w:val="false"/>
      <w:i w:val="false"/>
      <w:strike w:val="false"/>
      <w:dstrike w:val="false"/>
      <w:color w:val="000000"/>
      <w:sz w:val="20"/>
      <w:szCs w:val="20"/>
      <w:u w:val="none"/>
    </w:rPr>
  </w:style>
  <w:style w:type="character" w:styleId="WW8Num4z2" w:customStyle="1">
    <w:name w:val="WW8Num4z2"/>
    <w:qFormat/>
    <w:rPr>
      <w:rFonts w:ascii="Arial" w:hAnsi="Arial" w:cs="Arial"/>
      <w:b w:val="false"/>
      <w:i w:val="false"/>
      <w:strike w:val="false"/>
      <w:dstrike w:val="false"/>
      <w:color w:val="000000"/>
      <w:sz w:val="20"/>
      <w:szCs w:val="20"/>
    </w:rPr>
  </w:style>
  <w:style w:type="character" w:styleId="WW8Num6z0" w:customStyle="1">
    <w:name w:val="WW8Num6z0"/>
    <w:qFormat/>
    <w:rPr/>
  </w:style>
  <w:style w:type="character" w:styleId="WW8Num7z0" w:customStyle="1">
    <w:name w:val="WW8Num7z0"/>
    <w:qFormat/>
    <w:rPr>
      <w:rFonts w:ascii="Arial" w:hAnsi="Arial" w:eastAsia="MS Mincho" w:cs="Arial"/>
    </w:rPr>
  </w:style>
  <w:style w:type="character" w:styleId="WW8Num8z1" w:customStyle="1">
    <w:name w:val="WW8Num8z1"/>
    <w:qFormat/>
    <w:rPr>
      <w:b w:val="false"/>
      <w:i w:val="false"/>
    </w:rPr>
  </w:style>
  <w:style w:type="character" w:styleId="WW8Num8z2" w:customStyle="1">
    <w:name w:val="WW8Num8z2"/>
    <w:qFormat/>
    <w:rPr>
      <w:b w:val="false"/>
    </w:rPr>
  </w:style>
  <w:style w:type="character" w:styleId="WW8Num9z0" w:customStyle="1">
    <w:name w:val="WW8Num9z0"/>
    <w:qFormat/>
    <w:rPr>
      <w:sz w:val="22"/>
    </w:rPr>
  </w:style>
  <w:style w:type="character" w:styleId="WW8Num11z0" w:customStyle="1">
    <w:name w:val="WW8Num11z0"/>
    <w:qFormat/>
    <w:rPr>
      <w:color w:val="000000"/>
    </w:rPr>
  </w:style>
  <w:style w:type="character" w:styleId="WW8Num3z0" w:customStyle="1">
    <w:name w:val="WW8Num3z0"/>
    <w:qFormat/>
    <w:rPr>
      <w:b/>
    </w:rPr>
  </w:style>
  <w:style w:type="character" w:styleId="WW8Num3z1" w:customStyle="1">
    <w:name w:val="WW8Num3z1"/>
    <w:qFormat/>
    <w:rPr>
      <w:b w:val="false"/>
      <w:i w:val="false"/>
      <w:strike w:val="false"/>
      <w:dstrike w:val="false"/>
      <w:color w:val="000000"/>
      <w:sz w:val="20"/>
      <w:szCs w:val="20"/>
      <w:u w:val="none"/>
    </w:rPr>
  </w:style>
  <w:style w:type="character" w:styleId="WW8Num3z2" w:customStyle="1">
    <w:name w:val="WW8Num3z2"/>
    <w:qFormat/>
    <w:rPr>
      <w:rFonts w:ascii="Arial" w:hAnsi="Arial" w:cs="Arial"/>
      <w:b w:val="false"/>
      <w:i w:val="false"/>
      <w:strike w:val="false"/>
      <w:dstrike w:val="false"/>
      <w:color w:val="000000"/>
      <w:sz w:val="20"/>
      <w:szCs w:val="20"/>
    </w:rPr>
  </w:style>
  <w:style w:type="character" w:styleId="WW8Num5z0" w:customStyle="1">
    <w:name w:val="WW8Num5z0"/>
    <w:qFormat/>
    <w:rPr/>
  </w:style>
  <w:style w:type="character" w:styleId="WW8Num7z1" w:customStyle="1">
    <w:name w:val="WW8Num7z1"/>
    <w:qFormat/>
    <w:rPr>
      <w:b w:val="false"/>
      <w:i w:val="false"/>
      <w:strike w:val="false"/>
      <w:dstrike w:val="false"/>
      <w:color w:val="000000"/>
      <w:sz w:val="20"/>
      <w:szCs w:val="20"/>
      <w:u w:val="none"/>
    </w:rPr>
  </w:style>
  <w:style w:type="character" w:styleId="WW8Num7z2" w:customStyle="1">
    <w:name w:val="WW8Num7z2"/>
    <w:qFormat/>
    <w:rPr>
      <w:rFonts w:ascii="Arial" w:hAnsi="Arial" w:cs="Arial"/>
      <w:b w:val="false"/>
      <w:i w:val="false"/>
      <w:strike w:val="false"/>
      <w:dstrike w:val="false"/>
      <w:color w:val="000000"/>
      <w:sz w:val="20"/>
      <w:szCs w:val="20"/>
    </w:rPr>
  </w:style>
  <w:style w:type="character" w:styleId="WW8Num10z0" w:customStyle="1">
    <w:name w:val="WW8Num10z0"/>
    <w:qFormat/>
    <w:rPr>
      <w:rFonts w:ascii="Arial" w:hAnsi="Arial" w:eastAsia="MS Mincho" w:cs="Arial"/>
    </w:rPr>
  </w:style>
  <w:style w:type="character" w:styleId="WW8Num11z1" w:customStyle="1">
    <w:name w:val="WW8Num11z1"/>
    <w:qFormat/>
    <w:rPr>
      <w:b w:val="false"/>
      <w:i w:val="false"/>
    </w:rPr>
  </w:style>
  <w:style w:type="character" w:styleId="WW8Num11z2" w:customStyle="1">
    <w:name w:val="WW8Num11z2"/>
    <w:qFormat/>
    <w:rPr>
      <w:b w:val="false"/>
    </w:rPr>
  </w:style>
  <w:style w:type="character" w:styleId="WW8Num12z0" w:customStyle="1">
    <w:name w:val="WW8Num12z0"/>
    <w:qFormat/>
    <w:rPr>
      <w:sz w:val="22"/>
    </w:rPr>
  </w:style>
  <w:style w:type="character" w:styleId="WW8Num14z0" w:customStyle="1">
    <w:name w:val="WW8Num14z0"/>
    <w:qFormat/>
    <w:rPr>
      <w:color w:val="000000"/>
    </w:rPr>
  </w:style>
  <w:style w:type="character" w:styleId="WW8Num15z0" w:customStyle="1">
    <w:name w:val="WW8Num15z0"/>
    <w:qFormat/>
    <w:rPr>
      <w:color w:val="000000"/>
    </w:rPr>
  </w:style>
  <w:style w:type="character" w:styleId="Fontepargpadro134" w:customStyle="1">
    <w:name w:val="Fonte parág. padrão134"/>
    <w:qFormat/>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8z0" w:customStyle="1">
    <w:name w:val="WW8Num8z0"/>
    <w:qFormat/>
    <w:rPr>
      <w:b/>
      <w:i w:val="false"/>
    </w:rPr>
  </w:style>
  <w:style w:type="character" w:styleId="WW8Num13z0" w:customStyle="1">
    <w:name w:val="WW8Num13z0"/>
    <w:qFormat/>
    <w:rPr>
      <w:b/>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16z0" w:customStyle="1">
    <w:name w:val="WW8Num16z0"/>
    <w:qFormat/>
    <w:rPr>
      <w:b/>
      <w:color w:val="000000"/>
    </w:rPr>
  </w:style>
  <w:style w:type="character" w:styleId="WW8Num16z1" w:customStyle="1">
    <w:name w:val="WW8Num16z1"/>
    <w:qFormat/>
    <w:rPr>
      <w:b w:val="false"/>
      <w:i w:val="false"/>
      <w:strike w:val="false"/>
      <w:dstrike w:val="false"/>
      <w:color w:val="000000"/>
      <w:u w:val="none"/>
    </w:rPr>
  </w:style>
  <w:style w:type="character" w:styleId="WW8Num16z2" w:customStyle="1">
    <w:name w:val="WW8Num16z2"/>
    <w:qFormat/>
    <w:rPr>
      <w:b w:val="false"/>
      <w:i w:val="false"/>
      <w:color w:val="FF0000"/>
    </w:rPr>
  </w:style>
  <w:style w:type="character" w:styleId="WW8Num16z3" w:customStyle="1">
    <w:name w:val="WW8Num16z3"/>
    <w:qFormat/>
    <w:rPr/>
  </w:style>
  <w:style w:type="character" w:styleId="WW8Num17z0" w:customStyle="1">
    <w:name w:val="WW8Num17z0"/>
    <w:qFormat/>
    <w:rPr/>
  </w:style>
  <w:style w:type="character" w:styleId="WW8Num18z0" w:customStyle="1">
    <w:name w:val="WW8Num18z0"/>
    <w:qFormat/>
    <w:rPr>
      <w:color w:val="000000"/>
    </w:rPr>
  </w:style>
  <w:style w:type="character" w:styleId="WW8Num19z0" w:customStyle="1">
    <w:name w:val="WW8Num19z0"/>
    <w:qFormat/>
    <w:rPr>
      <w:b/>
      <w:color w:val="000000"/>
    </w:rPr>
  </w:style>
  <w:style w:type="character" w:styleId="WW8Num19z1" w:customStyle="1">
    <w:name w:val="WW8Num19z1"/>
    <w:qFormat/>
    <w:rPr>
      <w:b w:val="false"/>
      <w:i w:val="false"/>
      <w:strike w:val="false"/>
      <w:dstrike w:val="false"/>
      <w:color w:val="000000"/>
      <w:u w:val="none"/>
    </w:rPr>
  </w:style>
  <w:style w:type="character" w:styleId="WW8Num19z2" w:customStyle="1">
    <w:name w:val="WW8Num19z2"/>
    <w:qFormat/>
    <w:rPr>
      <w:b w:val="false"/>
      <w:i w:val="false"/>
      <w:color w:val="FF0000"/>
    </w:rPr>
  </w:style>
  <w:style w:type="character" w:styleId="WW8Num19z3" w:customStyle="1">
    <w:name w:val="WW8Num19z3"/>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style>
  <w:style w:type="character" w:styleId="WW8Num28z0" w:customStyle="1">
    <w:name w:val="WW8Num28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Fontepargpadro133" w:customStyle="1">
    <w:name w:val="Fonte parág. padrão13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Hyperlink">
    <w:name w:val="Hyperlink"/>
    <w:rPr>
      <w:color w:val="0000FF"/>
      <w:u w:val="single"/>
    </w:rPr>
  </w:style>
  <w:style w:type="character" w:styleId="PageNumber">
    <w:name w:val="page number"/>
    <w:basedOn w:val="Fontepargpadro2"/>
    <w:rPr/>
  </w:style>
  <w:style w:type="character" w:styleId="Strong">
    <w:name w:val="Strong"/>
    <w:qFormat/>
    <w:rPr>
      <w:b/>
      <w:bCs/>
    </w:rPr>
  </w:style>
  <w:style w:type="character" w:styleId="Caracteresdenotaderodapuser" w:customStyle="1">
    <w:name w:val="Caracteres de nota de rodapé (user)"/>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 w:hAnsi="Times New" w:cs="Times New"/>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
      <w:color w:val="000000"/>
      <w:sz w:val="16"/>
      <w:szCs w:val="16"/>
    </w:rPr>
  </w:style>
  <w:style w:type="character" w:styleId="timesnewChar" w:customStyle="1">
    <w:name w:val="times new Char"/>
    <w:basedOn w:val="CorpoChar"/>
    <w:qFormat/>
    <w:rPr>
      <w:rFonts w:ascii="Times New" w:hAnsi="Times New" w:cs="Times New"/>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user" w:customStyle="1">
    <w:name w:val="Caracteres de nota de fim (user)"/>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Smbolosdenumeraouser" w:customStyle="1">
    <w:name w:val="Símbolos de numeração (user)"/>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x-none" w:eastAsia="zh-CN"/>
    </w:rPr>
  </w:style>
  <w:style w:type="character" w:styleId="Refdecomentrio4" w:customStyle="1">
    <w:name w:val="Ref. de comentário4"/>
    <w:qFormat/>
    <w:rPr>
      <w:sz w:val="16"/>
      <w:szCs w:val="16"/>
    </w:rPr>
  </w:style>
  <w:style w:type="character" w:styleId="TextodecomentrioChar" w:customStyle="1">
    <w:name w:val="Texto de comentário Char"/>
    <w:qFormat/>
    <w:rPr>
      <w:rFonts w:ascii="Ecofont_Spranq_eco_Sans" w:hAnsi="Ecofont_Spranq_eco_Sans" w:eastAsia="MS Mincho" w:cs="Tahoma"/>
    </w:rPr>
  </w:style>
  <w:style w:type="character" w:styleId="Nivel01Char" w:customStyle="1">
    <w:name w:val="Nivel 01 Char"/>
    <w:qFormat/>
    <w:rPr>
      <w:rFonts w:ascii="Arial" w:hAnsi="Arial" w:eastAsia="MS Gothic" w:cs="Arial"/>
      <w:b/>
      <w:bCs/>
    </w:rPr>
  </w:style>
  <w:style w:type="character" w:styleId="Nivel2Char" w:customStyle="1">
    <w:name w:val="Nivel 2 Char"/>
    <w:qFormat/>
    <w:rPr>
      <w:rFonts w:ascii="Arial" w:hAnsi="Arial" w:eastAsia="MS Mincho"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 w:hAnsi="Ecofont_Spranq_eco_Sans" w:eastAsia="MS Mincho"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 w:cs="Arial"/>
      <w:i/>
      <w:iCs/>
      <w:color w:val="FF0000"/>
    </w:rPr>
  </w:style>
  <w:style w:type="character" w:styleId="Nvel1-SemNumChar" w:customStyle="1">
    <w:name w:val="Nível 1-Sem Num Char"/>
    <w:qFormat/>
    <w:rPr>
      <w:rFonts w:ascii="Arial" w:hAnsi="Arial" w:eastAsia="MS Gothic" w:cs="Arial"/>
      <w:b/>
      <w:bCs/>
      <w:color w:val="FF0000"/>
    </w:rPr>
  </w:style>
  <w:style w:type="character" w:styleId="Nvel1-SemNumPretoChar" w:customStyle="1">
    <w:name w:val="Nível 1-Sem Num Preto Char"/>
    <w:qFormat/>
    <w:rPr>
      <w:rFonts w:ascii="Arial" w:hAnsi="Arial" w:eastAsia="MS Gothic" w:cs="Arial"/>
      <w:b/>
      <w:bCs/>
      <w:lang w:eastAsia="zh-CN" w:bidi="hi-IN"/>
    </w:rPr>
  </w:style>
  <w:style w:type="character" w:styleId="normaltextrun" w:customStyle="1">
    <w:name w:val="normaltextrun"/>
    <w:basedOn w:val="Fontepargpadro133"/>
    <w:qFormat/>
    <w:rPr/>
  </w:style>
  <w:style w:type="character" w:styleId="findhit" w:customStyle="1">
    <w:name w:val="findhit"/>
    <w:basedOn w:val="Fontepargpadro133"/>
    <w:qFormat/>
    <w:rPr/>
  </w:style>
  <w:style w:type="character" w:styleId="Ttulo9Char" w:customStyle="1">
    <w:name w:val="Título 9 Char"/>
    <w:qFormat/>
    <w:rPr>
      <w:rFonts w:ascii="Arial" w:hAnsi="Arial" w:eastAsia="Times New Roman" w:cs="Arial"/>
      <w:b/>
      <w:bCs/>
      <w:kern w:val="2"/>
      <w:sz w:val="24"/>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Arial"/>
    </w:rPr>
  </w:style>
  <w:style w:type="paragraph" w:styleId="Ttulo134" w:customStyle="1">
    <w:name w:val="Título134"/>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Tahoma"/>
      <w:sz w:val="24"/>
      <w:szCs w:val="24"/>
    </w:rPr>
  </w:style>
  <w:style w:type="paragraph" w:styleId="Ttulo133" w:customStyle="1">
    <w:name w:val="Título133"/>
    <w:basedOn w:val="Normal"/>
    <w:next w:val="BodyText"/>
    <w:qFormat/>
    <w:pPr>
      <w:keepNext w:val="true"/>
      <w:spacing w:before="240" w:after="120"/>
    </w:pPr>
    <w:rPr>
      <w:rFonts w:ascii="Liberation Sans" w:hAnsi="Liberation Sans"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 w:hAnsi="Liberation Sans"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 w:hAnsi="Liberation Sans"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 w:hAnsi="Liberation Sans"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 w:hAnsi="Liberation Sans"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 w:hAnsi="Liberation Sans"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 w:hAnsi="Liberation Sans"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 w:hAnsi="Liberation Sans"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 w:hAnsi="Liberation Sans"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 w:hAnsi="Liberation Sans"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 w:hAnsi="Liberation Sans"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 w:hAnsi="Liberation Sans"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 w:hAnsi="Liberation Sans"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 w:hAnsi="Liberation Sans"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 w:hAnsi="Liberation Sans"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 w:hAnsi="Liberation Sans"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 w:hAnsi="Liberation Sans"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 w:hAnsi="Liberation Sans"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 w:hAnsi="Liberation Sans"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 w:hAnsi="Liberation Sans"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 w:hAnsi="Liberation Sans"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 w:hAnsi="Liberation Sans"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 w:hAnsi="Liberation Sans"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 w:hAnsi="Liberation Sans"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 w:hAnsi="Liberation Sans"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 w:hAnsi="Liberation Sans"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 w:hAnsi="Liberation Sans"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 w:hAnsi="Liberation Sans"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 w:hAnsi="Liberation Sans"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 w:hAnsi="Liberation Sans"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 w:hAnsi="Liberation Sans"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 w:hAnsi="Liberation Sans"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 w:hAnsi="Liberation Sans"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 w:hAnsi="Liberation Sans"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 w:hAnsi="Liberation Sans"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 w:hAnsi="Liberation Sans"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 w:hAnsi="Liberation Sans"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 w:hAnsi="Liberation Sans"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 w:hAnsi="Liberation Sans"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 w:hAnsi="Liberation Sans"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 w:hAnsi="Liberation Sans"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 w:hAnsi="Liberation Sans"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 w:hAnsi="Liberation Sans"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 w:hAnsi="Liberation Sans"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 w:hAnsi="Liberation Sans"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 w:hAnsi="Liberation Sans"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 w:hAnsi="Liberation Sans"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 w:hAnsi="Liberation Sans"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 w:hAnsi="Liberation Sans"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 w:hAnsi="Liberation Sans"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 w:hAnsi="Liberation Sans"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 w:hAnsi="Liberation Sans"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 w:hAnsi="Liberation Sans"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 w:hAnsi="Liberation Sans"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 w:hAnsi="Liberation Sans"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 w:hAnsi="Liberation Sans"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 w:hAnsi="Liberation Sans"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 w:hAnsi="Liberation Sans"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 w:hAnsi="Liberation Sans"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 w:hAnsi="Liberation Sans"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 w:hAnsi="Liberation Sans"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 w:hAnsi="Liberation Sans"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 w:hAnsi="Liberation Sans"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 w:hAnsi="Liberation Sans"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 w:hAnsi="Liberation Sans"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 w:hAnsi="Liberation Sans"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 w:hAnsi="Liberation Sans"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 w:hAnsi="Liberation Sans"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 w:hAnsi="Liberation Sans"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 w:hAnsi="Liberation Sans"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 w:hAnsi="Liberation Sans"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 w:hAnsi="Liberation Sans"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 w:hAnsi="Liberation Sans"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 w:hAnsi="Liberation Sans"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 w:hAnsi="Liberation Sans"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 w:hAnsi="Liberation Sans"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 w:hAnsi="Liberation Sans"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 w:hAnsi="Liberation Sans"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 w:hAnsi="Liberation Sans"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 w:hAnsi="Liberation Sans"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 w:hAnsi="Liberation Sans"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 w:hAnsi="Liberation Sans"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 w:hAnsi="Liberation Sans"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 w:hAnsi="Liberation Sans"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 w:hAnsi="Liberation Sans"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 w:hAnsi="Liberation Sans"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 w:hAnsi="Liberation Sans"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 w:hAnsi="Liberation Sans"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 w:hAnsi="Liberation Sans"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 w:hAnsi="Liberation Sans"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 w:hAnsi="Liberation Sans"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 w:hAnsi="Liberation Sans"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 w:hAnsi="Liberation Sans"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 w:hAnsi="Liberation Sans"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 w:hAnsi="Liberation Sans"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 w:hAnsi="Liberation Sans"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 w:hAnsi="Liberation Sans"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 w:hAnsi="Liberation Sans"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 w:hAnsi="Liberation Sans"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 w:hAnsi="Liberation Sans"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 w:hAnsi="Liberation Sans"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 w:hAnsi="Liberation Sans"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 w:hAnsi="Liberation Sans"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 w:hAnsi="Liberation Sans"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 w:hAnsi="Liberation Sans"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 w:hAnsi="Liberation Sans"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 w:hAnsi="Liberation Sans"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 w:hAnsi="Liberation Sans"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 w:hAnsi="Liberation Sans"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 w:hAnsi="Liberation Sans"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 w:hAnsi="Liberation Sans"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 w:hAnsi="Liberation Sans"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 w:hAnsi="Liberation Sans"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 w:hAnsi="Liberation Sans"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 w:hAnsi="Liberation Sans"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lang w:val="x-none"/>
    </w:rPr>
  </w:style>
  <w:style w:type="paragraph" w:styleId="Footer">
    <w:name w:val="footer"/>
    <w:basedOn w:val="Normal"/>
    <w:pPr/>
    <w:rPr/>
  </w:style>
  <w:style w:type="paragraph" w:styleId="BodyTextIndent">
    <w:name w:val="Body Text Indent"/>
    <w:basedOn w:val="Normal"/>
    <w:pPr>
      <w:ind w:firstLine="708"/>
      <w:jc w:val="both"/>
    </w:pPr>
    <w:rPr>
      <w:lang w:val="x-none"/>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overflowPunct w:val="true"/>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overflowPunct w:val="true"/>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 w:hAnsi="Times New" w:cs="Times New" w:eastAsia="Times New Roman"/>
      <w:color w:val="auto"/>
      <w:kern w:val="2"/>
      <w:sz w:val="20"/>
      <w:szCs w:val="20"/>
      <w:lang w:eastAsia="zh-CN" w:val="pt-BR"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ind w:left="708"/>
    </w:pPr>
    <w:rPr>
      <w:sz w:val="24"/>
      <w:szCs w:val="24"/>
    </w:rPr>
  </w:style>
  <w:style w:type="paragraph" w:styleId="Commarcadores21" w:customStyle="1">
    <w:name w:val="Com marcadores 21"/>
    <w:basedOn w:val="Normal"/>
    <w:qFormat/>
    <w:pPr>
      <w:ind w:hanging="283" w:left="566"/>
    </w:pPr>
    <w:rPr>
      <w:rFonts w:ascii="Arial" w:hAnsi="Arial" w:eastAsia="MS Mincho"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 w:hAnsi="Helvetica LT Light" w:eastAsia="Calibri" w:cs="Helvetica LT Light"/>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rPr>
  </w:style>
  <w:style w:type="paragraph" w:styleId="PargrafodaLista1" w:customStyle="1">
    <w:name w:val="Parágrafo da Lista1"/>
    <w:basedOn w:val="Normal"/>
    <w:qFormat/>
    <w:pPr>
      <w:spacing w:lineRule="auto" w:line="276" w:before="0" w:after="200"/>
      <w:ind w:left="720"/>
    </w:pPr>
    <w:rPr>
      <w:rFonts w:ascii="Calibri" w:hAnsi="Calibri" w:eastAsia="Calibri" w:cs="Calibri"/>
      <w:sz w:val="22"/>
      <w:szCs w:val="22"/>
    </w:rPr>
  </w:style>
  <w:style w:type="paragraph" w:styleId="Contedodoquadrouser" w:customStyle="1">
    <w:name w:val="Conteúdo do quadro (user)"/>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eastAsia="zh-CN" w:val="pt-BR" w:bidi="ar-SA"/>
    </w:rPr>
  </w:style>
  <w:style w:type="paragraph" w:styleId="Corpodetexto23" w:customStyle="1">
    <w:name w:val="Corpo de texto 23"/>
    <w:basedOn w:val="Normal"/>
    <w:qFormat/>
    <w:pPr>
      <w:spacing w:lineRule="auto" w:line="480" w:before="0" w:after="120"/>
    </w:pPr>
    <w:rPr>
      <w:lang w:val="x-none"/>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pt-BR" w:bidi="ar-SA"/>
    </w:rPr>
  </w:style>
  <w:style w:type="paragraph" w:styleId="Default" w:customStyle="1">
    <w:name w:val="Default"/>
    <w:qFormat/>
    <w:pPr>
      <w:widowControl/>
      <w:suppressAutoHyphens w:val="true"/>
      <w:bidi w:val="0"/>
      <w:spacing w:before="0" w:after="0"/>
      <w:jc w:val="left"/>
    </w:pPr>
    <w:rPr>
      <w:rFonts w:ascii="Conduit ITC Light" w:hAnsi="Conduit ITC Light" w:cs="Conduit ITC Light" w:eastAsia="Times New Roman"/>
      <w:color w:val="000000"/>
      <w:kern w:val="2"/>
      <w:sz w:val="24"/>
      <w:szCs w:val="24"/>
      <w:lang w:eastAsia="zh-CN" w:val="pt-BR"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overflowPunct w:val="true"/>
      <w:spacing w:lineRule="exact" w:line="20"/>
    </w:pPr>
    <w:rPr/>
  </w:style>
  <w:style w:type="paragraph" w:styleId="Corpodetexto33" w:customStyle="1">
    <w:name w:val="Corpo de texto 33"/>
    <w:basedOn w:val="Normal"/>
    <w:qFormat/>
    <w:pPr>
      <w:spacing w:lineRule="atLeast" w:line="240"/>
      <w:jc w:val="both"/>
    </w:pPr>
    <w:rPr/>
  </w:style>
  <w:style w:type="paragraph" w:styleId="Corpodetexto25" w:customStyle="1">
    <w:name w:val="Corpo de texto 25"/>
    <w:basedOn w:val="Normal"/>
    <w:qFormat/>
    <w:pPr>
      <w:spacing w:lineRule="auto" w:line="480" w:before="0" w:after="120"/>
    </w:pPr>
    <w:rPr>
      <w:lang w:val="x-none"/>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 w:hAnsi="Liberation Serif" w:eastAsia="SimSun" w:cs="Mangal"/>
      <w:color w:val="00000A"/>
      <w:kern w:val="2"/>
      <w:sz w:val="24"/>
      <w:szCs w:val="24"/>
      <w:lang w:eastAsia="zh-CN" w:bidi="hi-IN" w:val="pt-BR"/>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Corpodetexto27" w:customStyle="1">
    <w:name w:val="Corpo de texto 27"/>
    <w:basedOn w:val="Normal"/>
    <w:qFormat/>
    <w:pPr>
      <w:overflowPunct w:val="true"/>
      <w:jc w:val="center"/>
    </w:pPr>
    <w:rPr>
      <w:b/>
    </w:rPr>
  </w:style>
  <w:style w:type="paragraph" w:styleId="SemEspaamento1" w:customStyle="1">
    <w:name w:val="Sem Espaçamento1"/>
    <w:qFormat/>
    <w:pPr>
      <w:widowControl/>
      <w:suppressAutoHyphens w:val="true"/>
      <w:bidi w:val="0"/>
      <w:spacing w:before="0" w:after="0"/>
      <w:jc w:val="left"/>
    </w:pPr>
    <w:rPr>
      <w:rFonts w:eastAsia="SimSun" w:ascii="Times New Roman" w:hAnsi="Times New Roman" w:cs="Times New Roman"/>
      <w:color w:val="auto"/>
      <w:kern w:val="2"/>
      <w:sz w:val="24"/>
      <w:szCs w:val="21"/>
      <w:lang w:eastAsia="zh-CN" w:bidi="hi-IN" w:val="pt-BR"/>
    </w:rPr>
  </w:style>
  <w:style w:type="paragraph" w:styleId="Textbodyindent" w:customStyle="1">
    <w:name w:val="Text body indent"/>
    <w:basedOn w:val="Normal"/>
    <w:qFormat/>
    <w:pPr>
      <w:spacing w:before="0" w:after="120"/>
      <w:ind w:left="283"/>
      <w:textAlignment w:val="baseline"/>
    </w:pPr>
    <w:rPr>
      <w:rFonts w:ascii="Arial" w:hAnsi="Arial" w:cs="Arial"/>
      <w:sz w:val="24"/>
      <w:szCs w:val="24"/>
    </w:rPr>
  </w:style>
  <w:style w:type="paragraph" w:styleId="Textodecomentrio1" w:customStyle="1">
    <w:name w:val="Texto de comentário1"/>
    <w:basedOn w:val="Normal"/>
    <w:qFormat/>
    <w:pPr>
      <w:suppressAutoHyphens w:val="false"/>
    </w:pPr>
    <w:rPr>
      <w:rFonts w:ascii="Ecofont_Spranq_eco_Sans" w:hAnsi="Ecofont_Spranq_eco_Sans" w:eastAsia="MS Mincho" w:cs="Tahoma"/>
      <w:kern w:val="0"/>
    </w:rPr>
  </w:style>
  <w:style w:type="paragraph" w:styleId="Nivel01" w:customStyle="1">
    <w:name w:val="Nivel 01"/>
    <w:basedOn w:val="Heading1"/>
    <w:next w:val="Normal"/>
    <w:qFormat/>
    <w:pPr>
      <w:keepLines/>
      <w:numPr>
        <w:ilvl w:val="0"/>
        <w:numId w:val="2"/>
      </w:numPr>
      <w:tabs>
        <w:tab w:val="clear" w:pos="709"/>
        <w:tab w:val="left" w:pos="567" w:leader="none"/>
      </w:tabs>
      <w:suppressAutoHyphens w:val="false"/>
      <w:spacing w:before="240" w:after="0"/>
      <w:jc w:val="both"/>
      <w:outlineLvl w:val="9"/>
    </w:pPr>
    <w:rPr>
      <w:rFonts w:eastAsia="MS Gothic"/>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2628"/>
      <w:jc w:val="both"/>
    </w:pPr>
    <w:rPr>
      <w:rFonts w:ascii="Arial" w:hAnsi="Arial" w:eastAsia="MS Mincho"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2628"/>
      <w:jc w:val="both"/>
    </w:pPr>
    <w:rPr>
      <w:rFonts w:ascii="Arial" w:hAnsi="Arial" w:eastAsia="MS Mincho"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overflowPunct w:val="true"/>
      <w:spacing w:before="120" w:after="0"/>
      <w:ind w:left="0" w:right="0"/>
      <w:jc w:val="both"/>
    </w:pPr>
    <w:rPr>
      <w:rFonts w:ascii="Arial" w:hAnsi="Arial" w:eastAsia="Calibri" w:cs="Tahoma"/>
      <w:color w:val="000000"/>
      <w:kern w:val="0"/>
    </w:rPr>
  </w:style>
  <w:style w:type="paragraph" w:styleId="annotationsubject">
    <w:name w:val="annotation subject"/>
    <w:basedOn w:val="Textodecomentrio1"/>
    <w:next w:val="Textodecomentrio1"/>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eastAsia="Calibri"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ind w:hanging="864" w:left="864"/>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Nvel1-SemNumPreto" w:customStyle="1">
    <w:name w:val="Nível 1-Sem Num Preto"/>
    <w:basedOn w:val="Normal"/>
    <w:qFormat/>
    <w:pPr>
      <w:keepNext w:val="true"/>
      <w:keepLines/>
      <w:tabs>
        <w:tab w:val="clear" w:pos="709"/>
        <w:tab w:val="left" w:pos="567" w:leader="none"/>
      </w:tabs>
      <w:suppressAutoHyphens w:val="false"/>
      <w:spacing w:lineRule="auto" w:line="276" w:before="240" w:after="120"/>
      <w:jc w:val="both"/>
      <w:outlineLvl w:val="1"/>
    </w:pPr>
    <w:rPr>
      <w:rFonts w:ascii="Arial" w:hAnsi="Arial" w:eastAsia="MS Gothic" w:cs="Arial"/>
      <w:b/>
      <w:bCs/>
      <w:kern w:val="0"/>
      <w:lang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oleObject" Target="embeddings/oleObject1.xls"/><Relationship Id="rId18" Type="http://schemas.openxmlformats.org/officeDocument/2006/relationships/image" Target="media/image1.wmf"/><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8078compilado.htm" TargetMode="External"/><Relationship Id="rId22" Type="http://schemas.openxmlformats.org/officeDocument/2006/relationships/hyperlink" Target="http://www.bbmnetlicitacoes.com.br/" TargetMode="External"/><Relationship Id="rId23" Type="http://schemas.openxmlformats.org/officeDocument/2006/relationships/hyperlink" Target="http://www.itatiba.sp.gov.br/" TargetMode="External"/><Relationship Id="rId24" Type="http://schemas.openxmlformats.org/officeDocument/2006/relationships/hyperlink" Target="http://www.bbmnetlicitacoes.com.br/"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FCC05-4304-4BC2-AF7C-3324F8C6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Application>LibreOffice/25.2.7.2$Windows_X86_64 LibreOffice_project/5cbfd1ab6520636bb5f7b99185aa69bd7456825d</Application>
  <AppVersion>15.0000</AppVersion>
  <Pages>44</Pages>
  <Words>12202</Words>
  <Characters>70062</Characters>
  <CharactersWithSpaces>81668</CharactersWithSpaces>
  <Paragraphs>659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2026-03-09T10:22:00Z</dcterms:created>
  <dc:creator>eportella</dc:creator>
  <dc:description/>
  <dc:language>pt-BR</dc:language>
  <cp:lastModifiedBy/>
  <cp:lastPrinted>2026-03-11T15:06:00Z</cp:lastPrinted>
  <dcterms:modified xsi:type="dcterms:W3CDTF">2026-04-27T10:04:44Z</dcterms:modified>
  <cp:revision>12</cp:revision>
  <dc:subject/>
  <dc:title> </dc:title>
</cp:coreProperties>
</file>

<file path=docProps/custom.xml><?xml version="1.0" encoding="utf-8"?>
<Properties xmlns="http://schemas.openxmlformats.org/officeDocument/2006/custom-properties" xmlns:vt="http://schemas.openxmlformats.org/officeDocument/2006/docPropsVTypes"/>
</file>