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8.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9.png" ContentType="image/png"/>
  <Override PartName="/word/media/image10.png" ContentType="image/png"/>
  <Override PartName="/word/header2.xml" ContentType="application/vnd.openxmlformats-officedocument.wordprocessingml.header+xml"/>
  <Override PartName="/word/embeddings/oleObject1.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8.719/2025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93</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Contratação de empresa para prestação de serviço de locação de equipamentos, sistemas e serviços relacionados a operação de estacionamento público rotativo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R$ 6.273.560,67 (seis milhões duzentos e setenta e três mil quinhentos e sessenta reais e sessenta e sete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07 de janeiro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07/01/2026</w:t>
      </w:r>
      <w:r>
        <w:rPr>
          <w:rFonts w:cs="Arial" w:ascii="Arial" w:hAnsi="Arial"/>
          <w:sz w:val="22"/>
          <w:szCs w:val="22"/>
        </w:rPr>
        <w:tab/>
        <w:tab/>
      </w:r>
      <w:r>
        <w:rPr>
          <w:rFonts w:cs="Arial" w:ascii="Arial" w:hAnsi="Arial"/>
          <w:sz w:val="22"/>
          <w:szCs w:val="22"/>
        </w:rPr>
        <w:t>08</w:t>
      </w:r>
      <w:r>
        <w:rPr>
          <w:rFonts w:cs="Arial" w:ascii="Arial" w:hAnsi="Arial"/>
          <w:sz w:val="22"/>
          <w:szCs w:val="22"/>
        </w:rPr>
        <w:t>h50min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Abertura das Propostas:</w:t>
        <w:tab/>
        <w:tab/>
        <w:tab/>
      </w:r>
      <w:r>
        <w:rPr>
          <w:rFonts w:cs="Arial" w:ascii="Arial" w:hAnsi="Arial"/>
          <w:b w:val="false"/>
          <w:bCs w:val="false"/>
          <w:sz w:val="22"/>
          <w:szCs w:val="22"/>
        </w:rPr>
        <w:t>07/01/2026</w:t>
      </w:r>
      <w:r>
        <w:rPr>
          <w:rFonts w:cs="Arial" w:ascii="Arial" w:hAnsi="Arial"/>
          <w:sz w:val="22"/>
          <w:szCs w:val="22"/>
        </w:rPr>
        <w:tab/>
        <w:tab/>
      </w:r>
      <w:r>
        <w:rPr>
          <w:rFonts w:cs="Arial" w:ascii="Arial" w:hAnsi="Arial"/>
          <w:sz w:val="22"/>
          <w:szCs w:val="22"/>
        </w:rPr>
        <w:t>09</w:t>
      </w:r>
      <w:r>
        <w:rPr>
          <w:rFonts w:cs="Arial" w:ascii="Arial" w:hAnsi="Arial"/>
          <w:sz w:val="22"/>
          <w:szCs w:val="22"/>
        </w:rPr>
        <w:t xml:space="preserve">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sz w:val="22"/>
          <w:szCs w:val="22"/>
        </w:rPr>
        <w:t>Início do Pregão (fase competitiva)</w:t>
        <w:tab/>
      </w:r>
      <w:r>
        <w:rPr>
          <w:rFonts w:cs="Arial" w:ascii="Arial" w:hAnsi="Arial"/>
          <w:b w:val="false"/>
          <w:bCs w:val="false"/>
          <w:sz w:val="22"/>
          <w:szCs w:val="22"/>
        </w:rPr>
        <w:t>07/01/2026</w:t>
      </w:r>
      <w:r>
        <w:rPr>
          <w:rFonts w:cs="Arial" w:ascii="Arial" w:hAnsi="Arial"/>
          <w:sz w:val="22"/>
          <w:szCs w:val="22"/>
        </w:rPr>
        <w:tab/>
        <w:tab/>
      </w:r>
      <w:r>
        <w:rPr>
          <w:rFonts w:cs="Arial" w:ascii="Arial" w:hAnsi="Arial"/>
          <w:sz w:val="22"/>
          <w:szCs w:val="22"/>
        </w:rPr>
        <w:t>09</w:t>
      </w:r>
      <w:r>
        <w:rPr>
          <w:rFonts w:cs="Arial" w:ascii="Arial" w:hAnsi="Arial"/>
          <w:sz w:val="22"/>
          <w:szCs w:val="22"/>
        </w:rPr>
        <w:t>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bookmarkStart w:id="0" w:name="_Hlk40864298"/>
      <w:r>
        <w:rPr>
          <w:rFonts w:cs="Arial" w:ascii="Arial" w:hAnsi="Arial"/>
          <w:b/>
          <w:bCs/>
          <w:sz w:val="22"/>
          <w:szCs w:val="22"/>
        </w:rPr>
        <w:t xml:space="preserve">SECRETARIA DE </w:t>
      </w:r>
      <w:bookmarkEnd w:id="0"/>
      <w:r>
        <w:rPr>
          <w:rFonts w:cs="Arial" w:ascii="Arial" w:hAnsi="Arial"/>
          <w:b/>
          <w:bCs/>
          <w:sz w:val="22"/>
          <w:szCs w:val="22"/>
        </w:rPr>
        <w:t>OBRAS E SERVIÇOS PÚBLICOS</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8.719/2025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93</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117</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OBRAS E SERVIÇOS PÚBLICOS,</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e Decreto 7.999/2024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numPr>
          <w:ilvl w:val="0"/>
          <w:numId w:val="3"/>
        </w:numPr>
        <w:spacing w:lineRule="auto" w:line="360" w:before="0" w:after="0"/>
        <w:ind w:hanging="0" w:left="0"/>
        <w:rPr>
          <w:color w:val="auto"/>
          <w:sz w:val="22"/>
          <w:szCs w:val="22"/>
        </w:rPr>
      </w:pPr>
      <w:r>
        <w:rPr>
          <w:color w:val="auto"/>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1.1 – A presente licitação tem por objeto a contratação de empresa para prestação de serviço de locação de equipamentos, sistemas e serviços relacionados a operação de estacionamento público rotativo,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Administração/Trânsito.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 PARTICIPAÇÃO NA LICITAÇÃO</w:t>
      </w:r>
    </w:p>
    <w:p>
      <w:pPr>
        <w:pStyle w:val="Nivel2"/>
        <w:numPr>
          <w:ilvl w:val="1"/>
          <w:numId w:val="3"/>
        </w:numPr>
        <w:spacing w:lineRule="auto" w:line="360" w:before="0" w:after="0"/>
        <w:ind w:hanging="0" w:left="0"/>
        <w:rPr>
          <w:b/>
          <w:bCs/>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3"/>
        </w:numPr>
        <w:spacing w:lineRule="auto" w:line="360" w:before="0" w:after="0"/>
        <w:ind w:hanging="0" w:left="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3"/>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3"/>
        </w:numPr>
        <w:spacing w:lineRule="auto" w:line="360" w:before="0" w:after="0"/>
        <w:ind w:hanging="0" w:left="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lineRule="auto" w:line="360" w:before="0" w:after="0"/>
        <w:ind w:hanging="0" w:left="0"/>
        <w:rPr>
          <w:color w:val="auto"/>
          <w:sz w:val="22"/>
          <w:szCs w:val="22"/>
        </w:rPr>
      </w:pPr>
      <w:bookmarkStart w:id="1" w:name="_Ref117000692"/>
      <w:r>
        <w:rPr>
          <w:rFonts w:eastAsia="Times New Roman"/>
          <w:color w:val="auto"/>
          <w:sz w:val="22"/>
          <w:szCs w:val="22"/>
        </w:rPr>
        <w:t>Não poderão disputar desta licitação:</w:t>
      </w:r>
      <w:bookmarkEnd w:id="1"/>
    </w:p>
    <w:p>
      <w:pPr>
        <w:pStyle w:val="Normal"/>
        <w:numPr>
          <w:ilvl w:val="2"/>
          <w:numId w:val="3"/>
        </w:numPr>
        <w:tabs>
          <w:tab w:val="clear" w:pos="708"/>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3"/>
        </w:numPr>
        <w:spacing w:lineRule="auto" w:line="360" w:before="0" w:after="0"/>
        <w:ind w:hanging="0" w:left="567"/>
        <w:rPr>
          <w:color w:val="auto"/>
          <w:sz w:val="22"/>
          <w:szCs w:val="22"/>
        </w:rPr>
      </w:pPr>
      <w:bookmarkStart w:id="2" w:name="_Ref113883003"/>
      <w:bookmarkStart w:id="3" w:name="_Ref113883338"/>
      <w:bookmarkEnd w:id="3"/>
      <w:r>
        <w:rPr>
          <w:color w:val="auto"/>
          <w:sz w:val="22"/>
          <w:szCs w:val="22"/>
        </w:rPr>
        <w:t>pessoa jurídica que se encontre, ao tempo da licitação, impossibilitada de participar da licitação em decorrência de sanção que lhe foi imposta;</w:t>
      </w:r>
      <w:bookmarkEnd w:id="2"/>
    </w:p>
    <w:p>
      <w:pPr>
        <w:pStyle w:val="Nivel3"/>
        <w:numPr>
          <w:ilvl w:val="2"/>
          <w:numId w:val="3"/>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spacing w:lineRule="auto" w:line="360" w:before="0" w:after="0"/>
        <w:ind w:hanging="0" w:left="567"/>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pPr>
        <w:pStyle w:val="Nivel3"/>
        <w:numPr>
          <w:ilvl w:val="2"/>
          <w:numId w:val="3"/>
        </w:numPr>
        <w:spacing w:lineRule="auto" w:line="360" w:before="0" w:after="0"/>
        <w:ind w:hanging="0" w:left="567"/>
        <w:rPr>
          <w:color w:val="auto"/>
          <w:sz w:val="22"/>
          <w:szCs w:val="22"/>
        </w:rPr>
      </w:pPr>
      <w:r>
        <w:rPr>
          <w:color w:val="auto"/>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spacing w:lineRule="auto" w:line="360" w:before="0" w:after="0"/>
        <w:ind w:hanging="0" w:left="567"/>
        <w:rPr>
          <w:color w:val="auto"/>
          <w:sz w:val="22"/>
          <w:szCs w:val="22"/>
        </w:rPr>
      </w:pPr>
      <w:bookmarkStart w:id="5" w:name="_Ref113962336"/>
      <w:r>
        <w:rPr>
          <w:color w:val="auto"/>
          <w:sz w:val="22"/>
          <w:szCs w:val="22"/>
        </w:rPr>
        <w:t>agente público do órgão ou entidade licitante;</w:t>
      </w:r>
      <w:bookmarkEnd w:id="5"/>
    </w:p>
    <w:p>
      <w:pPr>
        <w:pStyle w:val="Normal"/>
        <w:numPr>
          <w:ilvl w:val="2"/>
          <w:numId w:val="3"/>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O impedimento de que trata o item 2.6.5 será também aplicado ao licitante que atue em substituição a outra pessoa,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6" w:name="art14§2"/>
      <w:bookmarkStart w:id="7" w:name="art14§2"/>
      <w:bookmarkEnd w:id="7"/>
    </w:p>
    <w:p>
      <w:pPr>
        <w:pStyle w:val="Nivel01"/>
        <w:numPr>
          <w:ilvl w:val="0"/>
          <w:numId w:val="3"/>
        </w:numPr>
        <w:spacing w:lineRule="auto" w:line="360" w:before="0" w:after="0"/>
        <w:ind w:hanging="0" w:left="0"/>
        <w:rPr>
          <w:color w:val="auto"/>
          <w:sz w:val="22"/>
          <w:szCs w:val="22"/>
        </w:rPr>
      </w:pPr>
      <w:r>
        <w:rPr>
          <w:color w:val="auto"/>
          <w:sz w:val="22"/>
          <w:szCs w:val="22"/>
        </w:rPr>
        <w:t>DA APRESENTAÇÃO DA PROPOSTA E DOS DOCUMENTOS DE HABILITAÇÃO</w:t>
      </w:r>
    </w:p>
    <w:p>
      <w:pPr>
        <w:pStyle w:val="Nivel2"/>
        <w:numPr>
          <w:ilvl w:val="1"/>
          <w:numId w:val="3"/>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3"/>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3"/>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3"/>
        </w:numPr>
        <w:spacing w:lineRule="auto" w:line="360" w:before="0" w:after="0"/>
        <w:ind w:hanging="0" w:left="0"/>
        <w:rPr>
          <w:rFonts w:eastAsia="Times New Roman"/>
          <w:color w:val="auto"/>
          <w:sz w:val="22"/>
          <w:szCs w:val="22"/>
        </w:rPr>
      </w:pPr>
      <w:bookmarkStart w:id="8"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3"/>
        </w:numPr>
        <w:spacing w:lineRule="auto" w:line="360" w:before="0" w:after="0"/>
        <w:ind w:hanging="0" w:left="0"/>
        <w:rPr>
          <w:color w:val="auto"/>
          <w:sz w:val="22"/>
          <w:szCs w:val="22"/>
        </w:rPr>
      </w:pPr>
      <w:bookmarkStart w:id="9" w:name="_Ref113968921"/>
      <w:r>
        <w:rPr>
          <w:rFonts w:eastAsia="Times New Roman"/>
          <w:color w:val="auto"/>
          <w:sz w:val="22"/>
          <w:szCs w:val="22"/>
        </w:rPr>
        <w:t>No cadastramento da proposta inicial, o licitante declarará, em campo próprio do sistema, que:</w:t>
      </w:r>
      <w:bookmarkEnd w:id="9"/>
    </w:p>
    <w:p>
      <w:pPr>
        <w:pStyle w:val="Nivel3"/>
        <w:numPr>
          <w:ilvl w:val="2"/>
          <w:numId w:val="3"/>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3"/>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3"/>
        </w:numPr>
        <w:spacing w:lineRule="auto" w:line="360" w:before="0" w:after="0"/>
        <w:ind w:hanging="0" w:left="567"/>
        <w:rPr>
          <w:color w:val="auto"/>
          <w:sz w:val="22"/>
          <w:szCs w:val="22"/>
        </w:rPr>
      </w:pPr>
      <w:bookmarkStart w:id="10" w:name="_Hlk159222170"/>
      <w:r>
        <w:rPr>
          <w:color w:val="auto"/>
          <w:sz w:val="22"/>
          <w:szCs w:val="22"/>
        </w:rPr>
        <w:t>Cumpre as exigências de reserva de cargos para pessoa com deficiência e para reabilitado da Previdência Social, previstas em lei e em outras normas específicas.</w:t>
      </w:r>
      <w:bookmarkEnd w:id="10"/>
    </w:p>
    <w:p>
      <w:pPr>
        <w:pStyle w:val="Nivel2"/>
        <w:numPr>
          <w:ilvl w:val="1"/>
          <w:numId w:val="3"/>
        </w:numPr>
        <w:spacing w:lineRule="auto" w:line="360" w:before="0" w:after="0"/>
        <w:ind w:hanging="0" w:left="0"/>
        <w:rPr>
          <w:color w:val="auto"/>
          <w:sz w:val="22"/>
          <w:szCs w:val="22"/>
        </w:rPr>
      </w:pPr>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3"/>
        </w:numPr>
        <w:spacing w:lineRule="auto" w:line="360" w:before="0" w:after="0"/>
        <w:ind w:hanging="0" w:left="0"/>
        <w:rPr>
          <w:color w:val="auto"/>
          <w:sz w:val="22"/>
          <w:szCs w:val="22"/>
        </w:rPr>
      </w:pPr>
      <w:bookmarkStart w:id="11"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1"/>
      <w:r>
        <w:rPr>
          <w:color w:val="auto"/>
          <w:sz w:val="22"/>
          <w:szCs w:val="22"/>
        </w:rPr>
        <w:t xml:space="preserve"> </w:t>
      </w:r>
    </w:p>
    <w:p>
      <w:pPr>
        <w:pStyle w:val="Nivel2"/>
        <w:numPr>
          <w:ilvl w:val="1"/>
          <w:numId w:val="3"/>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3"/>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3"/>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3"/>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lineRule="auto" w:line="360" w:before="0" w:after="0"/>
        <w:ind w:hanging="0" w:left="0"/>
        <w:rPr>
          <w:color w:val="auto"/>
          <w:sz w:val="22"/>
          <w:szCs w:val="22"/>
        </w:rPr>
      </w:pPr>
      <w:bookmarkStart w:id="12"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2"/>
      <w:r>
        <w:rPr>
          <w:color w:val="auto"/>
          <w:sz w:val="22"/>
          <w:szCs w:val="22"/>
        </w:rPr>
        <w:t xml:space="preserve"> </w:t>
      </w:r>
    </w:p>
    <w:p>
      <w:pPr>
        <w:pStyle w:val="Nivel2"/>
        <w:numPr>
          <w:ilvl w:val="1"/>
          <w:numId w:val="3"/>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3"/>
        </w:numPr>
        <w:spacing w:lineRule="auto" w:line="360" w:before="0" w:after="0"/>
        <w:ind w:hanging="0" w:left="567"/>
        <w:rPr>
          <w:rFonts w:eastAsia="Arial"/>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3"/>
        </w:numPr>
        <w:spacing w:lineRule="auto" w:line="360" w:before="0" w:after="0"/>
        <w:ind w:hanging="0" w:left="567"/>
        <w:rPr>
          <w:rFonts w:eastAsia="Times New Roman"/>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3"/>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3"/>
        </w:numPr>
        <w:spacing w:lineRule="auto" w:line="360" w:before="0" w:after="0"/>
        <w:ind w:hanging="0" w:left="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3"/>
        </w:numPr>
        <w:spacing w:lineRule="auto" w:line="360" w:before="0" w:after="0"/>
        <w:ind w:hanging="0" w:left="0"/>
        <w:rPr>
          <w:rFonts w:eastAsia="Times New Roman"/>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DO PREENCHIMENTO DA PROPOSTA</w:t>
      </w:r>
    </w:p>
    <w:p>
      <w:pPr>
        <w:pStyle w:val="Nivel2"/>
        <w:numPr>
          <w:ilvl w:val="1"/>
          <w:numId w:val="3"/>
        </w:numPr>
        <w:spacing w:lineRule="auto" w:line="360" w:before="0" w:after="0"/>
        <w:ind w:hanging="0" w:left="0"/>
        <w:rPr>
          <w:color w:val="auto"/>
          <w:sz w:val="22"/>
          <w:szCs w:val="22"/>
        </w:rPr>
      </w:pPr>
      <w:r>
        <w:rPr>
          <w:color w:val="auto"/>
          <w:sz w:val="22"/>
          <w:szCs w:val="22"/>
        </w:rPr>
        <w:t>O licitante deverá enviar sua proposta mediante o preenchimento, no sistema eletrônico, do campo: VALOR GLOBAL DO LOTE.</w:t>
      </w:r>
    </w:p>
    <w:p>
      <w:pPr>
        <w:pStyle w:val="Nivel2"/>
        <w:numPr>
          <w:ilvl w:val="1"/>
          <w:numId w:val="3"/>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3"/>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3"/>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lineRule="auto" w:line="360" w:before="0" w:after="0"/>
        <w:ind w:hanging="0" w:left="0"/>
        <w:rPr>
          <w:color w:val="auto"/>
          <w:sz w:val="22"/>
          <w:szCs w:val="22"/>
        </w:rPr>
      </w:pPr>
      <w:r>
        <w:rPr>
          <w:color w:val="auto"/>
          <w:sz w:val="22"/>
          <w:szCs w:val="22"/>
        </w:rPr>
        <w:t xml:space="preserve">O prazo de validade da proposta não será inferior a </w:t>
      </w:r>
      <w:r>
        <w:rPr>
          <w:b/>
          <w:bCs/>
          <w:color w:val="auto"/>
          <w:sz w:val="22"/>
          <w:szCs w:val="22"/>
        </w:rPr>
        <w:t>90 (noventa)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rFonts w:eastAsia="MS Mincho"/>
          <w:color w:val="auto"/>
          <w:sz w:val="22"/>
          <w:szCs w:val="22"/>
          <w:lang w:eastAsia="pt-BR"/>
        </w:rPr>
      </w:pPr>
      <w:r>
        <w:rPr>
          <w:color w:val="auto"/>
          <w:sz w:val="22"/>
          <w:szCs w:val="22"/>
        </w:rPr>
        <w:t>EXIGÊNCIAS DE HABILITAÇÃO</w:t>
      </w:r>
    </w:p>
    <w:p>
      <w:pPr>
        <w:pStyle w:val="Normal"/>
        <w:spacing w:lineRule="auto" w:line="360"/>
        <w:jc w:val="both"/>
        <w:rPr>
          <w:rFonts w:ascii="Arial" w:hAnsi="Arial" w:eastAsia="MS Mincho" w:cs="Arial"/>
          <w:b/>
          <w:bCs/>
          <w:kern w:val="0"/>
          <w:sz w:val="22"/>
          <w:szCs w:val="22"/>
          <w:lang w:eastAsia="pt-BR"/>
        </w:rPr>
      </w:pPr>
      <w:r>
        <w:rPr>
          <w:rFonts w:eastAsia="MS Mincho" w:cs="Arial" w:ascii="Arial" w:hAnsi="Arial"/>
          <w:b/>
          <w:bCs/>
          <w:kern w:val="0"/>
          <w:sz w:val="22"/>
          <w:szCs w:val="22"/>
          <w:lang w:eastAsia="pt-BR"/>
        </w:rPr>
        <w:t>5.1 - HABILITAÇÃO JURÍDICA</w:t>
      </w:r>
    </w:p>
    <w:p>
      <w:pPr>
        <w:pStyle w:val="Normal"/>
        <w:tabs>
          <w:tab w:val="clear" w:pos="708"/>
          <w:tab w:val="left" w:pos="426" w:leader="none"/>
          <w:tab w:val="left" w:pos="851" w:leader="none"/>
        </w:tabs>
        <w:spacing w:lineRule="auto" w:line="360" w:before="120" w:after="120"/>
        <w:jc w:val="both"/>
        <w:rPr>
          <w:rFonts w:ascii="Arial" w:hAnsi="Arial" w:eastAsia="MS Gothic" w:cs="Arial"/>
          <w:kern w:val="0"/>
          <w:sz w:val="22"/>
          <w:szCs w:val="22"/>
          <w:u w:val="single"/>
          <w:lang w:eastAsia="pt-BR"/>
        </w:rPr>
      </w:pPr>
      <w:bookmarkStart w:id="13" w:name="_Ref164957386"/>
      <w:r>
        <w:rPr>
          <w:rFonts w:eastAsia="MS Gothic" w:cs="Arial" w:ascii="Arial" w:hAnsi="Arial"/>
          <w:kern w:val="0"/>
          <w:sz w:val="22"/>
          <w:szCs w:val="22"/>
          <w:lang w:eastAsia="pt-BR"/>
        </w:rPr>
        <w:t>5.1.1. - Cada licitante – isto é, todas as licitantes individuais e cada uma das consorciadas, no caso de participação em consórcio – deverá comprovar os seguintes requisitos:</w:t>
      </w:r>
      <w:bookmarkEnd w:id="13"/>
    </w:p>
    <w:p>
      <w:pPr>
        <w:pStyle w:val="Normal"/>
        <w:numPr>
          <w:ilvl w:val="0"/>
          <w:numId w:val="2"/>
        </w:numPr>
        <w:spacing w:lineRule="auto" w:line="360"/>
        <w:ind w:hanging="11" w:left="0"/>
        <w:jc w:val="both"/>
        <w:rPr>
          <w:rFonts w:ascii="Arial" w:hAnsi="Arial" w:cs="Arial"/>
          <w:sz w:val="22"/>
          <w:szCs w:val="22"/>
          <w:u w:val="single"/>
        </w:rPr>
      </w:pPr>
      <w:r>
        <w:rPr>
          <w:rFonts w:eastAsia="MS Gothic" w:cs="Arial" w:ascii="Arial" w:hAnsi="Arial"/>
          <w:kern w:val="0"/>
          <w:sz w:val="22"/>
          <w:szCs w:val="22"/>
          <w:u w:val="single"/>
          <w:lang w:eastAsia="pt-BR"/>
        </w:rPr>
        <w:t xml:space="preserve">Empresário individual: </w:t>
      </w:r>
      <w:r>
        <w:rPr>
          <w:rFonts w:eastAsia="MS Gothic" w:cs="Arial" w:ascii="Arial" w:hAnsi="Arial"/>
          <w:kern w:val="0"/>
          <w:sz w:val="22"/>
          <w:szCs w:val="22"/>
          <w:lang w:eastAsia="pt-BR"/>
        </w:rPr>
        <w:t>inscrição no Registro Público de Empresas Mercantis, a cargo da Junta Comercial da respectiva sede;</w:t>
      </w:r>
    </w:p>
    <w:p>
      <w:pPr>
        <w:pStyle w:val="Normal"/>
        <w:numPr>
          <w:ilvl w:val="0"/>
          <w:numId w:val="2"/>
        </w:numPr>
        <w:spacing w:lineRule="auto" w:line="360"/>
        <w:ind w:hanging="11" w:left="0"/>
        <w:jc w:val="both"/>
        <w:rPr>
          <w:rFonts w:ascii="Arial" w:hAnsi="Arial" w:cs="Arial"/>
          <w:sz w:val="22"/>
          <w:szCs w:val="22"/>
          <w:u w:val="single"/>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color w:val="auto"/>
            <w:sz w:val="22"/>
            <w:szCs w:val="22"/>
          </w:rPr>
          <w:t>https://www.gov.br/empresas-enegocios/pt-br/empreendedor</w:t>
        </w:r>
      </w:hyperlink>
      <w:r>
        <w:rPr>
          <w:rFonts w:cs="Arial" w:ascii="Arial" w:hAnsi="Arial"/>
          <w:sz w:val="22"/>
          <w:szCs w:val="22"/>
        </w:rPr>
        <w:t>;</w:t>
      </w:r>
    </w:p>
    <w:p>
      <w:pPr>
        <w:pStyle w:val="Normal"/>
        <w:numPr>
          <w:ilvl w:val="0"/>
          <w:numId w:val="2"/>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2"/>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2"/>
        </w:numPr>
        <w:spacing w:lineRule="auto" w:line="360"/>
        <w:ind w:hanging="11" w:left="0"/>
        <w:jc w:val="both"/>
        <w:rPr>
          <w:rFonts w:ascii="Arial" w:hAnsi="Arial" w:cs="Arial"/>
          <w:sz w:val="22"/>
          <w:szCs w:val="22"/>
          <w:u w:val="single"/>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2"/>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2"/>
        </w:numPr>
        <w:spacing w:lineRule="auto" w:line="360"/>
        <w:ind w:hanging="11" w:left="0"/>
        <w:jc w:val="both"/>
        <w:rPr>
          <w:rFonts w:ascii="Arial" w:hAnsi="Arial" w:eastAsia="MS Mincho" w:cs="Arial"/>
          <w:b/>
          <w:bCs/>
          <w:kern w:val="0"/>
          <w:sz w:val="22"/>
          <w:szCs w:val="22"/>
          <w:lang w:eastAsia="pt-BR"/>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 w:cs="Arial"/>
          <w:b/>
          <w:bCs/>
          <w:kern w:val="0"/>
          <w:sz w:val="22"/>
          <w:szCs w:val="22"/>
          <w:lang w:eastAsia="pt-BR"/>
        </w:rPr>
      </w:pPr>
      <w:r>
        <w:rPr>
          <w:rFonts w:eastAsia="MS Mincho" w:cs="Arial" w:ascii="Arial" w:hAnsi="Arial"/>
          <w:b/>
          <w:bCs/>
          <w:kern w:val="0"/>
          <w:sz w:val="22"/>
          <w:szCs w:val="22"/>
          <w:lang w:eastAsia="pt-BR"/>
        </w:rPr>
        <w:t>5.2 - HABILITAÇÃO FISCAL, SOCIAL e TRABALHISTA</w:t>
      </w:r>
    </w:p>
    <w:p>
      <w:pPr>
        <w:pStyle w:val="Normal"/>
        <w:tabs>
          <w:tab w:val="clear" w:pos="708"/>
          <w:tab w:val="left" w:pos="851" w:leader="none"/>
        </w:tabs>
        <w:spacing w:lineRule="auto" w:line="360" w:before="120" w:after="120"/>
        <w:jc w:val="both"/>
        <w:rPr>
          <w:rFonts w:ascii="Arial" w:hAnsi="Arial" w:cs="Arial"/>
          <w:sz w:val="22"/>
          <w:szCs w:val="22"/>
        </w:rPr>
      </w:pPr>
      <w:bookmarkStart w:id="14" w:name="_Ref165030636"/>
      <w:r>
        <w:rPr>
          <w:rFonts w:cs="Arial" w:ascii="Arial" w:hAnsi="Arial"/>
          <w:sz w:val="22"/>
          <w:szCs w:val="22"/>
        </w:rPr>
        <w:t>5.2.1 - Para fins de comprovação de sua regularidade fiscal e trabalhista, cada licitante – isto é, todas as licitantes individuais e cada uma das consorciadas, no caso de participação em consórcio – deverá apresentar:</w:t>
      </w:r>
      <w:bookmarkEnd w:id="14"/>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Style w:val="apple-style-span"/>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8"/>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5.3.1 - Para fins de qualificação econômico-financeira, cada licitante – isto é, todas as licitantes individuais e cada uma das consorciadas, no caso de participação em consórcio – deverá apresentar:</w:t>
      </w:r>
    </w:p>
    <w:p>
      <w:pPr>
        <w:pStyle w:val="Normal"/>
        <w:spacing w:lineRule="auto" w:line="360"/>
        <w:ind w:right="-54"/>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Balanço patrimonial</w:t>
      </w:r>
      <w:r>
        <w:rPr>
          <w:rFonts w:cs="Arial" w:ascii="Arial" w:hAnsi="Arial"/>
          <w:sz w:val="22"/>
          <w:szCs w:val="22"/>
        </w:rPr>
        <w:t xml:space="preserve"> e demonstração de resultado de exercício </w:t>
      </w:r>
      <w:r>
        <w:rPr>
          <w:rFonts w:cs="Arial" w:ascii="Arial" w:hAnsi="Arial"/>
          <w:b/>
          <w:bCs/>
          <w:sz w:val="22"/>
          <w:szCs w:val="22"/>
        </w:rPr>
        <w:t>dos 2 (dois) últimos exercícios</w:t>
      </w:r>
      <w:r>
        <w:rPr>
          <w:rFonts w:cs="Arial" w:ascii="Arial" w:hAnsi="Arial"/>
          <w:sz w:val="22"/>
          <w:szCs w:val="22"/>
        </w:rPr>
        <w:t xml:space="preserve"> sociais, já exigíveis e apresentados na forma da legislação aplicável à matéria, </w:t>
      </w:r>
    </w:p>
    <w:p>
      <w:pPr>
        <w:pStyle w:val="Normal"/>
        <w:spacing w:lineRule="auto" w:line="360"/>
        <w:ind w:right="-54"/>
        <w:jc w:val="both"/>
        <w:rPr>
          <w:rFonts w:ascii="Arial" w:hAnsi="Arial" w:cs="Arial"/>
          <w:sz w:val="22"/>
          <w:szCs w:val="22"/>
        </w:rPr>
      </w:pPr>
      <w:r>
        <w:rPr>
          <w:rFonts w:cs="Arial" w:ascii="Arial" w:hAnsi="Arial"/>
          <w:sz w:val="22"/>
          <w:szCs w:val="22"/>
        </w:rPr>
        <w:t>comprovando:</w:t>
      </w:r>
    </w:p>
    <w:p>
      <w:pPr>
        <w:pStyle w:val="Normal"/>
        <w:spacing w:lineRule="auto" w:line="360"/>
        <w:ind w:left="567" w:right="-54"/>
        <w:jc w:val="both"/>
        <w:rPr>
          <w:rFonts w:ascii="Arial" w:hAnsi="Arial" w:cs="Arial"/>
          <w:sz w:val="22"/>
          <w:szCs w:val="22"/>
        </w:rPr>
      </w:pPr>
      <w:r>
        <w:rPr>
          <w:rFonts w:cs="Arial" w:ascii="Arial" w:hAnsi="Arial"/>
          <w:sz w:val="22"/>
          <w:szCs w:val="22"/>
        </w:rPr>
        <w:t>a.1) Na hipótese de empresa constituída há menos de 12 meses, deverá apresentar balanço de abertura.</w:t>
      </w:r>
    </w:p>
    <w:p>
      <w:pPr>
        <w:pStyle w:val="Normal"/>
        <w:spacing w:lineRule="auto" w:line="360"/>
        <w:ind w:right="-54"/>
        <w:jc w:val="both"/>
        <w:rPr>
          <w:rFonts w:ascii="Arial" w:hAnsi="Arial" w:cs="Arial"/>
          <w:sz w:val="22"/>
          <w:szCs w:val="22"/>
        </w:rPr>
      </w:pPr>
      <w:r>
        <w:rPr>
          <w:rFonts w:cs="Arial" w:ascii="Arial" w:hAnsi="Arial"/>
          <w:sz w:val="22"/>
          <w:szCs w:val="22"/>
        </w:rPr>
        <w:t xml:space="preserve">b) </w:t>
      </w:r>
      <w:r>
        <w:rPr>
          <w:rFonts w:cs="Arial" w:ascii="Arial" w:hAnsi="Arial"/>
          <w:b/>
          <w:bCs/>
          <w:sz w:val="22"/>
          <w:szCs w:val="22"/>
        </w:rPr>
        <w:t>Indicadores L1, L2 e L3</w:t>
      </w:r>
      <w:r>
        <w:rPr>
          <w:rFonts w:cs="Arial" w:ascii="Arial" w:hAnsi="Arial"/>
          <w:sz w:val="22"/>
          <w:szCs w:val="22"/>
        </w:rPr>
        <w:t>, referentes ao último exercício, dentro dos parâmetros abaixo especificados:</w:t>
      </w:r>
    </w:p>
    <w:p>
      <w:pPr>
        <w:pStyle w:val="Normal"/>
        <w:spacing w:lineRule="auto" w:line="360"/>
        <w:ind w:right="-54"/>
        <w:jc w:val="both"/>
        <w:rPr>
          <w:rFonts w:ascii="Arial" w:hAnsi="Arial" w:cs="Arial"/>
          <w:sz w:val="22"/>
          <w:szCs w:val="22"/>
        </w:rPr>
      </w:pPr>
      <w:r>
        <w:rPr>
          <w:rFonts w:cs="Arial" w:ascii="Arial" w:hAnsi="Arial"/>
          <w:sz w:val="22"/>
          <w:szCs w:val="22"/>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u w:val="single"/>
        </w:rPr>
      </w:pPr>
      <w:r>
        <w:rPr>
          <w:rFonts w:cs="Arial" w:ascii="Arial" w:hAnsi="Arial"/>
          <w:sz w:val="18"/>
          <w:szCs w:val="18"/>
        </w:rPr>
        <w:t xml:space="preserve">L1 = </w:t>
      </w:r>
      <w:r>
        <w:rPr>
          <w:rFonts w:cs="Arial" w:ascii="Arial" w:hAnsi="Arial"/>
          <w:sz w:val="18"/>
          <w:szCs w:val="18"/>
          <w:u w:val="single"/>
        </w:rPr>
        <w:t>(ATIVO CIRCULANTE + REALIZÁVEL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(PASSIVO CIRCULANTE + EXIGÍVEL A LONGO PRAZO)</w:t>
      </w:r>
    </w:p>
    <w:p>
      <w:pPr>
        <w:pStyle w:val="Normal"/>
        <w:spacing w:lineRule="auto" w:line="360"/>
        <w:ind w:right="-54"/>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rPr>
      </w:pPr>
      <w:r>
        <w:rPr>
          <w:rFonts w:cs="Arial" w:ascii="Arial" w:hAnsi="Arial"/>
          <w:sz w:val="18"/>
          <w:szCs w:val="18"/>
        </w:rPr>
        <w:t xml:space="preserve">L2: Índice de Endividamento Total, correspondente a relação entre o capital de terceiros, representado pela soma do passivo circulante e exigível a longo prazo e o Ativo Total </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u w:val="single"/>
        </w:rPr>
      </w:pPr>
      <w:r>
        <w:rPr>
          <w:rFonts w:cs="Arial" w:ascii="Arial" w:hAnsi="Arial"/>
          <w:sz w:val="18"/>
          <w:szCs w:val="18"/>
        </w:rPr>
        <w:t xml:space="preserve">L2 = </w:t>
      </w:r>
      <w:r>
        <w:rPr>
          <w:rFonts w:cs="Arial" w:ascii="Arial" w:hAnsi="Arial"/>
          <w:sz w:val="18"/>
          <w:szCs w:val="18"/>
          <w:u w:val="single"/>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rPr>
      </w:pPr>
      <w:r>
        <w:rPr>
          <w:rFonts w:cs="Arial" w:ascii="Arial" w:hAnsi="Arial"/>
          <w:sz w:val="18"/>
          <w:szCs w:val="18"/>
        </w:rPr>
        <w:t xml:space="preserve">                                 </w:t>
      </w:r>
      <w:r>
        <w:rPr>
          <w:rFonts w:cs="Arial" w:ascii="Arial" w:hAnsi="Arial"/>
          <w:sz w:val="18"/>
          <w:szCs w:val="18"/>
        </w:rPr>
        <w:t>(ATIVO TOTAL)</w:t>
      </w:r>
    </w:p>
    <w:p>
      <w:pPr>
        <w:pStyle w:val="Normal"/>
        <w:spacing w:lineRule="auto" w:line="360"/>
        <w:ind w:right="-54"/>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rPr>
      </w:pPr>
      <w:r>
        <w:rPr>
          <w:rFonts w:cs="Arial" w:ascii="Arial" w:hAnsi="Arial"/>
          <w:sz w:val="18"/>
          <w:szCs w:val="18"/>
        </w:rPr>
        <w:t>L3: Índice de liquidez corrente, representado pela divisão do ativo circulante pelo passivo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u w:val="single"/>
        </w:rPr>
      </w:pPr>
      <w:r>
        <w:rPr>
          <w:rFonts w:cs="Arial" w:ascii="Arial" w:hAnsi="Arial"/>
          <w:sz w:val="18"/>
          <w:szCs w:val="18"/>
        </w:rPr>
        <w:t xml:space="preserve">L3 = </w:t>
      </w:r>
      <w:r>
        <w:rPr>
          <w:rFonts w:cs="Arial" w:ascii="Arial" w:hAnsi="Arial"/>
          <w:sz w:val="18"/>
          <w:szCs w:val="18"/>
          <w:u w:val="single"/>
        </w:rPr>
        <w:t>(ATIVO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(PASSIVO CIRCULANTE)</w:t>
      </w:r>
    </w:p>
    <w:p>
      <w:pPr>
        <w:pStyle w:val="Normal"/>
        <w:spacing w:lineRule="auto" w:line="360"/>
        <w:ind w:left="567" w:right="-54"/>
        <w:jc w:val="both"/>
        <w:rPr>
          <w:rFonts w:ascii="Arial" w:hAnsi="Arial" w:cs="Arial"/>
          <w:sz w:val="22"/>
          <w:szCs w:val="22"/>
        </w:rPr>
      </w:pPr>
      <w:r>
        <w:rPr>
          <w:rFonts w:cs="Arial" w:ascii="Arial" w:hAnsi="Arial"/>
          <w:sz w:val="22"/>
          <w:szCs w:val="22"/>
        </w:rPr>
      </w:r>
    </w:p>
    <w:p>
      <w:pPr>
        <w:pStyle w:val="Normal"/>
        <w:spacing w:lineRule="auto" w:line="360"/>
        <w:ind w:left="567" w:right="-54"/>
        <w:jc w:val="both"/>
        <w:rPr>
          <w:rFonts w:ascii="Arial" w:hAnsi="Arial" w:cs="Arial"/>
          <w:sz w:val="22"/>
          <w:szCs w:val="22"/>
        </w:rPr>
      </w:pPr>
      <w:r>
        <w:rPr>
          <w:rFonts w:cs="Arial" w:ascii="Arial" w:hAnsi="Arial"/>
          <w:sz w:val="22"/>
          <w:szCs w:val="22"/>
        </w:rPr>
        <w:t>b.1) Somente serão habilitados os licitantes que apresentarem no mínimo os seguintes índices: L1 = maior ou igual a 1,0; L2 = menor ou igual 0,50; e, L3 = maior ou igual a 1,0.</w:t>
      </w:r>
    </w:p>
    <w:p>
      <w:pPr>
        <w:pStyle w:val="Normal"/>
        <w:spacing w:lineRule="auto" w:line="360"/>
        <w:ind w:left="567"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Pr>
          <w:rFonts w:cs="Arial" w:ascii="Arial" w:hAnsi="Arial"/>
          <w:b/>
          <w:bCs/>
          <w:sz w:val="22"/>
          <w:szCs w:val="22"/>
        </w:rPr>
        <w:t>Patrimônio Líquido não inferior a 10%</w:t>
      </w:r>
      <w:r>
        <w:rPr>
          <w:rFonts w:cs="Arial" w:ascii="Arial" w:hAnsi="Arial"/>
          <w:sz w:val="22"/>
          <w:szCs w:val="22"/>
        </w:rPr>
        <w:t xml:space="preserve"> (dez por cento) do valor estimado da contratação pretendida, correspondente a importância de R$ 313.678,03 (trezentos e treze mil seiscentos e dezoito reais e três centavos). Com relação aos CONSÓRCIOS que participem da LICITAÇÃO, patrimônio exigido, acrescido de 10% (dez por cento) nos termos do artigo 15, parágrafo 1º, da Lei Federal nº 14.133/2021, poderá ser atendido, isoladamente, pela empresa líder do CONSÓRCIO ou, em conjunto, por todas as CONSORCIADAS.</w:t>
      </w:r>
    </w:p>
    <w:p>
      <w:pPr>
        <w:pStyle w:val="Normal"/>
        <w:spacing w:lineRule="auto" w:line="360"/>
        <w:ind w:right="-54"/>
        <w:jc w:val="both"/>
        <w:rPr>
          <w:rFonts w:ascii="Arial" w:hAnsi="Arial" w:cs="Arial"/>
          <w:sz w:val="22"/>
          <w:szCs w:val="22"/>
        </w:rPr>
      </w:pPr>
      <w:r>
        <w:rPr>
          <w:rFonts w:cs="Arial" w:ascii="Arial" w:hAnsi="Arial"/>
          <w:sz w:val="22"/>
          <w:szCs w:val="22"/>
        </w:rPr>
        <w:t xml:space="preserve">d) </w:t>
      </w:r>
      <w:r>
        <w:rPr>
          <w:rFonts w:cs="Arial" w:ascii="Arial" w:hAnsi="Arial"/>
          <w:b/>
          <w:bCs/>
          <w:sz w:val="22"/>
          <w:szCs w:val="22"/>
        </w:rPr>
        <w:t>Certidão Negativa de Falência</w:t>
      </w:r>
      <w:r>
        <w:rPr>
          <w:rFonts w:cs="Arial" w:ascii="Arial" w:hAnsi="Arial"/>
          <w:sz w:val="22"/>
          <w:szCs w:val="22"/>
        </w:rPr>
        <w:t xml:space="preserve"> expedida pelo distribuidor da sede da pessoa jurídica.</w:t>
      </w:r>
    </w:p>
    <w:p>
      <w:pPr>
        <w:pStyle w:val="Normal"/>
        <w:spacing w:lineRule="auto" w:line="360"/>
        <w:ind w:right="-54"/>
        <w:jc w:val="both"/>
        <w:rPr>
          <w:rFonts w:ascii="Arial" w:hAnsi="Arial" w:cs="Arial"/>
          <w:sz w:val="22"/>
          <w:szCs w:val="22"/>
        </w:rPr>
      </w:pPr>
      <w:r>
        <w:rPr>
          <w:rFonts w:cs="Arial" w:ascii="Arial" w:hAnsi="Arial"/>
          <w:b/>
          <w:sz w:val="22"/>
          <w:szCs w:val="22"/>
        </w:rPr>
        <w:t xml:space="preserve">5.4 - QUALIFICAÇÃO TÉCNICA </w:t>
      </w:r>
    </w:p>
    <w:p>
      <w:pPr>
        <w:pStyle w:val="Normal"/>
        <w:spacing w:lineRule="auto" w:line="360"/>
        <w:ind w:right="-54"/>
        <w:jc w:val="both"/>
        <w:rPr>
          <w:rFonts w:ascii="Arial" w:hAnsi="Arial" w:cs="Arial"/>
          <w:sz w:val="22"/>
          <w:szCs w:val="22"/>
        </w:rPr>
      </w:pPr>
      <w:r>
        <w:rPr>
          <w:rFonts w:cs="Arial" w:ascii="Arial" w:hAnsi="Arial"/>
          <w:sz w:val="22"/>
          <w:szCs w:val="22"/>
        </w:rPr>
        <w:t xml:space="preserve">a) Comprovação da aptidão técnico-operacional para o desempenho de atividade pertinente e compatível em características, quantidades e prazos com o objeto desta licitação, por meio da apresentação de Atestado(s), expedido(s) por pessoa jurídica de direito público ou privado, devidamente registrados(s) na entidade profissional competente, que comprove(m) que a licitante já realizou prestação de serviços pertinentes ao objeto da licitação, nos termos da Súmula 24 do Tribunal de Contas do Estado de São Paulo, sendo consideradas como parcelas de maior relevância os seguintes serviços do objeto: </w:t>
      </w:r>
    </w:p>
    <w:p>
      <w:pPr>
        <w:pStyle w:val="Normal"/>
        <w:spacing w:lineRule="auto" w:line="360"/>
        <w:ind w:right="-54"/>
        <w:jc w:val="both"/>
        <w:rPr>
          <w:rFonts w:ascii="Arial" w:hAnsi="Arial" w:cs="Arial"/>
          <w:sz w:val="22"/>
          <w:szCs w:val="22"/>
        </w:rPr>
      </w:pPr>
      <w:r>
        <w:rPr>
          <w:rFonts w:cs="Arial" w:ascii="Arial" w:hAnsi="Arial"/>
          <w:sz w:val="22"/>
          <w:szCs w:val="22"/>
        </w:rPr>
      </w:r>
    </w:p>
    <w:tbl>
      <w:tblPr>
        <w:tblW w:w="5000" w:type="pct"/>
        <w:jc w:val="left"/>
        <w:tblInd w:w="28" w:type="dxa"/>
        <w:tblLayout w:type="fixed"/>
        <w:tblCellMar>
          <w:top w:w="28" w:type="dxa"/>
          <w:left w:w="28" w:type="dxa"/>
          <w:bottom w:w="28" w:type="dxa"/>
          <w:right w:w="28" w:type="dxa"/>
        </w:tblCellMar>
        <w:tblLook w:firstRow="0" w:noVBand="0" w:lastRow="0" w:firstColumn="0" w:lastColumn="0" w:noHBand="0" w:val="0000"/>
      </w:tblPr>
      <w:tblGrid>
        <w:gridCol w:w="9071"/>
      </w:tblGrid>
      <w:tr>
        <w:trPr/>
        <w:tc>
          <w:tcPr>
            <w:tcW w:w="9071" w:type="dxa"/>
            <w:tcBorders>
              <w:top w:val="single" w:sz="2" w:space="0" w:color="000000"/>
              <w:left w:val="single" w:sz="2" w:space="0" w:color="000000"/>
              <w:bottom w:val="single" w:sz="2" w:space="0" w:color="000000"/>
              <w:right w:val="single" w:sz="2" w:space="0" w:color="000000"/>
            </w:tcBorders>
          </w:tcPr>
          <w:p>
            <w:pPr>
              <w:pStyle w:val="Contedodatabela"/>
              <w:spacing w:lineRule="auto" w:line="360"/>
              <w:jc w:val="both"/>
              <w:rPr>
                <w:rFonts w:ascii="Arial" w:hAnsi="Arial" w:cs="Arial"/>
                <w:sz w:val="22"/>
                <w:szCs w:val="22"/>
              </w:rPr>
            </w:pPr>
            <w:r>
              <w:rPr>
                <w:rFonts w:cs="Arial" w:ascii="Arial" w:hAnsi="Arial"/>
                <w:sz w:val="22"/>
                <w:szCs w:val="22"/>
              </w:rPr>
              <w:t>1. Veículo com tecnologia LPR/OCR</w:t>
            </w:r>
          </w:p>
        </w:tc>
      </w:tr>
      <w:tr>
        <w:trPr/>
        <w:tc>
          <w:tcPr>
            <w:tcW w:w="9071" w:type="dxa"/>
            <w:tcBorders>
              <w:left w:val="single" w:sz="2" w:space="0" w:color="000000"/>
              <w:bottom w:val="single" w:sz="2" w:space="0" w:color="000000"/>
              <w:right w:val="single" w:sz="2" w:space="0" w:color="000000"/>
            </w:tcBorders>
          </w:tcPr>
          <w:p>
            <w:pPr>
              <w:pStyle w:val="Contedodatabela"/>
              <w:spacing w:lineRule="auto" w:line="360"/>
              <w:jc w:val="both"/>
              <w:rPr>
                <w:rFonts w:ascii="Arial" w:hAnsi="Arial" w:cs="Arial"/>
                <w:sz w:val="22"/>
                <w:szCs w:val="22"/>
              </w:rPr>
            </w:pPr>
            <w:r>
              <w:rPr>
                <w:rFonts w:cs="Arial" w:ascii="Arial" w:hAnsi="Arial"/>
                <w:sz w:val="22"/>
                <w:szCs w:val="22"/>
              </w:rPr>
              <w:t>2. Fornecimento de equipamentos para fiscalização, com suporte e manutenção - DPMF e de máquina/dispositivo para comercialização (POS), com suporte e manutenção</w:t>
            </w:r>
          </w:p>
        </w:tc>
      </w:tr>
      <w:tr>
        <w:trPr/>
        <w:tc>
          <w:tcPr>
            <w:tcW w:w="9071" w:type="dxa"/>
            <w:tcBorders>
              <w:left w:val="single" w:sz="2" w:space="0" w:color="000000"/>
              <w:bottom w:val="single" w:sz="2" w:space="0" w:color="000000"/>
              <w:right w:val="single" w:sz="2" w:space="0" w:color="000000"/>
            </w:tcBorders>
          </w:tcPr>
          <w:p>
            <w:pPr>
              <w:pStyle w:val="Contedodatabela"/>
              <w:spacing w:lineRule="auto" w:line="360"/>
              <w:jc w:val="both"/>
              <w:rPr>
                <w:rFonts w:ascii="Arial" w:hAnsi="Arial" w:cs="Arial"/>
                <w:sz w:val="22"/>
                <w:szCs w:val="22"/>
              </w:rPr>
            </w:pPr>
            <w:r>
              <w:rPr>
                <w:rFonts w:cs="Arial" w:ascii="Arial" w:hAnsi="Arial"/>
                <w:sz w:val="22"/>
                <w:szCs w:val="22"/>
              </w:rPr>
              <w:t>3. Fornecimento de aplicativo de acesso via smartphone para usuários e portal do usuário web</w:t>
            </w:r>
          </w:p>
        </w:tc>
      </w:tr>
    </w:tbl>
    <w:p>
      <w:pPr>
        <w:pStyle w:val="Normal"/>
        <w:tabs>
          <w:tab w:val="clear" w:pos="708"/>
          <w:tab w:val="left" w:pos="567" w:leader="none"/>
          <w:tab w:val="left" w:pos="851" w:leader="none"/>
        </w:tabs>
        <w:spacing w:lineRule="auto" w:line="360" w:before="120" w:after="120"/>
        <w:jc w:val="both"/>
        <w:rPr>
          <w:rFonts w:ascii="Arial" w:hAnsi="Arial" w:cs="Arial"/>
          <w:sz w:val="22"/>
          <w:szCs w:val="22"/>
        </w:rPr>
      </w:pPr>
      <w:r>
        <w:rPr>
          <w:rFonts w:cs="Arial" w:ascii="Arial" w:hAnsi="Arial"/>
          <w:sz w:val="22"/>
          <w:szCs w:val="22"/>
        </w:rPr>
      </w:r>
    </w:p>
    <w:p>
      <w:pPr>
        <w:pStyle w:val="Normal"/>
        <w:tabs>
          <w:tab w:val="clear" w:pos="708"/>
          <w:tab w:val="left" w:pos="567" w:leader="none"/>
          <w:tab w:val="left" w:pos="851" w:leader="none"/>
        </w:tabs>
        <w:spacing w:lineRule="auto" w:line="360" w:before="120" w:after="120"/>
        <w:jc w:val="both"/>
        <w:rPr>
          <w:rFonts w:ascii="Arial" w:hAnsi="Arial" w:cs="Arial"/>
          <w:sz w:val="22"/>
          <w:szCs w:val="22"/>
        </w:rPr>
      </w:pPr>
      <w:r>
        <w:rPr>
          <w:rFonts w:cs="Arial" w:ascii="Arial" w:hAnsi="Arial"/>
          <w:sz w:val="22"/>
          <w:szCs w:val="22"/>
        </w:rPr>
        <w:t>a.1) Para fins de qualificação técnica, cada licitante individual ou, ao menos, uma consorciada, no caso de participação em consórcio, deverá apresentar atestado emitido em nome da licitante, por pessoa jurídica de Direito Público ou Privado com a qual não possua nenhum vínculo societário, certificando a execução adequada, em momento passado ou presente, de atividade pertinente e compatível com o objeto desta LICITAÇÃO em características e em atendimento às alíneas “a”.</w:t>
      </w:r>
    </w:p>
    <w:p>
      <w:pPr>
        <w:pStyle w:val="Default"/>
        <w:spacing w:lineRule="auto" w:line="360"/>
        <w:jc w:val="both"/>
        <w:rPr>
          <w:rFonts w:ascii="Arial" w:hAnsi="Arial" w:cs="Arial"/>
          <w:color w:val="auto"/>
          <w:sz w:val="22"/>
          <w:szCs w:val="22"/>
        </w:rPr>
      </w:pPr>
      <w:r>
        <w:rPr>
          <w:rFonts w:cs="Arial" w:ascii="Arial" w:hAnsi="Arial"/>
          <w:b/>
          <w:color w:val="auto"/>
          <w:sz w:val="22"/>
          <w:szCs w:val="22"/>
        </w:rPr>
        <w:t xml:space="preserve">b) DA VISITA TÉCNICA FACULTATIVA: </w:t>
      </w:r>
    </w:p>
    <w:p>
      <w:pPr>
        <w:pStyle w:val="Default"/>
        <w:spacing w:lineRule="auto" w:line="360"/>
        <w:jc w:val="both"/>
        <w:rPr>
          <w:rFonts w:ascii="Arial" w:hAnsi="Arial" w:cs="Arial"/>
          <w:color w:val="auto"/>
          <w:sz w:val="22"/>
          <w:szCs w:val="22"/>
        </w:rPr>
      </w:pPr>
      <w:r>
        <w:rPr>
          <w:rFonts w:cs="Arial" w:ascii="Arial" w:hAnsi="Arial"/>
          <w:color w:val="auto"/>
          <w:sz w:val="22"/>
          <w:szCs w:val="22"/>
        </w:rPr>
        <w:t>O licitante que optar por realizar vistoria prévia terá disponibilizado pela Administração data e horário exclusivos, a ser agendado, através do (11) 3183-0760, diretamente no Departamento de Trânsito, de modo que seu agendamento não coincida com o agendamento de outros licitantes.</w:t>
      </w:r>
    </w:p>
    <w:p>
      <w:pPr>
        <w:pStyle w:val="Default"/>
        <w:spacing w:lineRule="auto" w:line="360"/>
        <w:jc w:val="both"/>
        <w:rPr>
          <w:rFonts w:ascii="Arial" w:hAnsi="Arial" w:cs="Arial"/>
          <w:b/>
          <w:bCs/>
          <w:color w:val="auto"/>
          <w:sz w:val="22"/>
          <w:szCs w:val="22"/>
        </w:rPr>
      </w:pPr>
      <w:r>
        <w:rPr>
          <w:rFonts w:cs="Arial" w:ascii="Arial" w:hAnsi="Arial"/>
          <w:b/>
          <w:bCs/>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pPr>
        <w:pStyle w:val="Normal"/>
        <w:spacing w:lineRule="auto" w:line="360"/>
        <w:ind w:right="-54"/>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 ABERTURA DA SESSÃO, CLASSIFICAÇÃO DAS PROPOSTAS E FORMULAÇÃO DE LANCES</w:t>
      </w:r>
    </w:p>
    <w:p>
      <w:pPr>
        <w:pStyle w:val="Nivel2"/>
        <w:numPr>
          <w:ilvl w:val="1"/>
          <w:numId w:val="3"/>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3"/>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3"/>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3"/>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3"/>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3"/>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3"/>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3"/>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3"/>
        </w:numPr>
        <w:spacing w:lineRule="auto" w:line="360" w:before="0" w:after="0"/>
        <w:ind w:hanging="0" w:left="0"/>
        <w:rPr>
          <w:color w:val="auto"/>
          <w:sz w:val="22"/>
          <w:szCs w:val="22"/>
        </w:rPr>
      </w:pPr>
      <w:r>
        <w:rPr>
          <w:color w:val="auto"/>
          <w:sz w:val="22"/>
          <w:szCs w:val="22"/>
        </w:rPr>
        <w:t>O lance deverá ser ofertado pelo VALOR TOTAL DO LOTE.</w:t>
      </w:r>
    </w:p>
    <w:p>
      <w:pPr>
        <w:pStyle w:val="Nivel2"/>
        <w:numPr>
          <w:ilvl w:val="1"/>
          <w:numId w:val="3"/>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3"/>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3"/>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3"/>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3"/>
        </w:numPr>
        <w:spacing w:lineRule="auto" w:line="360" w:before="0" w:after="0"/>
        <w:ind w:hanging="0" w:left="567"/>
        <w:rPr>
          <w:color w:val="auto"/>
          <w:sz w:val="22"/>
          <w:szCs w:val="22"/>
        </w:rPr>
      </w:pPr>
      <w:bookmarkStart w:id="15" w:name="_Hlk113697759"/>
      <w:bookmarkEnd w:id="15"/>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spacing w:lineRule="auto" w:line="360" w:before="0" w:after="0"/>
        <w:ind w:hanging="0" w:left="567"/>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spacing w:lineRule="auto" w:line="360" w:before="0" w:after="0"/>
        <w:ind w:hanging="0" w:left="567"/>
        <w:rPr>
          <w:color w:val="auto"/>
          <w:sz w:val="22"/>
          <w:szCs w:val="22"/>
        </w:rPr>
      </w:pPr>
      <w:bookmarkStart w:id="16" w:name="_Hlk113697816"/>
      <w:r>
        <w:rPr>
          <w:color w:val="auto"/>
          <w:sz w:val="22"/>
          <w:szCs w:val="22"/>
        </w:rPr>
        <w:t>Não havendo novos lances na forma estabelecida nos itens anteriores, a sessão pública encerrar-se-á automaticamente, e o sistema ordenará e divulgará os lances conforme a ordem final de classificação.</w:t>
      </w:r>
      <w:bookmarkEnd w:id="16"/>
    </w:p>
    <w:p>
      <w:pPr>
        <w:pStyle w:val="Nivel2"/>
        <w:numPr>
          <w:ilvl w:val="1"/>
          <w:numId w:val="3"/>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3"/>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3"/>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3"/>
        </w:numPr>
        <w:spacing w:lineRule="auto" w:line="360" w:before="0" w:after="0"/>
        <w:ind w:hanging="0"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3"/>
        </w:numPr>
        <w:spacing w:lineRule="auto" w:line="360" w:before="0" w:after="0"/>
        <w:ind w:hanging="0" w:left="567"/>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spacing w:lineRule="auto" w:line="360" w:before="0" w:after="0"/>
        <w:ind w:hanging="0"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spacing w:lineRule="auto" w:line="360" w:before="0" w:after="0"/>
        <w:ind w:hanging="0"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spacing w:lineRule="auto" w:line="360" w:before="0" w:after="0"/>
        <w:ind w:hanging="0" w:left="567"/>
        <w:rPr>
          <w:rFonts w:eastAsia="Times New Roman"/>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spacing w:lineRule="auto" w:line="360" w:before="0" w:after="0"/>
        <w:ind w:hanging="0" w:left="567"/>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3"/>
        </w:numPr>
        <w:spacing w:lineRule="auto" w:line="360" w:before="0" w:after="0"/>
        <w:ind w:hanging="0" w:left="567"/>
        <w:rPr>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3"/>
        </w:numPr>
        <w:spacing w:lineRule="auto" w:line="360" w:before="0" w:after="0"/>
        <w:ind w:hanging="0" w:left="0"/>
        <w:rPr>
          <w:rFonts w:eastAsia="Times New Roman"/>
          <w:color w:val="auto"/>
          <w:sz w:val="22"/>
          <w:szCs w:val="22"/>
        </w:rPr>
      </w:pPr>
      <w:bookmarkStart w:id="17" w:name="_Hlk114646655"/>
      <w:r>
        <w:rPr>
          <w:color w:val="auto"/>
          <w:sz w:val="22"/>
          <w:szCs w:val="22"/>
        </w:rPr>
        <w:t>Após a negociação do preço, o Pregoeiro iniciará a fase de aceitação e julgamento da proposta.</w:t>
      </w:r>
      <w:bookmarkEnd w:id="17"/>
      <w:r>
        <w:rPr>
          <w:color w:val="auto"/>
          <w:sz w:val="22"/>
          <w:szCs w:val="22"/>
        </w:rPr>
        <w:t xml:space="preserve"> </w:t>
      </w:r>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 FASE DE JULGAMENTO</w:t>
      </w:r>
    </w:p>
    <w:p>
      <w:pPr>
        <w:pStyle w:val="Nivel2"/>
        <w:numPr>
          <w:ilvl w:val="1"/>
          <w:numId w:val="3"/>
        </w:numPr>
        <w:spacing w:lineRule="auto" w:line="360" w:before="0" w:after="0"/>
        <w:ind w:hanging="0" w:left="0"/>
        <w:rPr>
          <w:color w:val="auto"/>
          <w:sz w:val="22"/>
          <w:szCs w:val="22"/>
        </w:rPr>
      </w:pPr>
      <w:bookmarkStart w:id="18"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8"/>
      <w:r>
        <w:rPr>
          <w:color w:val="auto"/>
          <w:sz w:val="22"/>
          <w:szCs w:val="22"/>
          <w:lang w:eastAsia="ar-SA"/>
        </w:rPr>
        <w:t>especialmente quanto à existência de sanção que impeça a participação no certame ou a futura contratação.</w:t>
      </w:r>
    </w:p>
    <w:p>
      <w:pPr>
        <w:pStyle w:val="Nivel2"/>
        <w:numPr>
          <w:ilvl w:val="1"/>
          <w:numId w:val="3"/>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3"/>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3"/>
        </w:numPr>
        <w:spacing w:lineRule="auto" w:line="360" w:before="0" w:after="0"/>
        <w:ind w:hanging="0" w:left="567"/>
        <w:rPr>
          <w:color w:val="auto"/>
          <w:sz w:val="22"/>
          <w:szCs w:val="22"/>
        </w:rPr>
      </w:pPr>
      <w:r>
        <w:rPr>
          <w:color w:val="auto"/>
          <w:sz w:val="22"/>
          <w:szCs w:val="22"/>
        </w:rPr>
        <w:t>contiver vícios insanáveis;</w:t>
      </w:r>
    </w:p>
    <w:p>
      <w:pPr>
        <w:pStyle w:val="Nivel3"/>
        <w:numPr>
          <w:ilvl w:val="2"/>
          <w:numId w:val="3"/>
        </w:numPr>
        <w:spacing w:lineRule="auto" w:line="360" w:before="0" w:after="0"/>
        <w:ind w:hanging="0" w:left="567"/>
        <w:rPr>
          <w:color w:val="auto"/>
          <w:sz w:val="22"/>
          <w:szCs w:val="22"/>
        </w:rPr>
      </w:pPr>
      <w:r>
        <w:rPr>
          <w:color w:val="auto"/>
          <w:sz w:val="22"/>
          <w:szCs w:val="22"/>
        </w:rPr>
        <w:t>não obedecer às especificações técnicas contidas no Termo de Referência;</w:t>
      </w:r>
    </w:p>
    <w:p>
      <w:pPr>
        <w:pStyle w:val="Nivel3"/>
        <w:numPr>
          <w:ilvl w:val="2"/>
          <w:numId w:val="3"/>
        </w:numPr>
        <w:spacing w:lineRule="auto" w:line="360" w:before="0" w:after="0"/>
        <w:ind w:hanging="0" w:left="567"/>
        <w:rPr>
          <w:color w:val="auto"/>
          <w:sz w:val="22"/>
          <w:szCs w:val="22"/>
        </w:rPr>
      </w:pPr>
      <w:r>
        <w:rPr>
          <w:color w:val="auto"/>
          <w:sz w:val="22"/>
          <w:szCs w:val="22"/>
        </w:rPr>
        <w:t>apresentar preços inexequíveis ou permanecerem acima do preço máximo definido para a contratação;</w:t>
      </w:r>
    </w:p>
    <w:p>
      <w:pPr>
        <w:pStyle w:val="Nivel3"/>
        <w:numPr>
          <w:ilvl w:val="2"/>
          <w:numId w:val="3"/>
        </w:numPr>
        <w:spacing w:lineRule="auto" w:line="360" w:before="0" w:after="0"/>
        <w:ind w:hanging="0" w:left="567"/>
        <w:rPr>
          <w:color w:val="auto"/>
          <w:sz w:val="22"/>
          <w:szCs w:val="22"/>
        </w:rPr>
      </w:pPr>
      <w:r>
        <w:rPr>
          <w:color w:val="auto"/>
          <w:sz w:val="22"/>
          <w:szCs w:val="22"/>
        </w:rPr>
        <w:t>não tiverem sua exequibilidade demonstrada, quando exigido pela Administração;</w:t>
      </w:r>
    </w:p>
    <w:p>
      <w:pPr>
        <w:pStyle w:val="Nivel3"/>
        <w:numPr>
          <w:ilvl w:val="2"/>
          <w:numId w:val="3"/>
        </w:numPr>
        <w:spacing w:lineRule="auto" w:line="360" w:before="0" w:after="0"/>
        <w:ind w:hanging="0" w:left="567"/>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3"/>
        </w:numPr>
        <w:spacing w:lineRule="auto" w:line="360" w:before="0" w:after="0"/>
        <w:ind w:hanging="0" w:left="0"/>
        <w:rPr>
          <w:color w:val="auto"/>
          <w:sz w:val="22"/>
          <w:szCs w:val="22"/>
          <w:lang w:eastAsia="en-US"/>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lineRule="auto" w:line="360" w:before="0" w:after="0"/>
        <w:ind w:hanging="0" w:left="0"/>
        <w:rPr>
          <w:b/>
          <w:i/>
          <w:i/>
          <w:iCs/>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 e ainda caso o pregoeiro ache necessário poderá ser exigido planilha de decomposição de custos.</w:t>
      </w:r>
    </w:p>
    <w:p>
      <w:pPr>
        <w:pStyle w:val="Nivel2"/>
        <w:tabs>
          <w:tab w:val="clear" w:pos="0"/>
        </w:tabs>
        <w:spacing w:lineRule="auto" w:line="360" w:before="0" w:after="0"/>
        <w:ind w:hanging="0" w:left="0"/>
        <w:rPr>
          <w:b/>
          <w:bCs/>
          <w:color w:val="auto"/>
          <w:sz w:val="22"/>
          <w:szCs w:val="22"/>
        </w:rPr>
      </w:pPr>
      <w:r>
        <w:rPr>
          <w:b/>
          <w:bCs/>
          <w:color w:val="auto"/>
          <w:sz w:val="22"/>
          <w:szCs w:val="22"/>
        </w:rPr>
        <w:t>7.8 – A sessão será suspensa para que o licitante classificado em primeiro lugar, apresente/demonstre dentro do prazo de 07 (sete) dias úteis, contados da sessão de processamento da licitação, os seguintes documentos/software, conforme Anexo I.</w:t>
      </w:r>
    </w:p>
    <w:p>
      <w:pPr>
        <w:pStyle w:val="Normal"/>
        <w:shd w:val="clear" w:color="auto" w:fill="FFFFFF"/>
        <w:spacing w:lineRule="auto" w:line="360"/>
        <w:jc w:val="both"/>
        <w:rPr>
          <w:rFonts w:ascii="Arial" w:hAnsi="Arial" w:cs="Arial"/>
          <w:bCs/>
          <w:sz w:val="22"/>
          <w:szCs w:val="22"/>
        </w:rPr>
      </w:pPr>
      <w:r>
        <w:rPr>
          <w:rFonts w:cs="Arial" w:ascii="Arial" w:hAnsi="Arial"/>
          <w:bCs/>
          <w:sz w:val="22"/>
          <w:szCs w:val="22"/>
        </w:rPr>
        <w:t>7.9 - A falta de entrega dos documentos/demonstração dentro do prazo estabelecido caracterizará desistência de proposta e a entrega em desconformidade com as especificações contidas no edital implicará em desclassificação.</w:t>
      </w:r>
    </w:p>
    <w:p>
      <w:pPr>
        <w:pStyle w:val="Nivel2"/>
        <w:tabs>
          <w:tab w:val="clear" w:pos="0"/>
        </w:tabs>
        <w:spacing w:lineRule="auto" w:line="360" w:before="0" w:after="0"/>
        <w:ind w:hanging="0" w:left="0"/>
        <w:rPr>
          <w:bCs/>
          <w:color w:val="auto"/>
          <w:sz w:val="22"/>
          <w:szCs w:val="22"/>
        </w:rPr>
      </w:pPr>
      <w:r>
        <w:rPr>
          <w:bCs/>
          <w:color w:val="auto"/>
          <w:sz w:val="22"/>
          <w:szCs w:val="22"/>
        </w:rPr>
        <w:t>7.10 - A documentação/demonstração será analisada por uma Comissão Técnica, a qual expedirá um relatório de análise, informando o atendimento integral ou não dos itens do Anexo I.3.</w:t>
      </w:r>
    </w:p>
    <w:p>
      <w:pPr>
        <w:pStyle w:val="Normal"/>
        <w:spacing w:lineRule="auto" w:line="360"/>
        <w:jc w:val="both"/>
        <w:rPr>
          <w:rFonts w:ascii="Arial" w:hAnsi="Arial" w:cs="Arial"/>
          <w:sz w:val="22"/>
          <w:szCs w:val="22"/>
        </w:rPr>
      </w:pPr>
      <w:r>
        <w:rPr>
          <w:rFonts w:cs="Arial" w:ascii="Arial" w:hAnsi="Arial"/>
          <w:sz w:val="22"/>
          <w:szCs w:val="22"/>
        </w:rPr>
        <w:t>7.11 - Aprovadas as documentações, na retomada da sessão o proponente será definitivamente declarado vencedor, sendo o processo encaminhado à adjudicação do objeto e homologação do procedimento.</w:t>
      </w:r>
    </w:p>
    <w:p>
      <w:pPr>
        <w:pStyle w:val="Nivel2"/>
        <w:tabs>
          <w:tab w:val="clear" w:pos="0"/>
        </w:tabs>
        <w:spacing w:lineRule="auto" w:line="360" w:before="0" w:after="0"/>
        <w:ind w:hanging="0" w:left="0"/>
        <w:rPr>
          <w:b/>
          <w:i/>
          <w:i/>
          <w:iCs/>
          <w:color w:val="auto"/>
          <w:sz w:val="22"/>
          <w:szCs w:val="22"/>
        </w:rPr>
      </w:pPr>
      <w:r>
        <w:rPr>
          <w:b/>
          <w:i/>
          <w:iCs/>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 FASE DE HABILITAÇÃO</w:t>
      </w:r>
    </w:p>
    <w:p>
      <w:pPr>
        <w:pStyle w:val="Nivel2"/>
        <w:numPr>
          <w:ilvl w:val="1"/>
          <w:numId w:val="3"/>
        </w:numPr>
        <w:spacing w:lineRule="auto" w:line="360"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3"/>
        </w:numPr>
        <w:spacing w:lineRule="auto" w:line="360" w:before="0" w:after="0"/>
        <w:ind w:hanging="0" w:left="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auto"/>
        </w:rPr>
        <w:instrText xml:space="preserve"> HYPERLINK "http://www.planalto.gov.br/ccivil_03/_ato2019-2022/2021/lei/L14133.htm" \l "art63"</w:instrText>
      </w:r>
      <w:r>
        <w:rPr>
          <w:rStyle w:val="Hyperlink"/>
          <w:sz w:val="22"/>
          <w:szCs w:val="22"/>
          <w:color w:val="auto"/>
        </w:rPr>
        <w:fldChar w:fldCharType="separate"/>
      </w:r>
      <w:r>
        <w:rPr>
          <w:rStyle w:val="Hyperlink"/>
          <w:color w:val="auto"/>
          <w:sz w:val="22"/>
          <w:szCs w:val="22"/>
        </w:rPr>
        <w:t>art. 63, I, da Lei nº 14.133/2021</w:t>
      </w:r>
      <w:r>
        <w:rPr>
          <w:rStyle w:val="Hyperlink"/>
          <w:sz w:val="22"/>
          <w:szCs w:val="22"/>
          <w:color w:val="auto"/>
        </w:rPr>
        <w:fldChar w:fldCharType="end"/>
      </w:r>
      <w:r>
        <w:rPr>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3"/>
        </w:numPr>
        <w:spacing w:lineRule="auto" w:line="360" w:before="0" w:after="0"/>
        <w:ind w:hanging="0" w:left="567"/>
        <w:rPr>
          <w:color w:val="auto"/>
          <w:sz w:val="22"/>
          <w:szCs w:val="22"/>
        </w:rPr>
      </w:pPr>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no prazo máximo de 02 (duas) horas, contado da solicitação do Agente de Contratação.</w:t>
      </w:r>
    </w:p>
    <w:p>
      <w:pPr>
        <w:pStyle w:val="Nivel2"/>
        <w:tabs>
          <w:tab w:val="clear" w:pos="0"/>
        </w:tabs>
        <w:spacing w:lineRule="auto" w:line="360" w:before="0" w:after="0"/>
        <w:ind w:hanging="0" w:left="0"/>
        <w:rPr>
          <w:color w:val="auto"/>
          <w:sz w:val="22"/>
          <w:szCs w:val="22"/>
        </w:rPr>
      </w:pPr>
      <w:r>
        <w:rPr>
          <w:color w:val="auto"/>
          <w:sz w:val="22"/>
          <w:szCs w:val="22"/>
        </w:rPr>
        <w:t>8.5 A exigência das documentações de habilitação somente será feita em relação ao licitante vencedor.</w:t>
      </w:r>
      <w:bookmarkStart w:id="19" w:name="_Hlk204237555"/>
    </w:p>
    <w:p>
      <w:pPr>
        <w:pStyle w:val="Nivel2"/>
        <w:tabs>
          <w:tab w:val="clear" w:pos="0"/>
        </w:tabs>
        <w:spacing w:lineRule="auto" w:line="360" w:before="0" w:after="0"/>
        <w:ind w:hanging="0" w:left="0"/>
        <w:rPr>
          <w:color w:val="auto"/>
          <w:sz w:val="22"/>
          <w:szCs w:val="22"/>
        </w:rPr>
      </w:pPr>
      <w:r>
        <w:rPr>
          <w:color w:val="auto"/>
          <w:sz w:val="22"/>
          <w:szCs w:val="22"/>
        </w:rPr>
        <w:t xml:space="preserve">8.6 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9"/>
    </w:p>
    <w:p>
      <w:pPr>
        <w:pStyle w:val="Nivel2"/>
        <w:tabs>
          <w:tab w:val="clear" w:pos="0"/>
        </w:tabs>
        <w:spacing w:lineRule="auto" w:line="360" w:before="0" w:after="0"/>
        <w:ind w:hanging="0" w:left="0"/>
        <w:rPr>
          <w:color w:val="auto"/>
          <w:sz w:val="22"/>
          <w:szCs w:val="22"/>
        </w:rPr>
      </w:pPr>
      <w:r>
        <w:rPr>
          <w:color w:val="auto"/>
          <w:sz w:val="22"/>
          <w:szCs w:val="22"/>
        </w:rPr>
        <w:t>8.7 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1"/>
          <w:color w:val="auto"/>
          <w:sz w:val="22"/>
          <w:szCs w:val="22"/>
        </w:rPr>
        <w:t>)</w:t>
      </w:r>
    </w:p>
    <w:p>
      <w:pPr>
        <w:pStyle w:val="Nivel3"/>
        <w:tabs>
          <w:tab w:val="clear" w:pos="0"/>
        </w:tabs>
        <w:spacing w:lineRule="auto" w:line="360" w:before="0" w:after="0"/>
        <w:ind w:hanging="0" w:left="1134"/>
        <w:rPr>
          <w:color w:val="auto"/>
          <w:sz w:val="22"/>
          <w:szCs w:val="22"/>
        </w:rPr>
      </w:pPr>
      <w:r>
        <w:rPr>
          <w:color w:val="auto"/>
          <w:sz w:val="22"/>
          <w:szCs w:val="22"/>
        </w:rPr>
        <w:t>8.7.1 Complementação de informações acerca dos documentos já apresentados pelos licitantes e desde que necessária para apurar fatos existentes à época da abertura do certame; e</w:t>
      </w:r>
    </w:p>
    <w:p>
      <w:pPr>
        <w:pStyle w:val="Nivel3"/>
        <w:tabs>
          <w:tab w:val="clear" w:pos="0"/>
        </w:tabs>
        <w:spacing w:lineRule="auto" w:line="360" w:before="0" w:after="0"/>
        <w:ind w:hanging="0" w:left="1134"/>
        <w:rPr>
          <w:color w:val="auto"/>
          <w:sz w:val="22"/>
          <w:szCs w:val="22"/>
        </w:rPr>
      </w:pPr>
      <w:r>
        <w:rPr>
          <w:color w:val="auto"/>
          <w:sz w:val="22"/>
          <w:szCs w:val="22"/>
        </w:rPr>
        <w:t>8.7.2 Atualização de documentos cuja validade tenha expirado após a data de recebimento das propostas;</w:t>
      </w:r>
    </w:p>
    <w:p>
      <w:pPr>
        <w:pStyle w:val="Nivel2"/>
        <w:tabs>
          <w:tab w:val="clear" w:pos="0"/>
        </w:tabs>
        <w:spacing w:lineRule="auto" w:line="360" w:before="0" w:after="0"/>
        <w:ind w:hanging="0" w:left="0"/>
        <w:rPr>
          <w:color w:val="auto"/>
          <w:sz w:val="22"/>
          <w:szCs w:val="22"/>
        </w:rPr>
      </w:pPr>
      <w:r>
        <w:rPr>
          <w:color w:val="auto"/>
          <w:sz w:val="22"/>
          <w:szCs w:val="22"/>
        </w:rPr>
        <w:t>8.8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tabs>
          <w:tab w:val="clear" w:pos="0"/>
        </w:tabs>
        <w:spacing w:lineRule="auto" w:line="360" w:before="0" w:after="0"/>
        <w:ind w:hanging="0" w:left="0"/>
        <w:rPr>
          <w:color w:val="auto"/>
          <w:sz w:val="22"/>
          <w:szCs w:val="22"/>
        </w:rPr>
      </w:pPr>
      <w:r>
        <w:rPr>
          <w:color w:val="auto"/>
          <w:sz w:val="22"/>
          <w:szCs w:val="22"/>
        </w:rPr>
        <w:t>8.9 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8.4.1.</w:t>
      </w:r>
    </w:p>
    <w:p>
      <w:pPr>
        <w:pStyle w:val="Nivel2"/>
        <w:tabs>
          <w:tab w:val="clear" w:pos="0"/>
        </w:tabs>
        <w:spacing w:lineRule="auto" w:line="360" w:before="0" w:after="0"/>
        <w:ind w:hanging="0" w:left="0"/>
        <w:rPr>
          <w:color w:val="auto"/>
          <w:sz w:val="22"/>
          <w:szCs w:val="22"/>
        </w:rPr>
      </w:pPr>
      <w:r>
        <w:rPr>
          <w:color w:val="auto"/>
          <w:sz w:val="22"/>
          <w:szCs w:val="22"/>
        </w:rPr>
        <w:t>8.10 Somente serão disponibilizados para acesso público os documentos de habilitação do licitante cuja proposta atenda ao edital de licitação, após concluídos os procedimentos de que trata o subitem anterior.</w:t>
      </w:r>
      <w:bookmarkStart w:id="20" w:name="_Hlk204237715"/>
    </w:p>
    <w:p>
      <w:pPr>
        <w:pStyle w:val="Nivel2"/>
        <w:tabs>
          <w:tab w:val="clear" w:pos="0"/>
        </w:tabs>
        <w:spacing w:lineRule="auto" w:line="360" w:before="0" w:after="0"/>
        <w:ind w:hanging="0" w:left="0"/>
        <w:rPr>
          <w:rFonts w:eastAsia="Times New Roman"/>
          <w:color w:val="auto"/>
          <w:kern w:val="2"/>
          <w:sz w:val="22"/>
          <w:szCs w:val="22"/>
        </w:rPr>
      </w:pPr>
      <w:bookmarkStart w:id="21" w:name="_Hlk211953878"/>
      <w:r>
        <w:rPr>
          <w:color w:val="auto"/>
          <w:sz w:val="22"/>
          <w:szCs w:val="22"/>
        </w:rPr>
        <w:t xml:space="preserve">8.11 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bookmarkEnd w:id="21"/>
      <w:r>
        <w:rPr>
          <w:rFonts w:eastAsia="Times New Roman"/>
          <w:color w:val="auto"/>
          <w:kern w:val="2"/>
          <w:sz w:val="22"/>
          <w:szCs w:val="22"/>
        </w:rPr>
        <w:t>:</w:t>
      </w:r>
    </w:p>
    <w:p>
      <w:pPr>
        <w:pStyle w:val="Normal"/>
        <w:spacing w:lineRule="auto" w:line="360" w:before="0" w:after="160"/>
        <w:ind w:left="1134"/>
        <w:jc w:val="both"/>
        <w:rPr>
          <w:rFonts w:ascii="Arial" w:hAnsi="Arial" w:cs="Arial"/>
          <w:sz w:val="22"/>
          <w:szCs w:val="22"/>
        </w:rPr>
      </w:pPr>
      <w:bookmarkStart w:id="22" w:name="_Hlk211953898"/>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8"/>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ind w:left="0"/>
        <w:jc w:val="both"/>
        <w:rPr>
          <w:rFonts w:ascii="Arial" w:hAnsi="Arial" w:cs="Arial"/>
          <w:sz w:val="22"/>
          <w:szCs w:val="22"/>
        </w:rPr>
      </w:pPr>
      <w:bookmarkStart w:id="23" w:name="_Hlk211953898"/>
      <w:r>
        <w:rPr>
          <w:rFonts w:cs="Arial" w:ascii="Arial" w:hAnsi="Arial"/>
          <w:sz w:val="22"/>
          <w:szCs w:val="22"/>
        </w:rPr>
        <w:t>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bookmarkEnd w:id="23"/>
      <w:r>
        <w:rPr>
          <w:rFonts w:cs="Arial" w:ascii="Arial" w:hAnsi="Arial"/>
          <w:sz w:val="22"/>
          <w:szCs w:val="22"/>
        </w:rPr>
        <w:t xml:space="preserve">. </w:t>
      </w:r>
      <w:bookmarkEnd w:id="20"/>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DOS RECURSOS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3"/>
        </w:numPr>
        <w:suppressAutoHyphens w:val="false"/>
        <w:spacing w:lineRule="auto" w:line="360" w:before="0" w:after="0"/>
        <w:ind w:hanging="7" w:left="0"/>
        <w:contextualSpacing w:val="false"/>
        <w:jc w:val="both"/>
        <w:rPr>
          <w:rFonts w:ascii="Arial" w:hAnsi="Arial" w:cs="Arial"/>
          <w:sz w:val="22"/>
          <w:szCs w:val="22"/>
        </w:rPr>
      </w:pPr>
      <w:bookmarkStart w:id="24" w:name="_Hlk211953982"/>
      <w:r>
        <w:rPr>
          <w:rFonts w:cs="Arial" w:ascii="Arial" w:hAnsi="Arial"/>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bookmarkEnd w:id="24"/>
      <w:r>
        <w:rPr>
          <w:rFonts w:cs="Arial" w:ascii="Arial" w:hAnsi="Arial"/>
          <w:sz w:val="22"/>
          <w:szCs w:val="22"/>
        </w:rPr>
        <w:t>.</w:t>
      </w:r>
    </w:p>
    <w:p>
      <w:pPr>
        <w:pStyle w:val="ListParagraph"/>
        <w:widowControl w:val="false"/>
        <w:numPr>
          <w:ilvl w:val="1"/>
          <w:numId w:val="3"/>
        </w:numPr>
        <w:suppressAutoHyphens w:val="false"/>
        <w:spacing w:lineRule="auto" w:line="360" w:before="0" w:after="0"/>
        <w:ind w:hanging="7" w:left="0"/>
        <w:contextualSpacing w:val="false"/>
        <w:jc w:val="both"/>
        <w:rPr>
          <w:rFonts w:ascii="Arial" w:hAnsi="Arial" w:cs="Arial"/>
          <w:sz w:val="22"/>
          <w:szCs w:val="22"/>
        </w:rPr>
      </w:pPr>
      <w:bookmarkStart w:id="25" w:name="_Hlk211954016"/>
      <w:r>
        <w:rPr>
          <w:rFonts w:cs="Arial" w:ascii="Arial" w:hAnsi="Arial"/>
          <w:sz w:val="22"/>
          <w:szCs w:val="22"/>
        </w:rPr>
        <w:t xml:space="preserve">O tempo para manifestação da intenção de recurso será de </w:t>
      </w:r>
      <w:r>
        <w:rPr>
          <w:rFonts w:cs="Arial" w:ascii="Arial" w:hAnsi="Arial"/>
          <w:b/>
          <w:bCs/>
          <w:sz w:val="22"/>
          <w:szCs w:val="22"/>
        </w:rPr>
        <w:t>5 minutos após o Julgamento e Aceitação das Propostas</w:t>
      </w:r>
      <w:r>
        <w:rPr>
          <w:rFonts w:cs="Arial" w:ascii="Arial" w:hAnsi="Arial"/>
          <w:sz w:val="22"/>
          <w:szCs w:val="22"/>
        </w:rPr>
        <w:t xml:space="preserve"> e de </w:t>
      </w:r>
      <w:r>
        <w:rPr>
          <w:rFonts w:cs="Arial" w:ascii="Arial" w:hAnsi="Arial"/>
          <w:b/>
          <w:bCs/>
          <w:sz w:val="22"/>
          <w:szCs w:val="22"/>
        </w:rPr>
        <w:t>10 minutos após a etapa de Habilitação</w:t>
      </w:r>
      <w:r>
        <w:rPr>
          <w:rFonts w:cs="Arial" w:ascii="Arial" w:hAnsi="Arial"/>
          <w:sz w:val="22"/>
          <w:szCs w:val="22"/>
        </w:rPr>
        <w:t>.</w:t>
      </w:r>
    </w:p>
    <w:p>
      <w:pPr>
        <w:pStyle w:val="ListParagraph"/>
        <w:widowControl w:val="false"/>
        <w:numPr>
          <w:ilvl w:val="1"/>
          <w:numId w:val="3"/>
        </w:numPr>
        <w:tabs>
          <w:tab w:val="clear" w:pos="708"/>
          <w:tab w:val="left" w:pos="786" w:leader="none"/>
        </w:tabs>
        <w:suppressAutoHyphens w:val="false"/>
        <w:spacing w:lineRule="auto" w:line="360" w:before="0" w:after="0"/>
        <w:ind w:hanging="7" w:left="0" w:right="152"/>
        <w:contextualSpacing w:val="false"/>
        <w:jc w:val="both"/>
        <w:rPr>
          <w:rFonts w:ascii="Arial" w:hAnsi="Arial" w:cs="Arial"/>
          <w:sz w:val="22"/>
          <w:szCs w:val="22"/>
        </w:rPr>
      </w:pPr>
      <w:r>
        <w:rPr>
          <w:rFonts w:cs="Arial" w:ascii="Arial" w:hAnsi="Arial"/>
          <w:sz w:val="22"/>
          <w:szCs w:val="22"/>
        </w:rPr>
        <w:t>O licitante que manifestar a intenção de recurso, disporá do prazo de 03 (três) dias úteis para a apresentação das</w:t>
      </w:r>
      <w:r>
        <w:rPr>
          <w:rFonts w:cs="Arial" w:ascii="Arial" w:hAnsi="Arial"/>
          <w:spacing w:val="1"/>
          <w:sz w:val="22"/>
          <w:szCs w:val="22"/>
        </w:rPr>
        <w:t xml:space="preserve"> </w:t>
      </w:r>
      <w:r>
        <w:rPr>
          <w:rFonts w:cs="Arial" w:ascii="Arial" w:hAnsi="Arial"/>
          <w:sz w:val="22"/>
          <w:szCs w:val="22"/>
        </w:rPr>
        <w:t>razões do recurso, por meio do sistema, que será disponibilizado a</w:t>
      </w:r>
      <w:r>
        <w:rPr>
          <w:rFonts w:cs="Arial" w:ascii="Arial" w:hAnsi="Arial"/>
          <w:spacing w:val="-57"/>
          <w:sz w:val="22"/>
          <w:szCs w:val="22"/>
        </w:rPr>
        <w:t xml:space="preserve"> </w:t>
      </w:r>
      <w:r>
        <w:rPr>
          <w:rFonts w:cs="Arial" w:ascii="Arial" w:hAnsi="Arial"/>
          <w:sz w:val="22"/>
          <w:szCs w:val="22"/>
        </w:rPr>
        <w:t>todos</w:t>
      </w:r>
      <w:r>
        <w:rPr>
          <w:rFonts w:cs="Arial" w:ascii="Arial" w:hAnsi="Arial"/>
          <w:spacing w:val="1"/>
          <w:sz w:val="22"/>
          <w:szCs w:val="22"/>
        </w:rPr>
        <w:t xml:space="preserve"> </w:t>
      </w:r>
      <w:r>
        <w:rPr>
          <w:rFonts w:cs="Arial" w:ascii="Arial" w:hAnsi="Arial"/>
          <w:sz w:val="22"/>
          <w:szCs w:val="22"/>
        </w:rPr>
        <w:t>os</w:t>
      </w:r>
      <w:r>
        <w:rPr>
          <w:rFonts w:cs="Arial" w:ascii="Arial" w:hAnsi="Arial"/>
          <w:spacing w:val="1"/>
          <w:sz w:val="22"/>
          <w:szCs w:val="22"/>
        </w:rPr>
        <w:t xml:space="preserve"> </w:t>
      </w:r>
      <w:r>
        <w:rPr>
          <w:rFonts w:cs="Arial" w:ascii="Arial" w:hAnsi="Arial"/>
          <w:sz w:val="22"/>
          <w:szCs w:val="22"/>
        </w:rPr>
        <w:t>participantes,</w:t>
      </w:r>
      <w:r>
        <w:rPr>
          <w:rFonts w:cs="Arial" w:ascii="Arial" w:hAnsi="Arial"/>
          <w:spacing w:val="1"/>
          <w:sz w:val="22"/>
          <w:szCs w:val="22"/>
        </w:rPr>
        <w:t xml:space="preserve"> </w:t>
      </w:r>
      <w:r>
        <w:rPr>
          <w:rFonts w:cs="Arial" w:ascii="Arial" w:hAnsi="Arial"/>
          <w:sz w:val="22"/>
          <w:szCs w:val="22"/>
        </w:rPr>
        <w:t>ficando</w:t>
      </w:r>
      <w:r>
        <w:rPr>
          <w:rFonts w:cs="Arial" w:ascii="Arial" w:hAnsi="Arial"/>
          <w:spacing w:val="1"/>
          <w:sz w:val="22"/>
          <w:szCs w:val="22"/>
        </w:rPr>
        <w:t xml:space="preserve"> </w:t>
      </w:r>
      <w:r>
        <w:rPr>
          <w:rFonts w:cs="Arial" w:ascii="Arial" w:hAnsi="Arial"/>
          <w:sz w:val="22"/>
          <w:szCs w:val="22"/>
        </w:rPr>
        <w:t>as</w:t>
      </w:r>
      <w:r>
        <w:rPr>
          <w:rFonts w:cs="Arial" w:ascii="Arial" w:hAnsi="Arial"/>
          <w:spacing w:val="1"/>
          <w:sz w:val="22"/>
          <w:szCs w:val="22"/>
        </w:rPr>
        <w:t xml:space="preserve"> </w:t>
      </w:r>
      <w:r>
        <w:rPr>
          <w:rFonts w:cs="Arial" w:ascii="Arial" w:hAnsi="Arial"/>
          <w:sz w:val="22"/>
          <w:szCs w:val="22"/>
        </w:rPr>
        <w:t>demais</w:t>
      </w:r>
      <w:r>
        <w:rPr>
          <w:rFonts w:cs="Arial" w:ascii="Arial" w:hAnsi="Arial"/>
          <w:spacing w:val="1"/>
          <w:sz w:val="22"/>
          <w:szCs w:val="22"/>
        </w:rPr>
        <w:t xml:space="preserve"> </w:t>
      </w:r>
      <w:r>
        <w:rPr>
          <w:rFonts w:cs="Arial" w:ascii="Arial" w:hAnsi="Arial"/>
          <w:sz w:val="22"/>
          <w:szCs w:val="22"/>
        </w:rPr>
        <w:t>desde</w:t>
      </w:r>
      <w:r>
        <w:rPr>
          <w:rFonts w:cs="Arial" w:ascii="Arial" w:hAnsi="Arial"/>
          <w:spacing w:val="1"/>
          <w:sz w:val="22"/>
          <w:szCs w:val="22"/>
        </w:rPr>
        <w:t xml:space="preserve"> </w:t>
      </w:r>
      <w:r>
        <w:rPr>
          <w:rFonts w:cs="Arial" w:ascii="Arial" w:hAnsi="Arial"/>
          <w:sz w:val="22"/>
          <w:szCs w:val="22"/>
        </w:rPr>
        <w:t>logo</w:t>
      </w:r>
      <w:r>
        <w:rPr>
          <w:rFonts w:cs="Arial" w:ascii="Arial" w:hAnsi="Arial"/>
          <w:spacing w:val="1"/>
          <w:sz w:val="22"/>
          <w:szCs w:val="22"/>
        </w:rPr>
        <w:t xml:space="preserve"> </w:t>
      </w:r>
      <w:r>
        <w:rPr>
          <w:rFonts w:cs="Arial" w:ascii="Arial" w:hAnsi="Arial"/>
          <w:sz w:val="22"/>
          <w:szCs w:val="22"/>
        </w:rPr>
        <w:t>intimados</w:t>
      </w:r>
      <w:r>
        <w:rPr>
          <w:rFonts w:cs="Arial" w:ascii="Arial" w:hAnsi="Arial"/>
          <w:spacing w:val="1"/>
          <w:sz w:val="22"/>
          <w:szCs w:val="22"/>
        </w:rPr>
        <w:t xml:space="preserve"> </w:t>
      </w:r>
      <w:r>
        <w:rPr>
          <w:rFonts w:cs="Arial" w:ascii="Arial" w:hAnsi="Arial"/>
          <w:sz w:val="22"/>
          <w:szCs w:val="22"/>
        </w:rPr>
        <w:t>para</w:t>
      </w:r>
      <w:r>
        <w:rPr>
          <w:rFonts w:cs="Arial" w:ascii="Arial" w:hAnsi="Arial"/>
          <w:spacing w:val="1"/>
          <w:sz w:val="22"/>
          <w:szCs w:val="22"/>
        </w:rPr>
        <w:t xml:space="preserve"> </w:t>
      </w:r>
      <w:r>
        <w:rPr>
          <w:rFonts w:cs="Arial" w:ascii="Arial" w:hAnsi="Arial"/>
          <w:sz w:val="22"/>
          <w:szCs w:val="22"/>
        </w:rPr>
        <w:t>apresentar</w:t>
      </w:r>
      <w:r>
        <w:rPr>
          <w:rFonts w:cs="Arial" w:ascii="Arial" w:hAnsi="Arial"/>
          <w:spacing w:val="1"/>
          <w:sz w:val="22"/>
          <w:szCs w:val="22"/>
        </w:rPr>
        <w:t xml:space="preserve"> </w:t>
      </w:r>
      <w:r>
        <w:rPr>
          <w:rFonts w:cs="Arial" w:ascii="Arial" w:hAnsi="Arial"/>
          <w:sz w:val="22"/>
          <w:szCs w:val="22"/>
        </w:rPr>
        <w:t>as</w:t>
      </w:r>
      <w:r>
        <w:rPr>
          <w:rFonts w:cs="Arial" w:ascii="Arial" w:hAnsi="Arial"/>
          <w:spacing w:val="1"/>
          <w:sz w:val="22"/>
          <w:szCs w:val="22"/>
        </w:rPr>
        <w:t xml:space="preserve"> </w:t>
      </w:r>
      <w:r>
        <w:rPr>
          <w:rFonts w:cs="Arial" w:ascii="Arial" w:hAnsi="Arial"/>
          <w:sz w:val="22"/>
          <w:szCs w:val="22"/>
        </w:rPr>
        <w:t>contrarrazões em igual número de dias.</w:t>
      </w:r>
    </w:p>
    <w:p>
      <w:pPr>
        <w:pStyle w:val="ListParagraph"/>
        <w:widowControl w:val="false"/>
        <w:numPr>
          <w:ilvl w:val="1"/>
          <w:numId w:val="3"/>
        </w:numPr>
        <w:tabs>
          <w:tab w:val="clear" w:pos="708"/>
          <w:tab w:val="left" w:pos="756" w:leader="none"/>
        </w:tabs>
        <w:suppressAutoHyphens w:val="false"/>
        <w:spacing w:lineRule="auto" w:line="360" w:before="0" w:after="0"/>
        <w:ind w:hanging="7" w:left="0" w:right="159"/>
        <w:contextualSpacing w:val="false"/>
        <w:jc w:val="both"/>
        <w:rPr>
          <w:rFonts w:ascii="Arial" w:hAnsi="Arial" w:cs="Arial"/>
          <w:sz w:val="22"/>
          <w:szCs w:val="22"/>
        </w:rPr>
      </w:pPr>
      <w:r>
        <w:rPr>
          <w:rFonts w:cs="Arial" w:ascii="Arial" w:hAnsi="Arial"/>
          <w:sz w:val="22"/>
          <w:szCs w:val="22"/>
        </w:rPr>
        <w:t>Os recursos deverão ser encaminhados em campo próprio do sistema durante a fase de Recurso e Contrarrazão pelos licitantes que manifestaram intenção de recorrer.</w:t>
      </w:r>
    </w:p>
    <w:p>
      <w:pPr>
        <w:pStyle w:val="ListParagraph"/>
        <w:widowControl w:val="false"/>
        <w:numPr>
          <w:ilvl w:val="1"/>
          <w:numId w:val="3"/>
        </w:numPr>
        <w:tabs>
          <w:tab w:val="clear" w:pos="708"/>
          <w:tab w:val="left" w:pos="756" w:leader="none"/>
        </w:tabs>
        <w:suppressAutoHyphens w:val="false"/>
        <w:spacing w:lineRule="auto" w:line="360" w:before="0" w:after="0"/>
        <w:ind w:hanging="7" w:left="0" w:right="159"/>
        <w:contextualSpacing w:val="false"/>
        <w:jc w:val="both"/>
        <w:rPr>
          <w:rFonts w:ascii="Arial" w:hAnsi="Arial" w:cs="Arial"/>
          <w:sz w:val="22"/>
          <w:szCs w:val="22"/>
        </w:rPr>
      </w:pPr>
      <w:r>
        <w:rPr>
          <w:rFonts w:cs="Arial" w:ascii="Arial" w:hAnsi="Arial"/>
          <w:sz w:val="22"/>
          <w:szCs w:val="22"/>
        </w:rPr>
        <w:t>O acolhimento do recurso importará na invalidação apenas dos atos insuscetíveis de</w:t>
      </w:r>
      <w:r>
        <w:rPr>
          <w:rFonts w:cs="Arial" w:ascii="Arial" w:hAnsi="Arial"/>
          <w:spacing w:val="1"/>
          <w:sz w:val="22"/>
          <w:szCs w:val="22"/>
        </w:rPr>
        <w:t xml:space="preserve"> </w:t>
      </w:r>
      <w:r>
        <w:rPr>
          <w:rFonts w:cs="Arial" w:ascii="Arial" w:hAnsi="Arial"/>
          <w:sz w:val="22"/>
          <w:szCs w:val="22"/>
        </w:rPr>
        <w:t>aproveitamento.</w:t>
      </w:r>
    </w:p>
    <w:p>
      <w:pPr>
        <w:pStyle w:val="ListParagraph"/>
        <w:widowControl w:val="false"/>
        <w:numPr>
          <w:ilvl w:val="1"/>
          <w:numId w:val="3"/>
        </w:numPr>
        <w:tabs>
          <w:tab w:val="clear" w:pos="708"/>
          <w:tab w:val="left" w:pos="756" w:leader="none"/>
        </w:tabs>
        <w:suppressAutoHyphens w:val="false"/>
        <w:spacing w:lineRule="auto" w:line="360" w:before="0" w:after="0"/>
        <w:ind w:hanging="7" w:left="0" w:right="157"/>
        <w:contextualSpacing w:val="false"/>
        <w:jc w:val="both"/>
        <w:rPr>
          <w:rFonts w:ascii="Arial" w:hAnsi="Arial" w:cs="Arial"/>
          <w:sz w:val="22"/>
          <w:szCs w:val="22"/>
        </w:rPr>
      </w:pPr>
      <w:r>
        <w:rPr>
          <w:rFonts w:cs="Arial" w:ascii="Arial" w:hAnsi="Arial"/>
          <w:sz w:val="22"/>
          <w:szCs w:val="22"/>
        </w:rPr>
        <w:t>Não serão conhecidos os recursos interpostos após os respectivos prazos legais, bem</w:t>
      </w:r>
      <w:r>
        <w:rPr>
          <w:rFonts w:cs="Arial" w:ascii="Arial" w:hAnsi="Arial"/>
          <w:spacing w:val="1"/>
          <w:sz w:val="22"/>
          <w:szCs w:val="22"/>
        </w:rPr>
        <w:t xml:space="preserve"> </w:t>
      </w:r>
      <w:r>
        <w:rPr>
          <w:rFonts w:cs="Arial" w:ascii="Arial" w:hAnsi="Arial"/>
          <w:sz w:val="22"/>
          <w:szCs w:val="22"/>
        </w:rPr>
        <w:t>como os encaminhados por fax, correios ou entregues pessoalmente, ou outros meios que não a plataforma eletrônica.</w:t>
      </w:r>
    </w:p>
    <w:p>
      <w:pPr>
        <w:pStyle w:val="ListParagraph"/>
        <w:widowControl w:val="false"/>
        <w:numPr>
          <w:ilvl w:val="1"/>
          <w:numId w:val="3"/>
        </w:numPr>
        <w:tabs>
          <w:tab w:val="clear" w:pos="708"/>
          <w:tab w:val="left" w:pos="756" w:leader="none"/>
        </w:tabs>
        <w:suppressAutoHyphens w:val="false"/>
        <w:spacing w:lineRule="auto" w:line="360" w:before="0" w:after="0"/>
        <w:ind w:hanging="7" w:left="0" w:right="153"/>
        <w:contextualSpacing w:val="false"/>
        <w:jc w:val="both"/>
        <w:rPr>
          <w:rFonts w:ascii="Arial" w:hAnsi="Arial" w:cs="Arial"/>
          <w:sz w:val="22"/>
          <w:szCs w:val="22"/>
        </w:rPr>
      </w:pPr>
      <w:r>
        <w:rPr>
          <w:rFonts w:cs="Arial" w:ascii="Arial" w:hAnsi="Arial"/>
          <w:sz w:val="22"/>
          <w:szCs w:val="22"/>
        </w:rPr>
        <w:t>Decairá do direito de impugnar, perante a Administração, os termos desta licitação, o licitante que, aceitando-os sem objeção, venha apontar, depois do julgamento, falhas ou</w:t>
      </w:r>
      <w:r>
        <w:rPr>
          <w:rFonts w:cs="Arial" w:ascii="Arial" w:hAnsi="Arial"/>
          <w:spacing w:val="1"/>
          <w:sz w:val="22"/>
          <w:szCs w:val="22"/>
        </w:rPr>
        <w:t xml:space="preserve"> </w:t>
      </w:r>
      <w:r>
        <w:rPr>
          <w:rFonts w:cs="Arial" w:ascii="Arial" w:hAnsi="Arial"/>
          <w:sz w:val="22"/>
          <w:szCs w:val="22"/>
        </w:rPr>
        <w:t>irregularidades que a viciaram, hipótese em que tal comunicação não terá efeito de recurso.</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Os recursos interpostos fora do prazo não serão conhecidos. </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tabs>
          <w:tab w:val="clear" w:pos="0"/>
        </w:tabs>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3"/>
        </w:numPr>
        <w:tabs>
          <w:tab w:val="clear" w:pos="0"/>
        </w:tabs>
        <w:spacing w:lineRule="auto" w:line="360" w:before="0" w:after="0"/>
        <w:ind w:hanging="0" w:left="0"/>
        <w:rPr>
          <w:color w:val="auto"/>
          <w:sz w:val="22"/>
          <w:szCs w:val="22"/>
        </w:rPr>
      </w:pPr>
      <w:bookmarkStart w:id="26" w:name="_Hlk211954016"/>
      <w:r>
        <w:rPr>
          <w:color w:val="auto"/>
          <w:sz w:val="22"/>
          <w:szCs w:val="22"/>
        </w:rPr>
        <w:t>Os autos do processo permanecerão com vista franqueada aos interessados, na Seção de Licitações, localizada na Avenida Luciano Consoline, 600 – Jardim de Lucca, Itatiba/SP</w:t>
      </w:r>
      <w:bookmarkEnd w:id="26"/>
      <w:r>
        <w:rPr>
          <w:color w:val="auto"/>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DAS INFRAÇÕES ADMINISTRATIVAS E SANÇÕES</w:t>
      </w:r>
    </w:p>
    <w:p>
      <w:pPr>
        <w:pStyle w:val="Nivel2"/>
        <w:numPr>
          <w:ilvl w:val="1"/>
          <w:numId w:val="3"/>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3"/>
        </w:numPr>
        <w:spacing w:lineRule="auto" w:line="360" w:before="0" w:after="0"/>
        <w:ind w:hanging="0" w:left="567"/>
        <w:rPr>
          <w:color w:val="auto"/>
          <w:sz w:val="22"/>
          <w:szCs w:val="22"/>
        </w:rPr>
      </w:pPr>
      <w:bookmarkStart w:id="27" w:name="_Hlk114652595"/>
      <w:bookmarkStart w:id="28" w:name="_Ref114668085"/>
      <w:r>
        <w:rPr>
          <w:color w:val="auto"/>
          <w:sz w:val="22"/>
          <w:szCs w:val="22"/>
        </w:rPr>
        <w:t>deixar de entregar a documentação exigida para o certame ou não entregar qualquer documento que tenha sido solicitado pelo/a pregoeiro/a durante o certame;</w:t>
      </w:r>
      <w:bookmarkEnd w:id="28"/>
    </w:p>
    <w:p>
      <w:pPr>
        <w:pStyle w:val="Nivel3"/>
        <w:numPr>
          <w:ilvl w:val="2"/>
          <w:numId w:val="3"/>
        </w:numPr>
        <w:spacing w:lineRule="auto" w:line="360" w:before="0" w:after="0"/>
        <w:ind w:hanging="0" w:left="567"/>
        <w:rPr>
          <w:color w:val="auto"/>
          <w:sz w:val="22"/>
          <w:szCs w:val="22"/>
        </w:rPr>
      </w:pPr>
      <w:bookmarkStart w:id="29" w:name="_Ref114668108"/>
      <w:r>
        <w:rPr>
          <w:color w:val="auto"/>
          <w:sz w:val="22"/>
          <w:szCs w:val="22"/>
        </w:rPr>
        <w:t>Salvo em decorrência de fato superveniente devidamente justificado, não mantiver a proposta em especial quando:</w:t>
      </w:r>
      <w:bookmarkEnd w:id="29"/>
    </w:p>
    <w:p>
      <w:pPr>
        <w:pStyle w:val="Nivel4"/>
        <w:numPr>
          <w:ilvl w:val="3"/>
          <w:numId w:val="3"/>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3"/>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3"/>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3"/>
        </w:numPr>
        <w:spacing w:lineRule="auto" w:line="360" w:before="0" w:after="0"/>
        <w:ind w:hanging="0" w:left="567"/>
        <w:rPr>
          <w:color w:val="auto"/>
          <w:sz w:val="22"/>
          <w:szCs w:val="22"/>
        </w:rPr>
      </w:pPr>
      <w:bookmarkStart w:id="30" w:name="_Ref114668139"/>
      <w:r>
        <w:rPr>
          <w:color w:val="auto"/>
          <w:sz w:val="22"/>
          <w:szCs w:val="22"/>
        </w:rPr>
        <w:t>não celebrar o contrato ou não entregar a documentação exigida para a contratação, quando convocado dentro do prazo de validade de sua proposta;</w:t>
      </w:r>
      <w:bookmarkEnd w:id="30"/>
    </w:p>
    <w:p>
      <w:pPr>
        <w:pStyle w:val="Nivel4"/>
        <w:numPr>
          <w:ilvl w:val="3"/>
          <w:numId w:val="3"/>
        </w:numPr>
        <w:spacing w:lineRule="auto" w:line="360" w:before="0" w:after="0"/>
        <w:ind w:hanging="0" w:left="1134"/>
        <w:rPr>
          <w:color w:val="auto"/>
          <w:sz w:val="22"/>
          <w:szCs w:val="22"/>
        </w:rPr>
      </w:pPr>
      <w:r>
        <w:rPr>
          <w:color w:val="auto"/>
          <w:sz w:val="22"/>
          <w:szCs w:val="22"/>
        </w:rPr>
        <w:t>recusar-se, sem justificativa, a assinar o contrato, ou a aceitar ou retirar o instrumento equivalente no prazo estabelecido pela Administração;</w:t>
      </w:r>
    </w:p>
    <w:p>
      <w:pPr>
        <w:pStyle w:val="Nivel3"/>
        <w:numPr>
          <w:ilvl w:val="2"/>
          <w:numId w:val="3"/>
        </w:numPr>
        <w:spacing w:lineRule="auto" w:line="360" w:before="0" w:after="0"/>
        <w:ind w:hanging="0" w:left="567"/>
        <w:rPr>
          <w:color w:val="auto"/>
          <w:sz w:val="22"/>
          <w:szCs w:val="22"/>
        </w:rPr>
      </w:pPr>
      <w:bookmarkStart w:id="31" w:name="_Ref114668249"/>
      <w:r>
        <w:rPr>
          <w:color w:val="auto"/>
          <w:sz w:val="22"/>
          <w:szCs w:val="22"/>
        </w:rPr>
        <w:t>apresentar declaração ou documentação falsa exigida para o certame ou prestar declaração falsa durante a licitação</w:t>
      </w:r>
      <w:bookmarkEnd w:id="31"/>
    </w:p>
    <w:p>
      <w:pPr>
        <w:pStyle w:val="Nivel3"/>
        <w:numPr>
          <w:ilvl w:val="2"/>
          <w:numId w:val="3"/>
        </w:numPr>
        <w:spacing w:lineRule="auto" w:line="360" w:before="0" w:after="0"/>
        <w:ind w:hanging="0" w:left="567"/>
        <w:rPr>
          <w:color w:val="auto"/>
          <w:sz w:val="22"/>
          <w:szCs w:val="22"/>
        </w:rPr>
      </w:pPr>
      <w:bookmarkStart w:id="32" w:name="_Ref114668245"/>
      <w:r>
        <w:rPr>
          <w:color w:val="auto"/>
          <w:sz w:val="22"/>
          <w:szCs w:val="22"/>
        </w:rPr>
        <w:t>fraudar a licitação</w:t>
      </w:r>
      <w:bookmarkEnd w:id="32"/>
    </w:p>
    <w:p>
      <w:pPr>
        <w:pStyle w:val="Nivel3"/>
        <w:numPr>
          <w:ilvl w:val="2"/>
          <w:numId w:val="3"/>
        </w:numPr>
        <w:spacing w:lineRule="auto" w:line="360" w:before="0" w:after="0"/>
        <w:ind w:hanging="0" w:left="567"/>
        <w:rPr>
          <w:color w:val="auto"/>
          <w:sz w:val="22"/>
          <w:szCs w:val="22"/>
        </w:rPr>
      </w:pPr>
      <w:bookmarkStart w:id="33" w:name="_Ref114668247"/>
      <w:r>
        <w:rPr>
          <w:color w:val="auto"/>
          <w:sz w:val="22"/>
          <w:szCs w:val="22"/>
        </w:rPr>
        <w:t>comportar-se de modo inidôneo ou cometer fraude de qualquer natureza, em especial quando:</w:t>
      </w:r>
      <w:bookmarkEnd w:id="33"/>
    </w:p>
    <w:p>
      <w:pPr>
        <w:pStyle w:val="Nivel4"/>
        <w:numPr>
          <w:ilvl w:val="3"/>
          <w:numId w:val="3"/>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3"/>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3"/>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3"/>
        </w:numPr>
        <w:spacing w:lineRule="auto" w:line="360" w:before="0" w:after="0"/>
        <w:ind w:hanging="0" w:left="567"/>
        <w:rPr>
          <w:color w:val="auto"/>
          <w:sz w:val="22"/>
          <w:szCs w:val="22"/>
        </w:rPr>
      </w:pPr>
      <w:bookmarkStart w:id="34" w:name="_Ref114668251"/>
      <w:r>
        <w:rPr>
          <w:color w:val="auto"/>
          <w:sz w:val="22"/>
          <w:szCs w:val="22"/>
        </w:rPr>
        <w:t>praticar atos ilícitos com vistas a frustrar os objetivos da licitação</w:t>
      </w:r>
      <w:bookmarkEnd w:id="34"/>
    </w:p>
    <w:p>
      <w:pPr>
        <w:pStyle w:val="Nivel3"/>
        <w:numPr>
          <w:ilvl w:val="2"/>
          <w:numId w:val="3"/>
        </w:numPr>
        <w:spacing w:lineRule="auto" w:line="360" w:before="0" w:after="0"/>
        <w:ind w:hanging="0" w:left="567"/>
        <w:rPr>
          <w:color w:val="auto"/>
          <w:sz w:val="22"/>
          <w:szCs w:val="22"/>
        </w:rPr>
      </w:pPr>
      <w:bookmarkStart w:id="35"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27"/>
      <w:bookmarkEnd w:id="35"/>
    </w:p>
    <w:p>
      <w:pPr>
        <w:pStyle w:val="Nivel2"/>
        <w:numPr>
          <w:ilvl w:val="1"/>
          <w:numId w:val="3"/>
        </w:numPr>
        <w:spacing w:lineRule="auto" w:line="360" w:before="0" w:after="0"/>
        <w:ind w:hanging="0" w:left="0"/>
        <w:rPr>
          <w:color w:val="auto"/>
          <w:sz w:val="22"/>
          <w:szCs w:val="22"/>
        </w:rPr>
      </w:pPr>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3"/>
        </w:numPr>
        <w:spacing w:lineRule="auto" w:line="360" w:before="0" w:after="0"/>
        <w:ind w:hanging="0" w:left="567"/>
        <w:rPr>
          <w:color w:val="auto"/>
          <w:sz w:val="22"/>
          <w:szCs w:val="22"/>
        </w:rPr>
      </w:pPr>
      <w:r>
        <w:rPr>
          <w:color w:val="auto"/>
          <w:sz w:val="22"/>
          <w:szCs w:val="22"/>
        </w:rPr>
        <w:t>multa;</w:t>
      </w:r>
    </w:p>
    <w:p>
      <w:pPr>
        <w:pStyle w:val="Nivel3"/>
        <w:numPr>
          <w:ilvl w:val="2"/>
          <w:numId w:val="3"/>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3"/>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3"/>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3"/>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3"/>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3"/>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3"/>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3"/>
        </w:numPr>
        <w:spacing w:lineRule="auto" w:line="360" w:before="0" w:after="0"/>
        <w:ind w:hanging="0"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w:t>
      </w:r>
      <w:r>
        <w:rPr>
          <w:color w:val="auto"/>
          <w:sz w:val="22"/>
          <w:szCs w:val="22"/>
        </w:rPr>
        <w:t xml:space="preserve">dias, a contar da comunicação oficial. </w:t>
      </w:r>
    </w:p>
    <w:p>
      <w:pPr>
        <w:pStyle w:val="Nivel3"/>
        <w:numPr>
          <w:ilvl w:val="2"/>
          <w:numId w:val="3"/>
        </w:numPr>
        <w:spacing w:lineRule="auto" w:line="360" w:before="0" w:after="0"/>
        <w:ind w:hanging="0" w:left="0"/>
        <w:rPr>
          <w:color w:val="auto"/>
          <w:sz w:val="22"/>
          <w:szCs w:val="22"/>
        </w:rPr>
      </w:pPr>
      <w:bookmarkStart w:id="36" w:name="_Hlk113876035"/>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bookmarkEnd w:id="36"/>
    </w:p>
    <w:p>
      <w:pPr>
        <w:pStyle w:val="Nivel3"/>
        <w:numPr>
          <w:ilvl w:val="2"/>
          <w:numId w:val="3"/>
        </w:numPr>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a multa será de 15% a 30% do valor do contrato licitado.</w:t>
      </w:r>
    </w:p>
    <w:p>
      <w:pPr>
        <w:pStyle w:val="Nivel2"/>
        <w:numPr>
          <w:ilvl w:val="1"/>
          <w:numId w:val="3"/>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lineRule="auto" w:line="360" w:before="0" w:after="0"/>
        <w:ind w:hanging="0" w:left="0"/>
        <w:rPr>
          <w:color w:val="auto"/>
          <w:sz w:val="22"/>
          <w:szCs w:val="22"/>
        </w:rPr>
      </w:pPr>
      <w:bookmarkStart w:id="37" w:name="_Hlk159229867"/>
      <w:r>
        <w:rPr>
          <w:color w:val="auto"/>
          <w:sz w:val="22"/>
          <w:szCs w:val="22"/>
        </w:rPr>
        <w:t>Na aplicação da sanção de multa será facultada a defesa do interessado no prazo de 15 (quinze) dias úteis, contado da data de sua intimação.</w:t>
      </w:r>
      <w:bookmarkEnd w:id="37"/>
    </w:p>
    <w:p>
      <w:pPr>
        <w:pStyle w:val="Nivel2"/>
        <w:numPr>
          <w:ilvl w:val="1"/>
          <w:numId w:val="3"/>
        </w:numPr>
        <w:spacing w:lineRule="auto" w:line="360" w:before="0" w:after="0"/>
        <w:ind w:hanging="0" w:left="0"/>
        <w:rPr>
          <w:color w:val="auto"/>
          <w:sz w:val="22"/>
          <w:szCs w:val="22"/>
        </w:rPr>
      </w:pPr>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lineRule="auto" w:line="360" w:before="0" w:after="0"/>
        <w:ind w:hanging="0"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 xml:space="preserve">A recusa injustificada do adjudicatário em assinar o contrato,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3"/>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3"/>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3"/>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 IMPUGNAÇÃO AO EDITAL E DO PEDIDO DE ESCLARECIMENTO</w:t>
      </w:r>
    </w:p>
    <w:p>
      <w:pPr>
        <w:pStyle w:val="Nivel2"/>
        <w:numPr>
          <w:ilvl w:val="1"/>
          <w:numId w:val="3"/>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3"/>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3"/>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3"/>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3"/>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color w:val="auto"/>
          <w:sz w:val="22"/>
          <w:szCs w:val="22"/>
        </w:rPr>
      </w:pPr>
      <w:r>
        <w:rPr>
          <w:color w:val="auto"/>
          <w:sz w:val="22"/>
          <w:szCs w:val="22"/>
        </w:rPr>
        <w:t>DAS DISPOSIÇÕES GERAIS</w:t>
      </w:r>
    </w:p>
    <w:p>
      <w:pPr>
        <w:pStyle w:val="Nivel2"/>
        <w:numPr>
          <w:ilvl w:val="1"/>
          <w:numId w:val="3"/>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3"/>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3"/>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3"/>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3"/>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3"/>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3"/>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3"/>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3"/>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3"/>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3"/>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3"/>
        </w:numPr>
        <w:spacing w:lineRule="auto" w:line="360" w:before="0" w:after="0"/>
        <w:ind w:hanging="0" w:left="567"/>
        <w:rPr>
          <w:color w:val="auto"/>
          <w:sz w:val="22"/>
          <w:szCs w:val="22"/>
        </w:rPr>
      </w:pPr>
      <w:r>
        <w:rPr>
          <w:color w:val="auto"/>
          <w:sz w:val="22"/>
          <w:szCs w:val="22"/>
        </w:rPr>
        <w:t>ANEXO VI – Minuta de Ordem de Serviço</w:t>
      </w:r>
    </w:p>
    <w:p>
      <w:pPr>
        <w:pStyle w:val="Nivel3"/>
        <w:numPr>
          <w:ilvl w:val="2"/>
          <w:numId w:val="3"/>
        </w:numPr>
        <w:spacing w:lineRule="auto" w:line="360" w:before="0" w:after="0"/>
        <w:ind w:hanging="0" w:left="567"/>
        <w:rPr>
          <w:color w:val="auto"/>
          <w:sz w:val="22"/>
          <w:szCs w:val="22"/>
        </w:rPr>
      </w:pPr>
      <w:r>
        <w:rPr>
          <w:color w:val="auto"/>
          <w:sz w:val="22"/>
          <w:szCs w:val="22"/>
        </w:rPr>
        <w:t>ANEXO VII – Minuta de Contrato</w:t>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t xml:space="preserve">Itatiba, </w:t>
      </w:r>
      <w:r>
        <w:rPr>
          <w:rFonts w:eastAsia="MS Mincho" w:cs="Arial" w:ascii="Arial" w:hAnsi="Arial"/>
          <w:sz w:val="22"/>
          <w:szCs w:val="22"/>
        </w:rPr>
        <w:t>03 de dezembro</w:t>
      </w:r>
      <w:r>
        <w:rPr>
          <w:rFonts w:eastAsia="MS Mincho" w:cs="Arial" w:ascii="Arial" w:hAnsi="Arial"/>
          <w:sz w:val="22"/>
          <w:szCs w:val="22"/>
        </w:rPr>
        <w:t xml:space="preserve"> de 2025.</w:t>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bookmarkStart w:id="38" w:name="_Hlk82473550"/>
      <w:bookmarkStart w:id="39" w:name="_Hlk82473550"/>
      <w:bookmarkEnd w:id="39"/>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Obras e Serviços Públicos</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8"/>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8"/>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117</w:t>
      </w:r>
      <w:r>
        <w:rPr>
          <w:rFonts w:cs="Arial" w:ascii="Arial" w:hAnsi="Arial"/>
          <w:b/>
          <w:bCs/>
          <w:sz w:val="22"/>
          <w:szCs w:val="22"/>
        </w:rPr>
        <w:t>/2025</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8.719/2025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0"/>
        </w:numPr>
        <w:spacing w:lineRule="auto" w:line="360" w:before="120" w:after="288"/>
        <w:ind w:hanging="0" w:left="0"/>
        <w:rPr>
          <w:rFonts w:eastAsia="Arial"/>
          <w:color w:val="auto"/>
          <w:sz w:val="22"/>
          <w:szCs w:val="22"/>
        </w:rPr>
      </w:pPr>
      <w:r>
        <w:rPr>
          <w:color w:val="auto"/>
          <w:sz w:val="22"/>
          <w:szCs w:val="22"/>
        </w:rPr>
        <w:t>OBJETO</w:t>
      </w:r>
    </w:p>
    <w:p>
      <w:pPr>
        <w:pStyle w:val="Normal"/>
        <w:spacing w:lineRule="auto" w:line="360"/>
        <w:jc w:val="both"/>
        <w:rPr>
          <w:rFonts w:ascii="Arial" w:hAnsi="Arial" w:eastAsia="MS Mincho" w:cs="Arial"/>
          <w:kern w:val="0"/>
          <w:sz w:val="22"/>
          <w:szCs w:val="22"/>
        </w:rPr>
      </w:pPr>
      <w:bookmarkStart w:id="40" w:name="_Hlk194573991"/>
      <w:bookmarkEnd w:id="40"/>
      <w:r>
        <w:rPr>
          <w:rFonts w:eastAsia="MS Mincho" w:cs="Arial" w:ascii="Arial" w:hAnsi="Arial"/>
          <w:kern w:val="0"/>
          <w:sz w:val="22"/>
          <w:szCs w:val="22"/>
        </w:rPr>
        <w:t>Contratação de empresa para prestação de serviço de locação de equipamentos, suprimentos e sistemas de gerenciamento necessários a solução integrada para operação, pagamento por meio digital, gerenciamento e fiscalização das atividades de estacionamento em vias públicas, incluindo suporte técnico, atualizações e treinamento, conforme solicitação do Departamento de Mobilidade e Trânsito</w:t>
      </w:r>
    </w:p>
    <w:p>
      <w:pPr>
        <w:pStyle w:val="Normal"/>
        <w:spacing w:lineRule="auto" w:line="360"/>
        <w:jc w:val="both"/>
        <w:rPr>
          <w:rFonts w:ascii="Arial" w:hAnsi="Arial" w:eastAsia="MS Mincho" w:cs="Arial"/>
          <w:kern w:val="0"/>
          <w:sz w:val="22"/>
          <w:szCs w:val="22"/>
        </w:rPr>
      </w:pPr>
      <w:r>
        <w:rPr>
          <w:rFonts w:eastAsia="MS Mincho" w:cs="Arial" w:ascii="Arial" w:hAnsi="Arial"/>
          <w:kern w:val="0"/>
          <w:sz w:val="22"/>
          <w:szCs w:val="22"/>
        </w:rPr>
      </w:r>
    </w:p>
    <w:p>
      <w:pPr>
        <w:pStyle w:val="Normal"/>
        <w:spacing w:lineRule="auto" w:line="360" w:before="138" w:after="0"/>
        <w:jc w:val="both"/>
        <w:rPr>
          <w:rFonts w:ascii="Arial" w:hAnsi="Arial" w:eastAsia="NSimSun" w:cs="Arial"/>
          <w:sz w:val="22"/>
          <w:szCs w:val="22"/>
          <w:lang w:bidi="hi-IN"/>
        </w:rPr>
      </w:pPr>
      <w:r>
        <w:rPr>
          <w:rFonts w:eastAsia="NSimSun" w:cs="Arial" w:ascii="Arial" w:hAnsi="Arial"/>
          <w:b/>
          <w:bCs/>
          <w:sz w:val="22"/>
          <w:szCs w:val="22"/>
          <w:lang w:bidi="hi-IN"/>
        </w:rPr>
        <w:t>NORMAS E REGULAMENTOS APLICÁVEIS</w:t>
      </w:r>
      <w:r>
        <w:rPr>
          <w:rFonts w:eastAsia="NSimSun" w:cs="Arial" w:ascii="Arial" w:hAnsi="Arial"/>
          <w:sz w:val="22"/>
          <w:szCs w:val="22"/>
          <w:lang w:bidi="hi-IN"/>
        </w:rPr>
        <w:t>: A presente contratação será regida pelas normas legais e regulamentares aplicáveis à Administração Pública, especialmente pelas disposições da Lei Federal nº 14.133, de 1º de abril de 2021 (Nova Lei de Licitações e Contratos Administrativos), bem como pelas seguintes normas, sem prejuízo de outras que venham a se aplicar:</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(a)</w:t>
        <w:tab/>
        <w:t>Legislação Federal:</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Lei nº 14.133/2021 – Estabelece normas gerais de licitação e contratação para as administrações públicas diretas, autárquicas e fundacionais da União, dos Estados, do Distrito Federal e dos Municípios.</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Lei nº 9.503/1997 (Código de Trânsito Brasileiro – CTB) – Estabelece as normas de circulação viária e regulamenta a utilização do solo público para estacionamento rotativo pago.</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Resoluções do Conselho Nacional de Trânsito (CONTRAN) – Em especial aquelas que disciplinam o uso e operação do sistema de estacionamento rotativo público, como a Resolução CONTRAN nº 926/2022 (ou última vigente), que trata da regulamentação dos procedimentos operacionais.</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(b)</w:t>
        <w:tab/>
        <w:t>Legislação e Regulamentos Municipais:</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Lei municipal que institui e regulamenta o sistema de estacionamento rotativo pago no município (Lei Municipal nº 2.916 de 12 de junho de 1997/ Lei Municipal nº 4.513 de 09 de outubro de 2022).</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 xml:space="preserve">Decreto(s) municipal(is) que regulamentam a operação e gestão do estacionamento rotativo (Decreto 5.062 de 02 de fevereiro de 2005). </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(c)</w:t>
        <w:tab/>
        <w:t>Normas Técnicas e de Segurança:</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Normas da Associação Brasileira de Normas Técnicas (ABNT) aplicáveis aos equipamentos e sistemas a serem fornecidos.</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w:t>
      </w:r>
      <w:r>
        <w:rPr>
          <w:rFonts w:eastAsia="NSimSun" w:cs="Arial" w:ascii="Arial" w:hAnsi="Arial"/>
          <w:sz w:val="22"/>
          <w:szCs w:val="22"/>
          <w:lang w:bidi="hi-IN"/>
        </w:rPr>
        <w:tab/>
        <w:t>Requisitos de segurança da informação, acessibilidade e interoperabilidade de sistemas, conforme a legislação federal e normas técnicas aplicáveis.</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t>Todos os serviços prestados deverão observar integralmente a legislação vigente, sendo de responsabilidade da CONTRATADA manter-se atualizada quanto a alterações normativas que impactem a execução do objeto contratual.</w:t>
      </w:r>
    </w:p>
    <w:p>
      <w:pPr>
        <w:pStyle w:val="Heading6"/>
        <w:numPr>
          <w:ilvl w:val="5"/>
          <w:numId w:val="9"/>
        </w:numPr>
        <w:spacing w:lineRule="auto" w:line="360" w:before="0" w:after="0"/>
        <w:jc w:val="both"/>
        <w:rPr>
          <w:rFonts w:ascii="Arial" w:hAnsi="Arial" w:cs="Arial"/>
          <w:i w:val="false"/>
          <w:i w:val="false"/>
          <w:iCs w:val="false"/>
          <w:color w:val="auto"/>
          <w:sz w:val="22"/>
          <w:szCs w:val="22"/>
        </w:rPr>
      </w:pPr>
      <w:r>
        <w:rPr>
          <w:rFonts w:cs="Arial" w:ascii="Arial" w:hAnsi="Arial"/>
          <w:i w:val="false"/>
          <w:iCs w:val="false"/>
          <w:color w:themeColor="text1" w:themeTint="a6" w:val="auto"/>
          <w:sz w:val="22"/>
          <w:szCs w:val="22"/>
        </w:rPr>
      </w:r>
    </w:p>
    <w:p>
      <w:pPr>
        <w:pStyle w:val="Normal"/>
        <w:numPr>
          <w:ilvl w:val="0"/>
          <w:numId w:val="7"/>
        </w:numPr>
        <w:tabs>
          <w:tab w:val="clear" w:pos="708"/>
          <w:tab w:val="left" w:pos="1075" w:leader="none"/>
        </w:tabs>
        <w:spacing w:lineRule="auto" w:line="360"/>
        <w:ind w:hanging="0" w:left="340"/>
        <w:jc w:val="both"/>
        <w:rPr>
          <w:rFonts w:ascii="Arial" w:hAnsi="Arial" w:cs="Arial"/>
          <w:sz w:val="22"/>
          <w:szCs w:val="22"/>
          <w:u w:val="single"/>
        </w:rPr>
      </w:pPr>
      <w:r>
        <w:rPr>
          <w:rFonts w:cs="Arial" w:ascii="Arial" w:hAnsi="Arial"/>
          <w:b/>
          <w:bCs/>
          <w:sz w:val="22"/>
          <w:szCs w:val="22"/>
          <w:u w:val="single"/>
        </w:rPr>
        <w:t>FUNDAMENTAÇÃO DA CONTRATAÇÃO</w:t>
      </w:r>
    </w:p>
    <w:p>
      <w:pPr>
        <w:pStyle w:val="Normal"/>
        <w:tabs>
          <w:tab w:val="clear" w:pos="708"/>
          <w:tab w:val="left" w:pos="1795" w:leader="none"/>
        </w:tabs>
        <w:spacing w:lineRule="auto" w:line="360"/>
        <w:ind w:left="1060"/>
        <w:jc w:val="both"/>
        <w:rPr>
          <w:rFonts w:ascii="Arial" w:hAnsi="Arial" w:cs="Arial"/>
          <w:sz w:val="22"/>
          <w:szCs w:val="22"/>
          <w:u w:val="single"/>
        </w:rPr>
      </w:pPr>
      <w:r>
        <w:rPr>
          <w:rFonts w:cs="Arial" w:ascii="Arial" w:hAnsi="Arial"/>
          <w:sz w:val="22"/>
          <w:szCs w:val="22"/>
          <w:u w:val="single"/>
        </w:rPr>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u w:val="single"/>
        </w:rPr>
      </w:pPr>
      <w:r>
        <w:rPr>
          <w:rFonts w:cs="Arial" w:ascii="Arial" w:hAnsi="Arial"/>
          <w:sz w:val="22"/>
          <w:szCs w:val="22"/>
        </w:rPr>
        <w:t>Justificativa da necessidade da contratação:</w:t>
      </w:r>
    </w:p>
    <w:p>
      <w:pPr>
        <w:pStyle w:val="Normal"/>
        <w:spacing w:lineRule="auto" w:line="360"/>
        <w:jc w:val="both"/>
        <w:rPr>
          <w:rFonts w:ascii="Arial" w:hAnsi="Arial" w:cs="Arial"/>
          <w:sz w:val="22"/>
          <w:szCs w:val="22"/>
          <w:u w:val="single"/>
        </w:rPr>
      </w:pPr>
      <w:r>
        <w:rPr>
          <w:rFonts w:cs="Arial" w:ascii="Arial" w:hAnsi="Arial"/>
          <w:sz w:val="22"/>
          <w:szCs w:val="22"/>
          <w:u w:val="single"/>
        </w:rPr>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Localizado a aproximadamente 80 km da capital paulista, o município de Itatiba, inserido na Serra da Jurema, destaca-se por sua topografia acidentada e pela elevada qualidade de vida proporcionada à sua população. Reconhecida por sua infraestrutura urbana e pela estabilidade socioeconômica, a cidade possui uma economia diversificada, o que contribui para a resiliência frente a oscilações de mercado e sazonalidades.</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O setor industrial representa o principal vetor de desenvolvimento econômico local, com um parque fabril em constante expansão. A posição geográfica estratégica de Itatiba — próxima à Região Metropolitana de Campinas (RMC) e à Região Administrativa de Jundiaí — atrai investimentos de empresas multinacionais e fortalece sua inserção em cadeias produtivas relevantes. Entre os segmentos de destaque, sobressaem-se os setores moveleiro (com reconhecimento internacional), têxtil, metalúrgico, químico e de tecnologia de ponta. No entanto, apesar de seu dinamismo urbano e comercial, o município encontra-se atualmente sem um sistema ativo de estacionamento rotativo. O contrato de concessão anteriormente vigente foi encerrado em dezembro de 2023, deixando desassistida a área central da cidade, especialmente impactada por intensa atividade comercial e fluxo constante de veículos.</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Diante desse cenário e considerando as diretrizes legais que conferem à Administração Municipal competência para regulamentar, implantar e até operar diretamente o sistema de estacionamento rotativo, a atual gestão optou pela modernização e reestruturação do serviço. A decisão, respaldada em estudos técnicos, demonstra a viabilidade e a necessidade de adoção de um modelo contemporâneo, voltado à eficiência e à sustentabilidade operacional.</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A proposta consiste na implantação de um sistema integrado, com pontos de venda físicos implementados junto ao comércio local, aplicativos móveis (APPs) e recursos de fiscalização automatizada. O objetivo central é garantir maior comodidade aos usuários, ampliar as formas de pagamento e consulta, bem como assegurar um elevado grau de controle, transparência e gestão em tempo real (sistema online), minimizando a necessidade de alocação de recursos municipais para a operação direta do serviço.</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Adicionalmente, a escolha pelo modelo de locação tecnológica — em contraposição ao tradicional modelo de concessão — visa proporcionar maior flexibilidade à Administração Pública, mantendo os custos do sistema compatíveis com a receita gerada. Tal abordagem permite que a operação seja financeiramente autossustentável, com os custos de manutenção e gestão cobertos pela arrecadação do próprio estacionamento rotativo, sem comprometer o orçamento municipal.</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u w:val="single"/>
        </w:rPr>
      </w:pPr>
      <w:r>
        <w:rPr>
          <w:rFonts w:cs="Arial" w:ascii="Arial" w:hAnsi="Arial"/>
          <w:sz w:val="22"/>
          <w:szCs w:val="22"/>
        </w:rPr>
        <w:t>Considerações:</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A gestão do sistema de estacionamento público nas regiões comerciais do município envolve a atividade de planejamento, normatização, fixação de tarifas (através de Decreto do Executivo), fiscalização e gestão de tudo que está sendo proposto.</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 xml:space="preserve">O sistema deverá ser apoiado conjuntamente pelas plataformas da Internet, pelo envio de informações de modo responsivo (tempo real) através de dispositivos móveis conectados à internet, possibilitando ao usuário estacionar nas áreas de Estacionamento Rotativo Pago, através do seu próprio telefone celular, podendo ser acessado pela internet por sua vontade, conveniência e custeio. </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O sistema deverá controlar através de equipamentos e sistemas, a gestão e monitoramento da utilização das vagas de estacionamento nas áreas e logradouros públicos através da limitação de tempo de utilização e pagamento de tarifa.</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O presente Termo de Referência tem como objetivo definir normas para a operação das vagas de estacionamento localizadas em logradouros públicos em parte da cidade, visando a democratização do espaço público, trazendo com isso um novo modelo operacional e de gestão mais eficaz desse importante instrumento público, cujo objetivo é a melhoria das condições de acessibilidade as regiões de grande concentração de comércio, colégios e os demais serviços.</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Dentro dessa perspectiva a proposta da Prefeitura consiste na definição do sistema de estacionamento regulamentado, objetivando primordialmente a rotatividade do uso das vagas, facilidade a utilização pelos usuários e controle eficiente da Prefeitura Municipal de ITATIBA.</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u w:val="single"/>
        </w:rPr>
      </w:pPr>
      <w:r>
        <w:rPr>
          <w:rFonts w:cs="Arial" w:ascii="Arial" w:hAnsi="Arial"/>
          <w:sz w:val="22"/>
          <w:szCs w:val="22"/>
        </w:rPr>
        <w:t>Objetivos e benefícios:</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 xml:space="preserve">O objeto deste termo de referência tem como objetivo organizar a disposição de vagas públicas de veículos disponíveis nas diversas vias, logradouros e espaços da cidade, promovendo o ordenamento da oferta e da rotatividade das vagas para estacionamento, bem como melhorar a acessibilidade das pessoas nas regiões e áreas de maior concentração de tráfego; </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 xml:space="preserve">A ampliação e melhoramento desse projeto trará maior comodidade e mobilidade à população, disponibilizando uma tecnologia que proporcionará melhor qualidade de vida e preservação ambiental. </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Muitos outros benefícios podem ser listados, sem exaurir a relação, como:</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Melhor gestão e maior facilidade na comercialização das vagas do estacionamento público;</w:t>
      </w:r>
    </w:p>
    <w:p>
      <w:pPr>
        <w:pStyle w:val="Normal"/>
        <w:spacing w:lineRule="auto" w:line="360"/>
        <w:ind w:left="2497"/>
        <w:jc w:val="both"/>
        <w:rPr>
          <w:rFonts w:ascii="Arial" w:hAnsi="Arial" w:cs="Arial"/>
          <w:sz w:val="22"/>
          <w:szCs w:val="22"/>
        </w:rPr>
      </w:pPr>
      <w:r>
        <w:rPr>
          <w:rFonts w:cs="Arial" w:ascii="Arial" w:hAnsi="Arial"/>
          <w:sz w:val="22"/>
          <w:szCs w:val="22"/>
        </w:rPr>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Maior comodidade e acesso para os usuários do sistema de estacionamento público rotativo;</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Redução da circulação desnecessária de veículos particulares na região central da cidade;</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Redução dos engarrafamentos e melhora da fluidez do tráfego;</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Redução de impactos ambientais advindos da emissão de poluentes e do uso de papel;</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Uso de novas tecnologias para pagamento de serviços públicos;</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Disponibilizar para os usuários do sistema de estacionamento rotativo acesso ao maior número possível de opções de meios de pagamento, fator crucial para garantir o sucesso e respeitabilidade ao uso do sistema;</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Maior eficiência e otimização dos recursos humanos para fiscalização;</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Aumentar a circulação de pessoas nas áreas centrais, favorecendo o comércio local;</w:t>
      </w:r>
    </w:p>
    <w:p>
      <w:pPr>
        <w:pStyle w:val="Normal"/>
        <w:numPr>
          <w:ilvl w:val="3"/>
          <w:numId w:val="7"/>
        </w:numPr>
        <w:spacing w:lineRule="auto" w:line="360"/>
        <w:ind w:hanging="0" w:left="1417"/>
        <w:jc w:val="both"/>
        <w:rPr>
          <w:rFonts w:ascii="Arial" w:hAnsi="Arial" w:cs="Arial"/>
          <w:sz w:val="22"/>
          <w:szCs w:val="22"/>
        </w:rPr>
      </w:pPr>
      <w:r>
        <w:rPr>
          <w:rFonts w:cs="Arial" w:ascii="Arial" w:hAnsi="Arial"/>
          <w:sz w:val="22"/>
          <w:szCs w:val="22"/>
        </w:rPr>
        <w:t>Integrar o município a um ambiente de modernidade.</w:t>
      </w:r>
    </w:p>
    <w:p>
      <w:pPr>
        <w:pStyle w:val="Normal"/>
        <w:spacing w:lineRule="auto" w:line="360"/>
        <w:ind w:left="1417"/>
        <w:jc w:val="both"/>
        <w:rPr>
          <w:rFonts w:ascii="Arial" w:hAnsi="Arial" w:cs="Arial"/>
          <w:sz w:val="22"/>
          <w:szCs w:val="22"/>
        </w:rPr>
      </w:pPr>
      <w:r>
        <w:rPr>
          <w:rFonts w:cs="Arial" w:ascii="Arial" w:hAnsi="Arial"/>
          <w:sz w:val="22"/>
          <w:szCs w:val="22"/>
        </w:rPr>
      </w:r>
    </w:p>
    <w:p>
      <w:pPr>
        <w:pStyle w:val="Normal"/>
        <w:numPr>
          <w:ilvl w:val="0"/>
          <w:numId w:val="7"/>
        </w:numPr>
        <w:tabs>
          <w:tab w:val="clear" w:pos="708"/>
          <w:tab w:val="left" w:pos="1075" w:leader="none"/>
        </w:tabs>
        <w:spacing w:lineRule="auto" w:line="360"/>
        <w:ind w:hanging="0" w:left="340"/>
        <w:jc w:val="both"/>
        <w:rPr>
          <w:rFonts w:ascii="Arial" w:hAnsi="Arial" w:cs="Arial"/>
          <w:sz w:val="22"/>
          <w:szCs w:val="22"/>
        </w:rPr>
      </w:pPr>
      <w:r>
        <w:rPr>
          <w:rFonts w:cs="Arial" w:ascii="Arial" w:hAnsi="Arial"/>
          <w:b/>
          <w:bCs/>
          <w:sz w:val="22"/>
          <w:szCs w:val="22"/>
          <w:u w:val="single"/>
        </w:rPr>
        <w:t>DENOMINAÇÃO E DEFINIÇÕES</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ESTACIONAMENTO ROTATIVO: Regulamentação de vagas de estacionamento em vias, logradouros e espaços públicos, através da cobrança de tarifa por determinado período, garantindo sua rotatividade.</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CONTRATADA: Empresa que for vencedora do certame, e que terá contrato com o município de ITATIBA, conforme o presente Termo de Referência.</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CONTRATANTE: Prefeitura Municipal de Itatiba. </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USUÁRIO: É o condutor do veículo automotor que utiliza o sistema de estacionamento rotativo, responsável pela aquisição de tíquetes de estacionamento.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VAGA ESPECIAL: Espaço utilizado para estacionamento de veículos de pessoas portadoras de deficiência física, idosos, carga/descarga, vagas de motos, vagas de transporte de passageiros e vagas de embarque e desembarque, tarifadas ou não, dentro do horário regulamentado para aquela área. Nas vias e logradouros públicos onde existirem locais delimitados e horários estabelecidos por meio de regulamentação específica para:</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Deficientes Físicos e Idosos: estas serão gratuitas em locais específicos dentro dos horários pré estabelecidos conforme legislação e os veículos deverão estar devidamente identificados, de acordo com o Código de Trânsito e regulamentação conforme legislação;</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Carga e Descarga: estas não serão gratuitas em locais específicos dentro dos horários pré estabelecidos conforme legislação;</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Vagas de Motos e Vagas de Transporte de Passageiros: estas serão gratuitas e com locais específicos.</w:t>
      </w:r>
    </w:p>
    <w:p>
      <w:pPr>
        <w:pStyle w:val="Normal"/>
        <w:numPr>
          <w:ilvl w:val="2"/>
          <w:numId w:val="7"/>
        </w:numPr>
        <w:tabs>
          <w:tab w:val="clear" w:pos="708"/>
          <w:tab w:val="left" w:pos="0" w:leader="none"/>
        </w:tabs>
        <w:spacing w:lineRule="auto" w:line="360"/>
        <w:ind w:hanging="0" w:left="737"/>
        <w:jc w:val="both"/>
        <w:rPr>
          <w:rFonts w:ascii="Arial" w:hAnsi="Arial" w:cs="Arial"/>
          <w:sz w:val="22"/>
          <w:szCs w:val="22"/>
        </w:rPr>
      </w:pPr>
      <w:r>
        <w:rPr>
          <w:rFonts w:cs="Arial" w:ascii="Arial" w:hAnsi="Arial"/>
          <w:sz w:val="22"/>
          <w:szCs w:val="22"/>
        </w:rPr>
        <w:t>Embarque e desembarque: estas serão gratuitas em locais específicos dentro dos horários pré estabelecidos conforme legislação;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SISTEMA OPERACIONAL/SOFTWARE DE GESTÃO/SISTEMA:</w:t>
      </w:r>
    </w:p>
    <w:p>
      <w:pPr>
        <w:pStyle w:val="Normal"/>
        <w:tabs>
          <w:tab w:val="clear" w:pos="708"/>
          <w:tab w:val="left" w:pos="1075" w:leader="none"/>
        </w:tabs>
        <w:spacing w:lineRule="auto" w:line="360"/>
        <w:ind w:left="340"/>
        <w:jc w:val="both"/>
        <w:rPr>
          <w:rFonts w:ascii="Arial" w:hAnsi="Arial" w:cs="Arial"/>
          <w:sz w:val="22"/>
          <w:szCs w:val="22"/>
        </w:rPr>
      </w:pPr>
      <w:r>
        <w:rPr>
          <w:rFonts w:cs="Arial" w:ascii="Arial" w:hAnsi="Arial"/>
          <w:sz w:val="22"/>
          <w:szCs w:val="22"/>
        </w:rPr>
        <w:t>É a Plataforma Tecnológica que engloba o programa de computador que controla todas as funções relacionadas ao estacionamento, como emissão de tíquetes, produção de relatórios, e comunicação com equipamentos eletrônicos e smartphones. Ele deve operar online e ser capaz de identificar vagas e verificar a situação dos veículos.</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DPMF (DISPOSITIVO PORTÁTIL DE MONITORAMENTO E FISCALIZAÇÃO): Equipamento utilizado para fiscalizar o estacionamento rotativo pago.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PDVs (Pontos de Venda de Tíquetes e Recargas): Locais onde os usuários podem comprar tíquetes e recargas, além de se cadastrar no sistema.</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POS: Equipamento a ser disponibilizado pela CONTRATADA para ser utilizado nos pontos de vendas para a realização da comercialização dos tíquetes de estacionamento aos usuários.</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APP (Aplicativos): Soluções móveis que operam em smartphones e facilitam a interação com o sistema de estacionamento.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CRÉDITO: Valor em saldo, disponível para utilização nos estacionamentos e vagas públicas, obtido mediante sistema de obtenção de créditos.</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TPU (Tarifa Pós Utilização): Tarifa prevista em Decreto que permite ao usuário pagar posteriormente ao estacionamento.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ADCT – Aviso de Cobrança Tarifária: Notificação Digital direcionada a site específico para verificação, informando que o mesmo está estacionado sem o pagamento da tarifa ou com o tempo de estacionamento expirado.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CTB (Código de Trânsito Brasileiro): Lei federal que regulamenta o trânsito e pode impactar o sistema de estacionamento.</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Smartphones: Dispositivos móveis inteligentes utilizados pelos usuários para interagir com o sistema.</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Web: Ambiente de navegação na internet.</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Website: Sistema web para aquisição de créditos no ambiente virtual, onde será realizado o cadastro dos usuários.</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Datacenter: Centro de processamento de dados onde as informações do sistema são armazenadas e geridas.</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LPR/OCR (License Plate Recognition / Optical Character Recognition): Sistema que lê automaticamente placas de veículos, sem necessidade de digitação manual.</w:t>
      </w:r>
    </w:p>
    <w:p>
      <w:pPr>
        <w:pStyle w:val="Normal"/>
        <w:numPr>
          <w:ilvl w:val="1"/>
          <w:numId w:val="7"/>
        </w:numPr>
        <w:tabs>
          <w:tab w:val="clear" w:pos="708"/>
          <w:tab w:val="left" w:pos="0" w:leader="none"/>
          <w:tab w:val="left" w:pos="1075" w:leader="none"/>
        </w:tabs>
        <w:spacing w:lineRule="auto" w:line="360"/>
        <w:ind w:hanging="0" w:left="340"/>
        <w:jc w:val="both"/>
        <w:rPr>
          <w:rFonts w:ascii="Arial" w:hAnsi="Arial" w:cs="Arial"/>
          <w:sz w:val="22"/>
          <w:szCs w:val="22"/>
        </w:rPr>
      </w:pPr>
      <w:r>
        <w:rPr>
          <w:rFonts w:cs="Arial" w:ascii="Arial" w:hAnsi="Arial"/>
          <w:sz w:val="22"/>
          <w:szCs w:val="22"/>
        </w:rPr>
        <w:t>LGPD (Lei Geral de Proteção de Dados): Lei que regulamenta a proteção de dados pessoais e deve ser seguida no gerenciamento de informações dos usuários.</w:t>
      </w:r>
    </w:p>
    <w:p>
      <w:pPr>
        <w:pStyle w:val="Normal"/>
        <w:spacing w:lineRule="auto" w:line="360"/>
        <w:ind w:left="1417"/>
        <w:jc w:val="both"/>
        <w:rPr>
          <w:rFonts w:ascii="Arial" w:hAnsi="Arial" w:cs="Arial"/>
          <w:sz w:val="22"/>
          <w:szCs w:val="22"/>
        </w:rPr>
      </w:pPr>
      <w:r>
        <w:rPr>
          <w:rFonts w:cs="Arial" w:ascii="Arial" w:hAnsi="Arial"/>
          <w:sz w:val="22"/>
          <w:szCs w:val="22"/>
        </w:rPr>
      </w:r>
    </w:p>
    <w:p>
      <w:pPr>
        <w:pStyle w:val="Normal"/>
        <w:numPr>
          <w:ilvl w:val="0"/>
          <w:numId w:val="7"/>
        </w:numPr>
        <w:tabs>
          <w:tab w:val="clear" w:pos="708"/>
          <w:tab w:val="left" w:pos="1075" w:leader="none"/>
        </w:tabs>
        <w:spacing w:lineRule="auto" w:line="276" w:before="0" w:after="0"/>
        <w:ind w:hanging="0" w:left="340"/>
        <w:contextualSpacing/>
        <w:jc w:val="both"/>
        <w:rPr>
          <w:rFonts w:ascii="Arial" w:hAnsi="Arial" w:cs="Arial"/>
          <w:b/>
          <w:bCs/>
          <w:sz w:val="22"/>
          <w:szCs w:val="22"/>
          <w:u w:val="single"/>
        </w:rPr>
      </w:pPr>
      <w:r>
        <w:rPr>
          <w:rFonts w:cs="Arial" w:ascii="Arial" w:hAnsi="Arial"/>
          <w:b/>
          <w:bCs/>
          <w:sz w:val="22"/>
          <w:szCs w:val="22"/>
          <w:u w:val="single"/>
        </w:rPr>
        <w:t>QUANTIDADES E ITENS</w:t>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tbl>
      <w:tblPr>
        <w:tblW w:w="9416"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3455"/>
        <w:gridCol w:w="1135"/>
        <w:gridCol w:w="1134"/>
        <w:gridCol w:w="1274"/>
        <w:gridCol w:w="1418"/>
      </w:tblGrid>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Lote 01</w:t>
            </w:r>
          </w:p>
        </w:tc>
        <w:tc>
          <w:tcPr>
            <w:tcW w:w="3455"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rPr>
                <w:rFonts w:ascii="Arial" w:hAnsi="Arial" w:cs="Arial"/>
                <w:b/>
                <w:bCs/>
                <w:sz w:val="16"/>
                <w:szCs w:val="16"/>
              </w:rPr>
            </w:pPr>
            <w:r>
              <w:rPr>
                <w:rFonts w:cs="Arial" w:ascii="Arial" w:hAnsi="Arial"/>
                <w:b/>
                <w:bCs/>
                <w:sz w:val="16"/>
                <w:szCs w:val="16"/>
              </w:rPr>
              <w:t>Material</w:t>
            </w:r>
          </w:p>
        </w:tc>
        <w:tc>
          <w:tcPr>
            <w:tcW w:w="1135"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rPr>
                <w:rFonts w:ascii="Arial" w:hAnsi="Arial" w:cs="Arial"/>
                <w:b/>
                <w:bCs/>
                <w:sz w:val="16"/>
                <w:szCs w:val="16"/>
              </w:rPr>
            </w:pPr>
            <w:r>
              <w:rPr>
                <w:rFonts w:cs="Arial" w:ascii="Arial" w:hAnsi="Arial"/>
                <w:b/>
                <w:bCs/>
                <w:sz w:val="16"/>
                <w:szCs w:val="16"/>
              </w:rPr>
              <w:t>Unidade</w:t>
            </w:r>
          </w:p>
        </w:tc>
        <w:tc>
          <w:tcPr>
            <w:tcW w:w="1134"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Quantidade</w:t>
            </w:r>
          </w:p>
        </w:tc>
        <w:tc>
          <w:tcPr>
            <w:tcW w:w="1274"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Preço Unitário</w:t>
            </w:r>
          </w:p>
        </w:tc>
        <w:tc>
          <w:tcPr>
            <w:tcW w:w="1418"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Preço Total</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both"/>
              <w:rPr>
                <w:rFonts w:ascii="Arial" w:hAnsi="Arial" w:cs="Arial"/>
                <w:b/>
                <w:bCs/>
                <w:sz w:val="16"/>
                <w:szCs w:val="16"/>
              </w:rPr>
            </w:pPr>
            <w:r>
              <w:rPr>
                <w:rFonts w:cs="Arial" w:ascii="Arial" w:hAnsi="Arial"/>
                <w:b/>
                <w:bCs/>
                <w:sz w:val="16"/>
                <w:szCs w:val="16"/>
              </w:rPr>
              <w:t>FORNECIMENTO MENSAL</w:t>
            </w:r>
          </w:p>
          <w:p>
            <w:pPr>
              <w:pStyle w:val="Normal"/>
              <w:widowControl w:val="false"/>
              <w:pBdr/>
              <w:jc w:val="both"/>
              <w:rPr>
                <w:rFonts w:ascii="Arial" w:hAnsi="Arial" w:cs="Arial"/>
                <w:b/>
                <w:bCs/>
                <w:sz w:val="16"/>
                <w:szCs w:val="16"/>
              </w:rPr>
            </w:pPr>
            <w:r>
              <w:rPr>
                <w:rFonts w:cs="Arial" w:ascii="Arial" w:hAnsi="Arial"/>
                <w:b/>
                <w:bCs/>
                <w:sz w:val="16"/>
                <w:szCs w:val="16"/>
              </w:rPr>
            </w:r>
          </w:p>
          <w:p>
            <w:pPr>
              <w:pStyle w:val="Normal"/>
              <w:widowControl w:val="false"/>
              <w:pBdr/>
              <w:jc w:val="both"/>
              <w:rPr>
                <w:rFonts w:ascii="Arial" w:hAnsi="Arial" w:cs="Arial"/>
                <w:b/>
                <w:bCs/>
                <w:sz w:val="16"/>
                <w:szCs w:val="16"/>
              </w:rPr>
            </w:pPr>
            <w:r>
              <w:rPr>
                <w:rFonts w:cs="Arial" w:ascii="Arial" w:hAnsi="Arial"/>
                <w:b/>
                <w:bCs/>
                <w:sz w:val="16"/>
                <w:szCs w:val="16"/>
              </w:rPr>
              <w:t>QUANTIDADES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2.37.01.0002-2 - Locação de equipamentos para fiscalização, com suporte e manutenção</w:t>
            </w:r>
          </w:p>
        </w:tc>
        <w:tc>
          <w:tcPr>
            <w:tcW w:w="113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260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1.055,76</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274.497,60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equipamentos para fiscalização, com suporte e manutenção</w:t>
            </w:r>
          </w:p>
          <w:p>
            <w:pPr>
              <w:pStyle w:val="Normal"/>
              <w:widowControl w:val="false"/>
              <w:pBdr/>
              <w:rPr>
                <w:rFonts w:ascii="Arial" w:hAnsi="Arial" w:cs="Arial"/>
                <w:sz w:val="16"/>
                <w:szCs w:val="16"/>
              </w:rPr>
            </w:pPr>
            <w:r>
              <w:rPr>
                <w:rFonts w:cs="Arial" w:ascii="Arial" w:hAnsi="Arial"/>
                <w:sz w:val="16"/>
                <w:szCs w:val="16"/>
              </w:rPr>
              <w:t>Para uso dos 10 agentes de apoio e 02 agentes de trânsito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12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2.37.01.0003-0 - Locação de máquina/dispositivo para Ponto de Venda (POS ou P DV)</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888</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846,56</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751.745,28</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máquina/dispositivo para comercialização (POS), com suporte e manutenção</w:t>
            </w:r>
          </w:p>
          <w:p>
            <w:pPr>
              <w:pStyle w:val="Normal"/>
              <w:widowControl w:val="false"/>
              <w:pBdr/>
              <w:rPr>
                <w:rFonts w:ascii="Arial" w:hAnsi="Arial" w:cs="Arial"/>
                <w:sz w:val="16"/>
                <w:szCs w:val="16"/>
              </w:rPr>
            </w:pPr>
            <w:r>
              <w:rPr>
                <w:rFonts w:cs="Arial" w:ascii="Arial" w:hAnsi="Arial"/>
                <w:sz w:val="16"/>
                <w:szCs w:val="16"/>
              </w:rPr>
              <w:t>Para uso dos 10 Agentes de Apoio e 31 PDV’s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41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2.37.01.0004-9 - Fornecimento de plano de dados para os dispositivos móveis usados</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1.148</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105,39</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120.987,72</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 xml:space="preserve">Fornecimento de plano de dados para os dispositivos móveis usados pela fiscalização e POS/PDVs </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Quantidade máxima 53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2.37.01.0005-7 - Locação de aplicativo de acesso via smartphone</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21.633,73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475.942,06</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aplicativo de acesso via smartphone para usuários e portal do usuário web, com suporte e manutenção, com acesso em IOS e Android</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2.37.01.0014-6 - Locação website para cadastro, aquisição de tíquetes, e de meios de avulso – site responsivo (QRCode), com suporte e manutenção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11.773,40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259.014,80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website para cadastro, aquisição de tíquetes, e de meios de avulso – site responsivo (QRCode), com suporte e manutenção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2.37.01.0006-5 - Locação de Sistema Integrado de Gestão de Estacionamento Rot ativo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20.201,45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444.431,90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Sistema Integrado de Gestão de Estacionamento Rotativo Online, com suporte e manutenção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2.37.01.0007-3 - Sistema de fiscalização móvel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43</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31.098,53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1.337.236,79</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Sistema de fiscalização móvel embarcada, integrada ao sistema de gestão de estacionamento, incluindo operação do sistema, veículo, combustível, motorista, manutenção e demais insumos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2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2.08.13.0104-5 - Agentes de apoio com equipamentos próprios de comercialização e fiscalização manual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215</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7.468,34</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1.605.693,10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Agentes de apoio com equipamentos próprios de comercialização e fiscalização manual</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10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2.08.13.0105-3 - Serviço de manutenção preventiva e corretiva da sinalização vertical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5.576,40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122.680,80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Serviço de manutenção preventiva e corretiva da sinalização vertical</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2.05.26.0525-2 - Serviço de manutenção preventiva e corretiva do Georreferenciamento</w:t>
            </w:r>
          </w:p>
          <w:p>
            <w:pPr>
              <w:pStyle w:val="Normal"/>
              <w:widowControl w:val="false"/>
              <w:pBdr/>
              <w:rPr>
                <w:rFonts w:ascii="Arial" w:hAnsi="Arial" w:cs="Arial"/>
                <w:b/>
                <w:bCs/>
                <w:sz w:val="16"/>
                <w:szCs w:val="16"/>
              </w:rPr>
            </w:pPr>
            <w:r>
              <w:rPr>
                <w:rFonts w:cs="Arial" w:ascii="Arial" w:hAnsi="Arial"/>
                <w:b/>
                <w:bCs/>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3.295,55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72.502,10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Serviço de manutenção preventiva e corretiva do Georreferenciamento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2.05.26.0526-0 - DATACENTER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11.720,01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257.840,22</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DATACENTER</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2.05.02.0000-0 - Pesquisa de satisfação do usuário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2.092,48</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8.369,92</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6"/>
                <w:szCs w:val="16"/>
              </w:rPr>
            </w:pPr>
            <w:r>
              <w:rPr>
                <w:rFonts w:cs="Arial" w:ascii="Arial" w:hAnsi="Arial"/>
                <w:sz w:val="16"/>
                <w:szCs w:val="16"/>
              </w:rPr>
              <w:t>Pesquisa de satisfação do usuário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semestre</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both"/>
              <w:rPr>
                <w:rFonts w:ascii="Arial" w:hAnsi="Arial" w:cs="Arial"/>
                <w:b/>
                <w:bCs/>
                <w:sz w:val="16"/>
                <w:szCs w:val="16"/>
              </w:rPr>
            </w:pPr>
            <w:r>
              <w:rPr>
                <w:rFonts w:cs="Arial" w:ascii="Arial" w:hAnsi="Arial"/>
                <w:b/>
                <w:bCs/>
                <w:sz w:val="16"/>
                <w:szCs w:val="16"/>
              </w:rPr>
              <w:t xml:space="preserve">FORNECIMENTO ÚNICO </w:t>
            </w:r>
          </w:p>
          <w:p>
            <w:pPr>
              <w:pStyle w:val="Normal"/>
              <w:widowControl w:val="false"/>
              <w:pBdr/>
              <w:jc w:val="both"/>
              <w:rPr>
                <w:rFonts w:ascii="Arial" w:hAnsi="Arial" w:cs="Arial"/>
                <w:b/>
                <w:bCs/>
                <w:sz w:val="16"/>
                <w:szCs w:val="16"/>
              </w:rPr>
            </w:pPr>
            <w:r>
              <w:rPr>
                <w:rFonts w:cs="Arial" w:ascii="Arial" w:hAnsi="Arial"/>
                <w:b/>
                <w:bCs/>
                <w:sz w:val="16"/>
                <w:szCs w:val="16"/>
              </w:rPr>
            </w:r>
          </w:p>
          <w:p>
            <w:pPr>
              <w:pStyle w:val="Normal"/>
              <w:widowControl w:val="false"/>
              <w:pBdr/>
              <w:jc w:val="both"/>
              <w:rPr>
                <w:rFonts w:ascii="Arial" w:hAnsi="Arial" w:cs="Arial"/>
                <w:b/>
                <w:bCs/>
                <w:sz w:val="16"/>
                <w:szCs w:val="16"/>
              </w:rPr>
            </w:pPr>
            <w:r>
              <w:rPr>
                <w:rFonts w:cs="Arial" w:ascii="Arial" w:hAnsi="Arial"/>
                <w:b/>
                <w:bCs/>
                <w:sz w:val="16"/>
                <w:szCs w:val="16"/>
              </w:rPr>
              <w:t>QUANTIDADES CONFORME CRONOGRAMA FÍSICO-FINANCEIRO</w:t>
            </w:r>
          </w:p>
          <w:p>
            <w:pPr>
              <w:pStyle w:val="Normal"/>
              <w:widowControl w:val="false"/>
              <w:pBdr/>
              <w:jc w:val="both"/>
              <w:rPr>
                <w:rFonts w:ascii="Arial" w:hAnsi="Arial" w:cs="Arial"/>
                <w:b/>
                <w:bCs/>
                <w:sz w:val="16"/>
                <w:szCs w:val="16"/>
              </w:rPr>
            </w:pPr>
            <w:r>
              <w:rPr>
                <w:rFonts w:cs="Arial" w:ascii="Arial" w:hAnsi="Arial"/>
                <w:b/>
                <w:bCs/>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2.37.01.0008-1 - Fornecimento, instalação e manutenção de placas de sinalização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409</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942,70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385.564,30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Fornecimento, instalação de placas de sinalização vertical</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409 placas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2.37.01.0011-1 - Fornecimento de licenças de software</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37.567,03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37.567,03</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Fornecimento de licenças de software de todos os aplicativos e sistemas utilizados.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2.05.06.0094-6 - Georreferenciamento das vagas para veículos</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1.724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45,89</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79.114,36</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6"/>
                <w:szCs w:val="16"/>
              </w:rPr>
            </w:pPr>
            <w:r>
              <w:rPr>
                <w:rFonts w:cs="Arial" w:ascii="Arial" w:hAnsi="Arial"/>
                <w:sz w:val="16"/>
                <w:szCs w:val="16"/>
              </w:rPr>
              <w:t>Georreferenciamento das vagas para veículos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1.724 vagas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2.37.01.0012-0 - Prestação de serviço de divulgação do sistema</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31.879,79</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31.879,79</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Prestação de serviço de divulgação do sistema – pelo prazo de 15 dias</w:t>
            </w:r>
          </w:p>
          <w:p>
            <w:pPr>
              <w:pStyle w:val="Normal"/>
              <w:widowControl w:val="false"/>
              <w:pBdr/>
              <w:rPr>
                <w:rFonts w:ascii="Arial" w:hAnsi="Arial" w:cs="Arial"/>
                <w:sz w:val="16"/>
                <w:szCs w:val="16"/>
              </w:rPr>
            </w:pPr>
            <w:r>
              <w:rPr>
                <w:rFonts w:cs="Arial" w:ascii="Arial" w:hAnsi="Arial"/>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2.37.01.0010-3 - Treinamento e suporte</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8.492,90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8.492,90</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6"/>
                <w:szCs w:val="16"/>
              </w:rPr>
            </w:pPr>
            <w:r>
              <w:rPr>
                <w:rFonts w:cs="Arial" w:ascii="Arial" w:hAnsi="Arial"/>
                <w:sz w:val="16"/>
                <w:szCs w:val="16"/>
              </w:rPr>
              <w:t>Treinamento e suporte continuado ao funcionários responsáveis pela gestão e fiscalização do contrato e treinamento.</w:t>
            </w:r>
          </w:p>
          <w:p>
            <w:pPr>
              <w:pStyle w:val="Normal"/>
              <w:widowControl w:val="false"/>
              <w:pBdr/>
              <w:rPr>
                <w:rFonts w:ascii="Arial" w:hAnsi="Arial" w:cs="Arial"/>
                <w:sz w:val="16"/>
                <w:szCs w:val="16"/>
              </w:rPr>
            </w:pPr>
            <w:r>
              <w:rPr>
                <w:rFonts w:cs="Arial" w:ascii="Arial" w:hAnsi="Arial"/>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b/>
                <w:bCs/>
                <w:sz w:val="16"/>
                <w:szCs w:val="16"/>
              </w:rPr>
            </w:pPr>
            <w:r>
              <w:rPr>
                <w:rFonts w:cs="Arial" w:ascii="Arial" w:hAnsi="Arial"/>
                <w:b/>
                <w:bCs/>
                <w:sz w:val="16"/>
                <w:szCs w:val="16"/>
              </w:rPr>
              <w:t>VALOR TOTAL DO LOTE 01 PARA 24 MESES – R$ 6.273.560,67 (seis milhões duzentos e setenta e três mil quinhentos e sessenta reais e sessenta e sete centavos)</w:t>
            </w:r>
          </w:p>
        </w:tc>
      </w:tr>
    </w:tbl>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tabs>
          <w:tab w:val="clear" w:pos="708"/>
          <w:tab w:val="left" w:pos="1075" w:leader="none"/>
        </w:tabs>
        <w:spacing w:lineRule="auto" w:line="276" w:before="0" w:after="0"/>
        <w:contextualSpacing/>
        <w:jc w:val="both"/>
        <w:rPr>
          <w:rFonts w:ascii="Arial" w:hAnsi="Arial" w:cs="Arial"/>
          <w:b/>
          <w:bCs/>
          <w:sz w:val="22"/>
          <w:szCs w:val="22"/>
          <w:u w:val="single"/>
        </w:rPr>
      </w:pPr>
      <w:r>
        <w:rPr>
          <w:rFonts w:cs="Arial" w:ascii="Arial" w:hAnsi="Arial"/>
          <w:b/>
          <w:bCs/>
          <w:sz w:val="22"/>
          <w:szCs w:val="22"/>
          <w:u w:val="single"/>
        </w:rPr>
      </w:r>
    </w:p>
    <w:p>
      <w:pPr>
        <w:pStyle w:val="ListParagraph"/>
        <w:numPr>
          <w:ilvl w:val="0"/>
          <w:numId w:val="7"/>
        </w:numPr>
        <w:tabs>
          <w:tab w:val="clear" w:pos="708"/>
          <w:tab w:val="left" w:pos="1075" w:leader="none"/>
        </w:tabs>
        <w:spacing w:lineRule="auto" w:line="276"/>
        <w:jc w:val="both"/>
        <w:rPr>
          <w:rFonts w:ascii="Arial" w:hAnsi="Arial" w:cs="Arial"/>
          <w:b/>
          <w:bCs/>
          <w:sz w:val="22"/>
          <w:szCs w:val="22"/>
          <w:u w:val="single"/>
        </w:rPr>
      </w:pPr>
      <w:r>
        <w:rPr>
          <w:rFonts w:cs="Arial" w:ascii="Arial" w:hAnsi="Arial"/>
          <w:b/>
          <w:bCs/>
          <w:sz w:val="22"/>
          <w:szCs w:val="22"/>
          <w:u w:val="single"/>
        </w:rPr>
        <w:t>ÁREAS DE ABRANGÊNCIA</w:t>
      </w:r>
    </w:p>
    <w:p>
      <w:pPr>
        <w:pStyle w:val="ListParagraph"/>
        <w:tabs>
          <w:tab w:val="clear" w:pos="708"/>
          <w:tab w:val="left" w:pos="1075" w:leader="none"/>
        </w:tabs>
        <w:spacing w:lineRule="auto" w:line="276"/>
        <w:ind w:left="2628"/>
        <w:jc w:val="both"/>
        <w:rPr>
          <w:rFonts w:ascii="Arial" w:hAnsi="Arial" w:cs="Arial"/>
          <w:sz w:val="22"/>
          <w:szCs w:val="22"/>
        </w:rPr>
      </w:pPr>
      <w:r>
        <w:rPr>
          <w:rFonts w:cs="Arial" w:ascii="Arial" w:hAnsi="Arial"/>
          <w:sz w:val="22"/>
          <w:szCs w:val="22"/>
        </w:rPr>
      </w:r>
    </w:p>
    <w:tbl>
      <w:tblPr>
        <w:tblW w:w="9726"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3225"/>
        <w:gridCol w:w="1063"/>
        <w:gridCol w:w="1249"/>
        <w:gridCol w:w="738"/>
        <w:gridCol w:w="500"/>
        <w:gridCol w:w="738"/>
        <w:gridCol w:w="524"/>
        <w:gridCol w:w="625"/>
        <w:gridCol w:w="1063"/>
      </w:tblGrid>
      <w:tr>
        <w:trPr>
          <w:trHeight w:val="285" w:hRule="atLeast"/>
        </w:trPr>
        <w:tc>
          <w:tcPr>
            <w:tcW w:w="3225" w:type="dxa"/>
            <w:vMerge w:val="restart"/>
            <w:tcBorders>
              <w:top w:val="single" w:sz="4" w:space="0" w:color="000000"/>
              <w:left w:val="single" w:sz="4" w:space="0" w:color="000000"/>
              <w:bottom w:val="single" w:sz="4" w:space="0" w:color="000000"/>
            </w:tcBorders>
            <w:shd w:color="auto" w:fill="FFFFA6" w:val="clear"/>
          </w:tcPr>
          <w:p>
            <w:pPr>
              <w:pStyle w:val="Contedodatabela"/>
              <w:spacing w:lineRule="auto" w:line="276" w:before="0" w:after="0"/>
              <w:contextualSpacing/>
              <w:jc w:val="both"/>
              <w:rPr>
                <w:rFonts w:ascii="Arial" w:hAnsi="Arial" w:cs="Arial"/>
                <w:b/>
                <w:bCs/>
                <w:sz w:val="16"/>
                <w:szCs w:val="16"/>
              </w:rPr>
            </w:pPr>
            <w:r>
              <w:rPr>
                <w:rFonts w:cs="Arial" w:ascii="Arial" w:hAnsi="Arial"/>
                <w:b/>
                <w:bCs/>
                <w:sz w:val="16"/>
                <w:szCs w:val="16"/>
              </w:rPr>
              <w:t>LOGRADOURO</w:t>
            </w:r>
          </w:p>
        </w:tc>
        <w:tc>
          <w:tcPr>
            <w:tcW w:w="2312" w:type="dxa"/>
            <w:gridSpan w:val="2"/>
            <w:tcBorders>
              <w:top w:val="single" w:sz="4" w:space="0" w:color="000000"/>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VAGAS PAGAS</w:t>
            </w:r>
          </w:p>
        </w:tc>
        <w:tc>
          <w:tcPr>
            <w:tcW w:w="4188" w:type="dxa"/>
            <w:gridSpan w:val="6"/>
            <w:tcBorders>
              <w:top w:val="single" w:sz="4" w:space="0" w:color="000000"/>
              <w:left w:val="single" w:sz="4" w:space="0" w:color="000000"/>
              <w:bottom w:val="single" w:sz="4" w:space="0" w:color="000000"/>
              <w:right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VAGAS ROTATIVAS GRATUITAS</w:t>
            </w:r>
          </w:p>
        </w:tc>
      </w:tr>
      <w:tr>
        <w:trPr>
          <w:trHeight w:val="326" w:hRule="atLeast"/>
        </w:trPr>
        <w:tc>
          <w:tcPr>
            <w:tcW w:w="3225" w:type="dxa"/>
            <w:vMerge w:val="continue"/>
            <w:tcBorders>
              <w:top w:val="single" w:sz="4" w:space="0" w:color="000000"/>
              <w:left w:val="single" w:sz="4" w:space="0" w:color="000000"/>
              <w:bottom w:val="single" w:sz="4" w:space="0" w:color="000000"/>
            </w:tcBorders>
            <w:shd w:color="auto" w:fill="FFFFA6" w:val="clear"/>
          </w:tcPr>
          <w:p>
            <w:pPr>
              <w:pStyle w:val="Normal"/>
              <w:snapToGrid w:val="false"/>
              <w:spacing w:lineRule="auto" w:line="276" w:before="0" w:after="0"/>
              <w:contextualSpacing/>
              <w:jc w:val="both"/>
              <w:rPr>
                <w:rFonts w:ascii="Arial" w:hAnsi="Arial" w:cs="Arial"/>
                <w:b/>
                <w:bCs/>
                <w:sz w:val="16"/>
                <w:szCs w:val="16"/>
              </w:rPr>
            </w:pPr>
            <w:r>
              <w:rPr>
                <w:rFonts w:cs="Arial" w:ascii="Arial" w:hAnsi="Arial"/>
                <w:b/>
                <w:bCs/>
                <w:sz w:val="16"/>
                <w:szCs w:val="16"/>
              </w:rPr>
            </w:r>
          </w:p>
        </w:tc>
        <w:tc>
          <w:tcPr>
            <w:tcW w:w="1063"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ZA</w:t>
            </w:r>
          </w:p>
        </w:tc>
        <w:tc>
          <w:tcPr>
            <w:tcW w:w="1249"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 xml:space="preserve">CAR./DESC. </w:t>
            </w:r>
          </w:p>
        </w:tc>
        <w:tc>
          <w:tcPr>
            <w:tcW w:w="738"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IDOSO</w:t>
            </w:r>
          </w:p>
        </w:tc>
        <w:tc>
          <w:tcPr>
            <w:tcW w:w="500"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PCD</w:t>
            </w:r>
          </w:p>
        </w:tc>
        <w:tc>
          <w:tcPr>
            <w:tcW w:w="738"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MOTO</w:t>
            </w:r>
          </w:p>
        </w:tc>
        <w:tc>
          <w:tcPr>
            <w:tcW w:w="524"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ZB</w:t>
            </w:r>
          </w:p>
        </w:tc>
        <w:tc>
          <w:tcPr>
            <w:tcW w:w="625"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TÁXI</w:t>
            </w:r>
          </w:p>
        </w:tc>
        <w:tc>
          <w:tcPr>
            <w:tcW w:w="1063" w:type="dxa"/>
            <w:tcBorders>
              <w:left w:val="single" w:sz="4" w:space="0" w:color="000000"/>
              <w:bottom w:val="single" w:sz="4" w:space="0" w:color="000000"/>
              <w:right w:val="single" w:sz="4" w:space="0" w:color="000000"/>
            </w:tcBorders>
            <w:shd w:color="auto" w:fill="FFFFA6" w:val="clear"/>
          </w:tcPr>
          <w:p>
            <w:pPr>
              <w:pStyle w:val="Contedodatabela"/>
              <w:spacing w:lineRule="auto" w:line="276" w:before="0" w:after="0"/>
              <w:contextualSpacing/>
              <w:jc w:val="center"/>
              <w:rPr>
                <w:rFonts w:ascii="Arial" w:hAnsi="Arial" w:cs="Arial"/>
                <w:b/>
                <w:bCs/>
                <w:sz w:val="16"/>
                <w:szCs w:val="16"/>
              </w:rPr>
            </w:pPr>
            <w:r>
              <w:rPr>
                <w:rFonts w:cs="Arial" w:ascii="Arial" w:hAnsi="Arial"/>
                <w:b/>
                <w:bCs/>
                <w:sz w:val="16"/>
                <w:szCs w:val="16"/>
              </w:rPr>
              <w:t>EMB/DES.</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Mercado Municipal</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54</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10</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Luiz Scavone</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149</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07</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34</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lang w:val="en-US"/>
              </w:rPr>
              <w:t>Av</w:t>
            </w:r>
            <w:r>
              <w:rPr>
                <w:rFonts w:cs="Arial" w:ascii="Arial" w:hAnsi="Arial"/>
                <w:sz w:val="16"/>
                <w:szCs w:val="16"/>
              </w:rPr>
              <w:t>. Vinte e Nove de Abril</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141</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09</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29</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Eugênio Passos</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40</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15</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Comendador Franco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128</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06</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53</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Francisco Glicério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129</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13</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47</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07</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Independência</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38</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12</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Benjamin Constant</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63</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29</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Campos Salles</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35</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17</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Trv. Monsenhor Kolly</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15</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Soares Muniz</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22</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Barão de Itapema</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38</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17</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Dr. Jorge Tibiriçá</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27</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10</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Tobias Franco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38</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Piza e Almeida</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41</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Florêncio Pupo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57</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06</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Dr. Aguiar Pupo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48</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10</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Prudente de Moraes</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60</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21</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Rangel Pestana</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43</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27</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08</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Cel. Camilo Pires</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99</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44</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Rui Barbosa</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76</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36</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Mal. Deodoro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41</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14</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Aristides Lobo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15</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Sen. Lacerda Franco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03</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08</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Domingos Pretti</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Al. Sen. Paulo Abreu</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17</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Mal. Castelo Branco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13</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08</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Crescêncio da Silveira Pupo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60</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02</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30</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Antonio Leone</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06</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07</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Quintino Bocaiúva</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104</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38</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05</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Benjamin Constant (expansão)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13</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Antonio Alves</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11</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Prof. Britto</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22</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R. José Gabriel</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14</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01</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04" w:hRule="exact"/>
        </w:trPr>
        <w:tc>
          <w:tcPr>
            <w:tcW w:w="3225" w:type="dxa"/>
            <w:tcBorders>
              <w:left w:val="single" w:sz="4" w:space="0" w:color="000000"/>
              <w:bottom w:val="single" w:sz="4" w:space="0" w:color="000000"/>
            </w:tcBorders>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Av. Expedicionários Brasileiros</w:t>
            </w:r>
          </w:p>
        </w:tc>
        <w:tc>
          <w:tcPr>
            <w:tcW w:w="1063"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06</w:t>
            </w:r>
          </w:p>
        </w:tc>
        <w:tc>
          <w:tcPr>
            <w:tcW w:w="1249"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00"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738"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524"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625" w:type="dxa"/>
            <w:tcBorders>
              <w:left w:val="single" w:sz="4" w:space="0" w:color="000000"/>
              <w:bottom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c>
          <w:tcPr>
            <w:tcW w:w="1063" w:type="dxa"/>
            <w:tcBorders>
              <w:left w:val="single" w:sz="4" w:space="0" w:color="000000"/>
              <w:bottom w:val="single" w:sz="4" w:space="0" w:color="000000"/>
              <w:right w:val="single" w:sz="4" w:space="0" w:color="000000"/>
            </w:tcBorders>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w:t>
            </w:r>
          </w:p>
        </w:tc>
      </w:tr>
      <w:tr>
        <w:trPr>
          <w:trHeight w:val="340" w:hRule="exact"/>
        </w:trPr>
        <w:tc>
          <w:tcPr>
            <w:tcW w:w="3225" w:type="dxa"/>
            <w:tcBorders>
              <w:left w:val="single" w:sz="4" w:space="0" w:color="000000"/>
              <w:bottom w:val="single" w:sz="4" w:space="0" w:color="000000"/>
            </w:tcBorders>
            <w:shd w:color="auto" w:fill="FFFFA6" w:val="clear"/>
          </w:tcPr>
          <w:p>
            <w:pPr>
              <w:pStyle w:val="Contedodatabela"/>
              <w:spacing w:lineRule="auto" w:line="276" w:before="0" w:after="0"/>
              <w:contextualSpacing/>
              <w:jc w:val="both"/>
              <w:rPr>
                <w:rFonts w:ascii="Arial" w:hAnsi="Arial" w:cs="Arial"/>
                <w:sz w:val="16"/>
                <w:szCs w:val="16"/>
              </w:rPr>
            </w:pPr>
            <w:r>
              <w:rPr>
                <w:rFonts w:cs="Arial" w:ascii="Arial" w:hAnsi="Arial"/>
                <w:sz w:val="16"/>
                <w:szCs w:val="16"/>
              </w:rPr>
              <w:t>TOTAL DE VAGAS</w:t>
            </w:r>
          </w:p>
        </w:tc>
        <w:tc>
          <w:tcPr>
            <w:tcW w:w="1063"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1701</w:t>
            </w:r>
          </w:p>
        </w:tc>
        <w:tc>
          <w:tcPr>
            <w:tcW w:w="1249"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23</w:t>
            </w:r>
          </w:p>
        </w:tc>
        <w:tc>
          <w:tcPr>
            <w:tcW w:w="738"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83</w:t>
            </w:r>
          </w:p>
        </w:tc>
        <w:tc>
          <w:tcPr>
            <w:tcW w:w="500"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49</w:t>
            </w:r>
          </w:p>
        </w:tc>
        <w:tc>
          <w:tcPr>
            <w:tcW w:w="738"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530</w:t>
            </w:r>
          </w:p>
        </w:tc>
        <w:tc>
          <w:tcPr>
            <w:tcW w:w="524"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27</w:t>
            </w:r>
          </w:p>
        </w:tc>
        <w:tc>
          <w:tcPr>
            <w:tcW w:w="625" w:type="dxa"/>
            <w:tcBorders>
              <w:left w:val="single" w:sz="4" w:space="0" w:color="000000"/>
              <w:bottom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18</w:t>
            </w:r>
          </w:p>
        </w:tc>
        <w:tc>
          <w:tcPr>
            <w:tcW w:w="1063" w:type="dxa"/>
            <w:tcBorders>
              <w:left w:val="single" w:sz="4" w:space="0" w:color="000000"/>
              <w:bottom w:val="single" w:sz="4" w:space="0" w:color="000000"/>
              <w:right w:val="single" w:sz="4" w:space="0" w:color="000000"/>
            </w:tcBorders>
            <w:shd w:color="auto" w:fill="FFFFA6" w:val="clear"/>
          </w:tcPr>
          <w:p>
            <w:pPr>
              <w:pStyle w:val="Contedodatabela"/>
              <w:spacing w:lineRule="auto" w:line="276" w:before="0" w:after="0"/>
              <w:contextualSpacing/>
              <w:jc w:val="center"/>
              <w:rPr>
                <w:rFonts w:ascii="Arial" w:hAnsi="Arial" w:cs="Arial"/>
                <w:sz w:val="16"/>
                <w:szCs w:val="16"/>
              </w:rPr>
            </w:pPr>
            <w:r>
              <w:rPr>
                <w:rFonts w:cs="Arial" w:ascii="Arial" w:hAnsi="Arial"/>
                <w:sz w:val="16"/>
                <w:szCs w:val="16"/>
              </w:rPr>
              <w:t>04</w:t>
            </w:r>
          </w:p>
        </w:tc>
      </w:tr>
    </w:tbl>
    <w:p>
      <w:pPr>
        <w:pStyle w:val="Normal"/>
        <w:tabs>
          <w:tab w:val="clear" w:pos="708"/>
          <w:tab w:val="left" w:pos="1795" w:leader="none"/>
        </w:tabs>
        <w:spacing w:lineRule="auto" w:line="360" w:before="0" w:after="0"/>
        <w:contextualSpacing/>
        <w:jc w:val="both"/>
        <w:rPr>
          <w:rFonts w:ascii="Arial" w:hAnsi="Arial" w:cs="Arial"/>
          <w:sz w:val="22"/>
          <w:szCs w:val="22"/>
        </w:rPr>
      </w:pPr>
      <w:r>
        <w:rPr>
          <w:rFonts w:cs="Arial" w:ascii="Arial" w:hAnsi="Arial"/>
          <w:sz w:val="22"/>
          <w:szCs w:val="22"/>
        </w:rPr>
      </w:r>
    </w:p>
    <w:p>
      <w:pPr>
        <w:pStyle w:val="Normal"/>
        <w:tabs>
          <w:tab w:val="clear" w:pos="708"/>
          <w:tab w:val="left" w:pos="1795" w:leader="none"/>
        </w:tabs>
        <w:spacing w:lineRule="auto" w:line="360" w:before="0" w:after="0"/>
        <w:contextualSpacing/>
        <w:jc w:val="both"/>
        <w:rPr>
          <w:rFonts w:ascii="Arial" w:hAnsi="Arial" w:cs="Arial"/>
          <w:sz w:val="22"/>
          <w:szCs w:val="22"/>
        </w:rPr>
      </w:pPr>
      <w:r>
        <w:rPr>
          <w:rFonts w:cs="Arial" w:ascii="Arial" w:hAnsi="Arial"/>
          <w:sz w:val="22"/>
          <w:szCs w:val="22"/>
        </w:rPr>
        <w:t>4.1. O número previsto de vagas são aproximadamente 2435 (duas mil quatrocentos e trinta e cinco), das quais 1.724 (mil setecentas e vinte e quatro) são tarifadas.</w:t>
      </w:r>
    </w:p>
    <w:p>
      <w:pPr>
        <w:pStyle w:val="Normal"/>
        <w:tabs>
          <w:tab w:val="clear" w:pos="708"/>
          <w:tab w:val="left" w:pos="1825" w:leader="none"/>
        </w:tabs>
        <w:spacing w:lineRule="auto" w:line="360" w:before="0" w:after="0"/>
        <w:contextualSpacing/>
        <w:jc w:val="both"/>
        <w:rPr>
          <w:rFonts w:ascii="Arial" w:hAnsi="Arial" w:cs="Arial"/>
          <w:sz w:val="22"/>
          <w:szCs w:val="22"/>
        </w:rPr>
      </w:pPr>
      <w:r>
        <w:rPr>
          <w:rFonts w:cs="Arial" w:ascii="Arial" w:hAnsi="Arial"/>
          <w:sz w:val="22"/>
          <w:szCs w:val="22"/>
        </w:rPr>
        <w:t>4.2. Com a implantação da nova sinalização, os percentuais garantidos em lei para Deficientes Físicos e Idosos deverão ser respeitas em suas proporcionalidades, ficando dispostas nas quantidades abaixo relacionadas:</w:t>
      </w:r>
    </w:p>
    <w:p>
      <w:pPr>
        <w:pStyle w:val="Normal"/>
        <w:spacing w:lineRule="auto" w:line="360" w:before="0" w:after="0"/>
        <w:ind w:left="737"/>
        <w:contextualSpacing/>
        <w:jc w:val="both"/>
        <w:rPr>
          <w:rFonts w:ascii="Arial" w:hAnsi="Arial" w:cs="Arial"/>
          <w:sz w:val="22"/>
          <w:szCs w:val="22"/>
        </w:rPr>
      </w:pPr>
      <w:r>
        <w:rPr>
          <w:rFonts w:cs="Arial" w:ascii="Arial" w:hAnsi="Arial"/>
          <w:sz w:val="22"/>
          <w:szCs w:val="22"/>
        </w:rPr>
        <w:t>4.2.1. Vagas PCD 2% das vagas;</w:t>
      </w:r>
    </w:p>
    <w:p>
      <w:pPr>
        <w:pStyle w:val="Normal"/>
        <w:spacing w:lineRule="auto" w:line="360" w:before="0" w:after="0"/>
        <w:ind w:left="737"/>
        <w:contextualSpacing/>
        <w:jc w:val="both"/>
        <w:rPr>
          <w:rFonts w:ascii="Arial" w:hAnsi="Arial" w:cs="Arial"/>
          <w:sz w:val="22"/>
          <w:szCs w:val="22"/>
        </w:rPr>
      </w:pPr>
      <w:r>
        <w:rPr>
          <w:rFonts w:cs="Arial" w:ascii="Arial" w:hAnsi="Arial"/>
          <w:sz w:val="22"/>
          <w:szCs w:val="22"/>
        </w:rPr>
        <w:t>4.2.2. Vagas Idosos 5% das vagas;</w:t>
      </w:r>
    </w:p>
    <w:p>
      <w:pPr>
        <w:pStyle w:val="Normal"/>
        <w:spacing w:lineRule="auto" w:line="360" w:before="0" w:after="0"/>
        <w:ind w:left="737"/>
        <w:contextualSpacing/>
        <w:jc w:val="both"/>
        <w:rPr>
          <w:rFonts w:ascii="Arial" w:hAnsi="Arial" w:cs="Arial"/>
          <w:sz w:val="22"/>
          <w:szCs w:val="22"/>
        </w:rPr>
      </w:pPr>
      <w:r>
        <w:rPr>
          <w:rFonts w:cs="Arial" w:ascii="Arial" w:hAnsi="Arial"/>
          <w:sz w:val="22"/>
          <w:szCs w:val="22"/>
        </w:rPr>
        <w:t>4.2.3. Os idosos, PCD’s, vagas de motos, vagas de transporte de passageiros, zona branca e embarque e desembarque são isentos de pagamento conforme este edital.</w:t>
      </w:r>
    </w:p>
    <w:p>
      <w:pPr>
        <w:pStyle w:val="Normal"/>
        <w:spacing w:lineRule="auto" w:line="360" w:before="0" w:after="0"/>
        <w:contextualSpacing/>
        <w:jc w:val="both"/>
        <w:rPr>
          <w:rFonts w:ascii="Arial" w:hAnsi="Arial" w:cs="Arial"/>
          <w:sz w:val="22"/>
          <w:szCs w:val="22"/>
        </w:rPr>
      </w:pPr>
      <w:r>
        <w:rPr>
          <w:rFonts w:cs="Arial" w:ascii="Arial" w:hAnsi="Arial"/>
          <w:sz w:val="22"/>
          <w:szCs w:val="22"/>
        </w:rPr>
        <w:t>4.3. A CONTRATANTE poderá incluir ou excluir vagas, vias e logradouros das áreas destinadas ao Sistema, após análise de projetos viários prevendo a fluidez do tráfego, de projetos particulares prevendo o acesso de veículos (guias rebaixadas), de estudos para implantação de pontos de ônibus, corredor específico de ônibus, táxi, guias rebaixadas e vagas para deficientes.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4.3.1. O aumento de vagas de estacionamento rotativo poderá acarretar a revisão proporcional dos demais itens contratados com a respectiva remuneração, especialmente considerando a necessidade de garantia da fiscalização eficiente do sistema, de acordo com os seguintes parâmetros utilizados no presente termo de referência: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01 (uma) placa de sinalização de zona azul para aproximadamente cada 15 vagas de estacionamento rotativo pago;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01 (uma) placa de sinalização para cada vaga de zona branca, carga e descarga, idoso, PCD e embarque e desembarque;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01 (uma) placa de sinalização para cada área de estacionamento de motocicletas;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01 (uma) placa de sinalização de táxi para cada área de estacionamento de taxi;</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e) 01 (um) agente de apoio para aproximadamente cada 180 vagas de estacionamento rotativo pago (zona azul);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f) 01 (um) PDV para aproximadamente cada 60 vagas de estacionamento rotativo pago (zona azul);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g) 01 (um) veículo para aproximadamente cada 900 vagas de estacionamento rotativo pago (zona azul).</w:t>
      </w:r>
    </w:p>
    <w:p>
      <w:pPr>
        <w:pStyle w:val="Normal"/>
        <w:spacing w:lineRule="auto" w:line="360" w:before="0" w:after="0"/>
        <w:contextualSpacing/>
        <w:jc w:val="both"/>
        <w:rPr>
          <w:rFonts w:ascii="Arial" w:hAnsi="Arial" w:cs="Arial"/>
          <w:sz w:val="22"/>
          <w:szCs w:val="22"/>
        </w:rPr>
      </w:pPr>
      <w:r>
        <w:rPr>
          <w:rFonts w:cs="Arial" w:ascii="Arial" w:hAnsi="Arial"/>
          <w:sz w:val="22"/>
          <w:szCs w:val="22"/>
        </w:rPr>
        <w:t>4.4. A CONTRATANTE poderá solicitar a CONTRATADA a parametrização do sistema prevendo a criação, em vias e logradouros das áreas já autorizadas ao Sistema, de vagas de estacionamento rotativo com tempos de permanência e valores diferenciados, quando se fizer necessário para gerar rotatividade em subáreas de alta demanda por vagas. Poderá, ainda, solicitar a mudança de horário de funcionamento em períodos de tempo determinados ao longo do ano.</w:t>
      </w:r>
    </w:p>
    <w:p>
      <w:pPr>
        <w:pStyle w:val="Normal"/>
        <w:spacing w:lineRule="auto" w:line="360" w:before="0" w:after="0"/>
        <w:contextualSpacing/>
        <w:jc w:val="both"/>
        <w:rPr>
          <w:rFonts w:ascii="Arial" w:hAnsi="Arial" w:cs="Arial"/>
          <w:sz w:val="22"/>
          <w:szCs w:val="22"/>
        </w:rPr>
      </w:pPr>
      <w:r>
        <w:rPr>
          <w:rFonts w:cs="Arial" w:ascii="Arial" w:hAnsi="Arial"/>
          <w:sz w:val="22"/>
          <w:szCs w:val="22"/>
        </w:rPr>
        <w:t>4.5. Conceituamos abaixo as áreas de estacionamento rotativo regulamentado: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4.5.1. Áreas de estacionamento rotativo pago (Estacionamento Rotativo) são partes das vias sinalizadas para o estacionamento de veículos, regulamentado para um período máximo de 2 (duas) horas por quadra, determinado através de Decreto do Executivo;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4.5.2. Áreas de estacionamento para motocicletas, motonetas, ciclomotores e bicicletas. São partes das vias devidamente sinalizadas para estacionamento específico de veículos de duas rodas, sendo que nestas áreas fica proibido, o estacionamento de outros tipos de veículos. As vagas destinadas ao estacionamento de motos não serão pagas;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4.5.3. Áreas de estacionamento para veículo conduzido ou conduzindo pessoa deficiente física. São partes das vias sinalizadas para o estacionamento de veículo conduzido ou conduzindo pessoa deficiente física, devendo o veículo estar devidamente identificado e com autorização conforme estabelece a resolução 965 do CONTRAN – Conselho Nacional de Trânsito. As vagas deverão ser posicionadas de forma a garantir o conforto e segurança do deficiente, respeitado o limite mínimo de 2% (dois por cento) do total de vagas regulamentadas para estacionamento rotativo. Considera-se deficiência toda ausência ou disfunção psíquica, fisiológica ou anatômica, ainda que temporária, que impeça ou dificulte a locomoção do condutor ou passageiro do veículo. Ficarão sujeitos às aplicações das penalidades previstas no artigo 181, inciso XVII do Código de Trânsito Brasileiro, os veículos que mesmos identificados com a credencial definida pela resolução 965 do CONTRAN, não estejam sendo conduzidos ou transportando deficientes físicos. Estas vagas não serão cobradas, porém o usuário deverá respeitar o período de estacionamento, conforme a regulamentação e legislação municipal;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4.5.4. Áreas de estacionamento para veículo de idoso: São partes das vias sinalizadas para o estacionamento de veículo conduzido por idoso ou que transporte idoso, devidamente identificado e com autorização conforme estabelece a resolução 965, do CONTRAN. As vagas deverão ser posicionadas de forma a garantir o conforto e segurança do usuário idoso, respeitado o limite mínimo de 5% (cinco por cento) do total de vagas regulamentadas para estacionamento rotativo. Ficarão sujeitos às aplicações das penalidades previstas no artigo 181, inciso XVII do Código de Trânsito Brasileiro, os veículos que mesmos identificados com a credencial definida pela resolução do CONTRAN, não estejam sendo conduzidos ou transportando idosos. Estas vagas não serão cobradas e o usuário deverá respeitar o período de estacionamento, conforme a regulamentação e legislação municipal;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4.5.5. Áreas de estacionamento para veículo de transporte de passageiros:  São partes das vias sinalizadas para o estacionamento exclusivo de veículos de categoria de aluguel que prestam serviços públicos mediante Concessão ou autorização do poder público municipal. Estas vagas não serão cobradas;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4.5.6. Zona branca (ZB): vagas de estacionamento que permitem estacionar por 15 minutos de forma gratuita, desde que o veículo esteja com o pisca alerta ligado;</w:t>
      </w:r>
    </w:p>
    <w:p>
      <w:pPr>
        <w:pStyle w:val="Normal"/>
        <w:spacing w:lineRule="auto" w:line="360" w:before="0" w:after="0"/>
        <w:contextualSpacing/>
        <w:jc w:val="both"/>
        <w:rPr>
          <w:rFonts w:ascii="Arial" w:hAnsi="Arial" w:cs="Arial"/>
          <w:sz w:val="22"/>
          <w:szCs w:val="22"/>
        </w:rPr>
      </w:pPr>
      <w:r>
        <w:rPr>
          <w:rFonts w:cs="Arial" w:ascii="Arial" w:hAnsi="Arial"/>
          <w:sz w:val="22"/>
          <w:szCs w:val="22"/>
        </w:rPr>
        <w:t>4.6. São isentos de pagamento de tarifas os veículos previstos em Leis e Decretos, especialmente: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4.6.1. Veículos oficiais da União, Estados e Municípios, bem como suas autarquias e os veículos de transporte coletivo (ônibus e similares), quando em seus “pontos de parada”;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4.6.2. Os veículos de emergência e os de utilidade pública, quando em serviço, conforme estabelece o artigo 29 do CTB;</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4.6.3. Os veículos isentos de pagamento deverão respeitar as demais condições de utilização do estacionamento rotativo, especialmente no que se refere ao tempo máximo de permanência na vaga. Para o lançamento de placas de veículos isentos de pagamento na base de dados do sistema, será obrigatório anexar documento comprobatório com a solicitação incluindo o nome do solicitante, CPF e RG além do cargo do profissional;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4.6.4. Os veículos isentos de pagamento deverão ser identificados durante a fiscalização e esta informação deverá ser demonstrada em tela do equipamento utilizado pelos Agentes de fiscalização. Esta condição deverá ser registrada no sistema.</w:t>
      </w:r>
    </w:p>
    <w:p>
      <w:pPr>
        <w:pStyle w:val="Normal"/>
        <w:spacing w:lineRule="auto" w:line="360"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5. HORÁRIO DE FUNCIONAMENTO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5.1. 2ª à 6ª feira: Das 09:00 horas às 18:00 horas.</w:t>
      </w:r>
    </w:p>
    <w:p>
      <w:pPr>
        <w:pStyle w:val="Normal"/>
        <w:spacing w:lineRule="auto" w:line="360" w:before="0" w:after="0"/>
        <w:contextualSpacing/>
        <w:jc w:val="both"/>
        <w:rPr>
          <w:rFonts w:ascii="Arial" w:hAnsi="Arial" w:cs="Arial"/>
          <w:sz w:val="22"/>
          <w:szCs w:val="22"/>
        </w:rPr>
      </w:pPr>
      <w:r>
        <w:rPr>
          <w:rFonts w:cs="Arial" w:ascii="Arial" w:hAnsi="Arial"/>
          <w:sz w:val="22"/>
          <w:szCs w:val="22"/>
        </w:rPr>
        <w:t>5.2. Sábados normais: Das 09:00 horas às 13:00 horas.</w:t>
      </w:r>
    </w:p>
    <w:p>
      <w:pPr>
        <w:pStyle w:val="Normal"/>
        <w:spacing w:lineRule="auto" w:line="360" w:before="0" w:after="0"/>
        <w:contextualSpacing/>
        <w:jc w:val="both"/>
        <w:rPr>
          <w:rFonts w:ascii="Arial" w:hAnsi="Arial" w:cs="Arial"/>
          <w:sz w:val="22"/>
          <w:szCs w:val="22"/>
        </w:rPr>
      </w:pPr>
      <w:r>
        <w:rPr>
          <w:rFonts w:cs="Arial" w:ascii="Arial" w:hAnsi="Arial"/>
          <w:sz w:val="22"/>
          <w:szCs w:val="22"/>
        </w:rPr>
        <w:t>5.3. O período máximo de estacionamento deverá ser de até 2 (duas) horas em uma mesma quadra.</w:t>
      </w:r>
    </w:p>
    <w:p>
      <w:pPr>
        <w:pStyle w:val="Normal"/>
        <w:spacing w:lineRule="auto" w:line="360" w:before="0" w:after="0"/>
        <w:contextualSpacing/>
        <w:jc w:val="both"/>
        <w:rPr>
          <w:rFonts w:ascii="Arial" w:hAnsi="Arial" w:cs="Arial"/>
          <w:sz w:val="22"/>
          <w:szCs w:val="22"/>
        </w:rPr>
      </w:pPr>
      <w:r>
        <w:rPr>
          <w:rFonts w:cs="Arial" w:ascii="Arial" w:hAnsi="Arial"/>
          <w:sz w:val="22"/>
          <w:szCs w:val="22"/>
        </w:rPr>
        <w:t>5.4. Na operação do Sistema em todos os meios de aquisição do tíquete virtual, a opção de pagamento será por fração de tempo, conforme regulamentação da CONTRATANTE, sendo 30 (trinta) minutos a fração mínima de ativação, dessa forma, o usuário poderá escolher a validade do tíquete ativado de forma mais compatível com o tempo de permanência na vaga de estacionamento, desde que respeitado o tempo máximo de uso segundo as regras do estacionamento público rotativo.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6. TARIFAS</w:t>
      </w:r>
    </w:p>
    <w:p>
      <w:pPr>
        <w:pStyle w:val="Normal"/>
        <w:spacing w:lineRule="auto" w:line="360" w:before="0" w:after="0"/>
        <w:contextualSpacing/>
        <w:jc w:val="both"/>
        <w:rPr>
          <w:rFonts w:ascii="Arial" w:hAnsi="Arial" w:cs="Arial"/>
          <w:sz w:val="22"/>
          <w:szCs w:val="22"/>
        </w:rPr>
      </w:pPr>
      <w:r>
        <w:rPr>
          <w:rFonts w:cs="Arial" w:ascii="Arial" w:hAnsi="Arial"/>
          <w:sz w:val="22"/>
          <w:szCs w:val="22"/>
        </w:rPr>
        <w:t xml:space="preserve">6.1. As tarifas serão definidas por ato oficial do Chefe do Poder Executivo, contemplando valores para os períodos de 30 minutos, 60 minutos, 90 minutos e 120 minutos.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6.2. Tarifa de Pós Utilização – TPU: equivalente a 2 (duas) vezes o valor correspondente a 120 minutos, com prazo de pagamento de até 24 horas da emissão do ADCT.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6.2.1. Regras da Tarifa de Pós Utilização (TPU):</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Caso o usuário ora apontado e inserido no sistema eletrônico pelo monitoramento e fiscalização da empresa não tenha adquirido tempo/tíquete de estacionamento ou tenha o tempo/tíquete de estacionamento, expirado/vencido, será adimplido para o veículo o ADCT – Aviso de Cobrança Tarifária;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Para a regularização do ADCT – Aviso de Cobrança Tarifária, os usuários devem: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6.2.1.1. Em até 15 (quinze) minutos de tolerância e não de gratuidade/isenção, sem qualquer tipo de tolerância adicional, independentemente de fato, deverão utilizar este tempo exclusivamente para adquirir o tíquete/período nas plataformas de pagamento para uso do sistema.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6.2.1.2. Após estes 15 minutos, para o pagamento da TPU (TARIFA DE PÓS UTILIZAÇÃO) decorrente do ADCT – Aviso de Cobrança Tarifária, os usuários devem realizar o pagamento em até 24 (vinte e quatro) horas da emissão do ADCT, equivalente a 02 vezes o valor da tarifa de 120 minutos de estacionamento.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6.2.1.3. Após este período, caso o usuário não regularize sua situação, o veículo estará sujeito à lavratura do auto de infração de trânsito através dos agentes de fiscalização de trânsito Municipal.</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6.3. Os custos das transações através de PIX, cartão de crédito e débito deverão ser suportados exclusivamente pela CONTRATADA, que fará jus a percentual de 10% (dez por cento) para custos de transações, adquirência, e demais despesas com os meios de pagamento.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before="0" w:after="0"/>
        <w:contextualSpacing/>
        <w:jc w:val="both"/>
        <w:rPr>
          <w:rFonts w:ascii="Arial" w:hAnsi="Arial" w:cs="Arial"/>
          <w:b/>
          <w:bCs/>
          <w:sz w:val="22"/>
          <w:szCs w:val="22"/>
        </w:rPr>
      </w:pPr>
      <w:r>
        <w:rPr>
          <w:rFonts w:cs="Arial" w:ascii="Arial" w:hAnsi="Arial"/>
          <w:b/>
          <w:bCs/>
          <w:sz w:val="22"/>
          <w:szCs w:val="22"/>
        </w:rPr>
        <w:t>ESPECIFICAÇÕES DOS SERVIÇOS E EQUIPAMENTOS</w:t>
      </w:r>
    </w:p>
    <w:p>
      <w:pPr>
        <w:pStyle w:val="Normal"/>
        <w:spacing w:lineRule="auto" w:line="360" w:before="0" w:after="0"/>
        <w:contextualSpacing/>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7. LOCAÇÃO DE EQUIPAMENTOS PARA COMERCIALIZAÇÃO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contratada deverá fornecer equipamentos POS com software para </w:t>
      </w:r>
      <w:r>
        <w:rPr>
          <w:rFonts w:cs="Arial" w:ascii="Arial" w:hAnsi="Arial"/>
          <w:b/>
          <w:bCs/>
          <w:sz w:val="22"/>
          <w:szCs w:val="22"/>
        </w:rPr>
        <w:t>comercialização</w:t>
      </w:r>
      <w:r>
        <w:rPr>
          <w:rFonts w:cs="Arial" w:ascii="Arial" w:hAnsi="Arial"/>
          <w:sz w:val="22"/>
          <w:szCs w:val="22"/>
        </w:rPr>
        <w:t xml:space="preserve"> de tíquetes de zona azul e pagamento da TPU, que serão utilizados pelos</w:t>
      </w:r>
      <w:r>
        <w:rPr>
          <w:rFonts w:cs="Arial" w:ascii="Arial" w:hAnsi="Arial"/>
          <w:strike/>
          <w:sz w:val="22"/>
          <w:szCs w:val="22"/>
        </w:rPr>
        <w:t xml:space="preserve"> </w:t>
      </w:r>
      <w:r>
        <w:rPr>
          <w:rFonts w:cs="Arial" w:ascii="Arial" w:hAnsi="Arial"/>
          <w:sz w:val="22"/>
          <w:szCs w:val="22"/>
        </w:rPr>
        <w:t xml:space="preserve">agentes de apoio e pelos comércios que funcionarem como </w:t>
      </w:r>
      <w:r>
        <w:rPr>
          <w:rFonts w:cs="Arial" w:ascii="Arial" w:hAnsi="Arial"/>
          <w:sz w:val="22"/>
          <w:szCs w:val="22"/>
          <w:u w:val="single"/>
        </w:rPr>
        <w:t>PDV (Ponto de Venda),</w:t>
      </w:r>
      <w:r>
        <w:rPr>
          <w:rFonts w:cs="Arial" w:ascii="Arial" w:hAnsi="Arial"/>
          <w:sz w:val="22"/>
          <w:szCs w:val="22"/>
        </w:rPr>
        <w:t xml:space="preserve"> devendo ser um sistema prático e funcional, dispensando o uso de talonário manual e diminuindo as possibilidades de falha no preenchimento e garantindo transparência neste processo.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Todos os equipamentos POS deverão estar integrados com CARRO OCR para controle de tempo de estacionamento dos veículos.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Os PDV´s deverão ser facilmente identificáveis e estrategicamente localizados, a fim de atender adequadamente à demanda dos usuários.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Para garantia da segurança todas estas funções deverão estar integradas em um mesmo equipamento.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Deverão ser utilizados equipamentos POS, conectados à internet, dotado de comunicação de dados e impressora para emissão e comprovantes de pagamento, emissores de tíquetes de estacionamento, da marca/modelo escolhido pela CONTRATADA, obedecendo aos requisitos e especificações mínimas estabelecidas neste Termo de Referência: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7.1. Os equipamentos POS deverão ter condições de serem configurados para atender condições diferenciadas e específicas dos parâmetros da operação e das funcionalidades e premissas previstas neste Termo de Referência. Sua configuração deverá ainda ser feita através de programação (software), com um sistema de segurança para bloquear acesso de pessoas não autorizadas.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7.2. Deverá possuir recursos de proteção e segurança dos dados de forma a garantir a integridade das informações armazenadas e evitar a possibilidade de adulteração e/ou fraude;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7.3. Deverá informar através de códigos de mensagem quaisquer erros ou falhas operacionais do equipamento eletrônico, central de processamento ou do meio de comunicação e ainda deverá automaticamente cancelar a transação e emitir uma mensagem informativa ao usuário operador, por meio de códigos e legendas, para apresentação ao gestor do sistema e a devida solução do problema;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7.4. Módulo para gerenciamento de abertura de caixa, venda de tíquete de estacionamento digital, pagamento de TPU e fechamento de caixa.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7.5. Ao final do fechamento de caixa, deverá ser impresso um comprovante contendo as informações: IMEI do equipamento, data e hora de abertura, data e hora do fechamento, valor de fechamento de caixa, devendo constar separadamente o movimento feito por cada tipo de pagamento (cartões de crédito e débito devidamente separados por tipo e bandeira e pix).</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7.6. Todas as funcionalidades deverão estar integradas no equipamento, que deverá:</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7.6.1. Ser portátil, conectado à internet;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7.6.2. Possuir impressora térmica embutida;</w:t>
        <w:tab/>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7.6.3. Ser instalado nos comércios da cidade e fornecidos aos agentes de apoio;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7.6.4. Conter suporte à leitura NFC, cartões sem contato e meios eletrônicos;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7.6.5. Contar com Conexão por GPRS, Wi-Fi, Bluetooth, 3G, 4G ou superior;</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7.6.6. Conter criptografia ponta a ponta e PIN interno para débito;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7.6.7. Tela touchscreen colorida, impressora térmica, conexão USB e teclado numérico.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7.6.8. Possuir como funcionalidades operacionais: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Entrada de placa veicular e envio ao banco de dados;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Ativação conforme regras por área e tempo;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Reimpressão do último tíquete;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Bloqueio de períodos superiores ao tempo máximo permitido;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e) Operação online e registro de todas as transações (vendas, ADCTs, recargas etc.);</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f) Armazenamento local da última transação em caso de falha de comunicação;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g) Totalização diária por forma de pagamento;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h) Emissão de recibo e suporte aos seguintes meios de pagamento: PIX, carteira eletrônica, cartões de crédito/débito por aproximação e inserção.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i) Dispor das seguintes opções de tempo de estacionamento: 30, 60, 90 e 120 minutos.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7.6.9. Funcionalidades do módulo de gestão de caixa: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Abertura de caixa, impresso com data/hora e IMEI;</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Fechamento do caixa com relatório detalhado, incluindo totais por bandeira de cartão de débito/crédito e pix.</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7.6.10. Funcionalidades do módulo de recebimento de TPU:</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Digitação do número do ADCT ou placa;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Consulta automática ao banco de dados com retorno de: placa e modelo do veículo, número, data/hora e valor do ADCT;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Pagamento e impressão do comprovante de regularização.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7.7. Dos quantitativos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7.7.1. A contratada deverá fornecer 10 (dez) equipamentos POS com software para comercialização de tíquetes de zona azul e pagamento da TPU pelos Agentes de Apoio.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7.7.2. A contratada deverá fornecer, também, 31 (trinta e um) equipamentos POS com software para comercialização de tíquetes de zona azul e pagamento da TPU pelos comércios que funcionarem como PDV (Ponto de Venda). A responsabilidade de efetuar o credenciamento, em qualquer momento da prestação de serviço, de tais pontos é da CONTRATADA.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ab/>
        <w:t>7.7.2.1. Os pontos de venda localizados em estabelecimentos comerciais deverão ser identificados por meio de sinalização específica, nos seguintes formatos: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ab/>
        <w:t>a) PLACAS DE IDENTIFICAÇÃO PARA PONTOS DE VENDA, com lay-out a ser aprovado pela Contratante, com 210 mm de largura por 297 mm de altura, confeccionadas em adesivo aplicado sobre suporte de plástico em ABS (acrilonitrila butadieno estireno) ou acrílico, com espessura mínima de 2 mm;</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ab/>
        <w:t>b) PELÍCULAS ADESIVAS de 210 mm de largura por 297 mm de altura, aplicadas sobre vidro.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rPr>
        <w:t>8.</w:t>
      </w:r>
      <w:r>
        <w:rPr>
          <w:rFonts w:cs="Arial" w:ascii="Arial" w:hAnsi="Arial"/>
          <w:sz w:val="22"/>
          <w:szCs w:val="22"/>
        </w:rPr>
        <w:t xml:space="preserve"> </w:t>
      </w:r>
      <w:r>
        <w:rPr>
          <w:rFonts w:cs="Arial" w:ascii="Arial" w:hAnsi="Arial"/>
          <w:b/>
          <w:bCs/>
          <w:sz w:val="22"/>
          <w:szCs w:val="22"/>
          <w:u w:val="single"/>
        </w:rPr>
        <w:t>LOCAÇÃO DE EQUIPAMENTOS PARA MONITORAMENTO E FISCALIZAÇÃO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contratada deverá fornecer os equipamentos DPMF com software para </w:t>
      </w:r>
      <w:r>
        <w:rPr>
          <w:rFonts w:cs="Arial" w:ascii="Arial" w:hAnsi="Arial"/>
          <w:b/>
          <w:bCs/>
          <w:sz w:val="22"/>
          <w:szCs w:val="22"/>
        </w:rPr>
        <w:t xml:space="preserve">monitoramento e fiscalização, </w:t>
      </w:r>
      <w:r>
        <w:rPr>
          <w:rFonts w:cs="Arial" w:ascii="Arial" w:hAnsi="Arial"/>
          <w:sz w:val="22"/>
          <w:szCs w:val="22"/>
        </w:rPr>
        <w:t xml:space="preserve">que serão utilizados pelos </w:t>
      </w:r>
      <w:r>
        <w:rPr>
          <w:rFonts w:cs="Arial" w:ascii="Arial" w:hAnsi="Arial"/>
          <w:sz w:val="22"/>
          <w:szCs w:val="22"/>
          <w:u w:val="single"/>
        </w:rPr>
        <w:t>Agentes De Apoio</w:t>
      </w:r>
      <w:r>
        <w:rPr>
          <w:rFonts w:cs="Arial" w:ascii="Arial" w:hAnsi="Arial"/>
          <w:sz w:val="22"/>
          <w:szCs w:val="22"/>
        </w:rPr>
        <w:t xml:space="preserve"> e pelos </w:t>
      </w:r>
      <w:r>
        <w:rPr>
          <w:rFonts w:cs="Arial" w:ascii="Arial" w:hAnsi="Arial"/>
          <w:sz w:val="22"/>
          <w:szCs w:val="22"/>
          <w:u w:val="single"/>
        </w:rPr>
        <w:t>Agentes de Trânsito,</w:t>
      </w:r>
      <w:r>
        <w:rPr>
          <w:rFonts w:cs="Arial" w:ascii="Arial" w:hAnsi="Arial"/>
          <w:sz w:val="22"/>
          <w:szCs w:val="22"/>
        </w:rPr>
        <w:t xml:space="preserve"> devendo ser um sistema prático e funcional, dispensando o uso de talonário manual e diminuindo as possibilidades de falha no preenchimento e garantindo transparência neste processo.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Todos os equipamentos DPMF deverão estar integrados com CARRO OCR para controle de tempo de estacionamento dos veículos.</w:t>
      </w:r>
    </w:p>
    <w:p>
      <w:pPr>
        <w:pStyle w:val="Normal"/>
        <w:spacing w:lineRule="auto" w:line="360" w:before="0" w:after="0"/>
        <w:contextualSpacing/>
        <w:jc w:val="both"/>
        <w:rPr>
          <w:rFonts w:ascii="Arial" w:hAnsi="Arial" w:cs="Arial"/>
          <w:sz w:val="22"/>
          <w:szCs w:val="22"/>
          <w:u w:val="single"/>
        </w:rPr>
      </w:pPr>
      <w:r>
        <w:rPr>
          <w:rFonts w:cs="Arial" w:ascii="Arial" w:hAnsi="Arial"/>
          <w:sz w:val="22"/>
          <w:szCs w:val="22"/>
        </w:rPr>
        <w:tab/>
      </w:r>
      <w:r>
        <w:rPr>
          <w:rFonts w:cs="Arial" w:ascii="Arial" w:hAnsi="Arial"/>
          <w:sz w:val="22"/>
          <w:szCs w:val="22"/>
          <w:u w:val="single"/>
        </w:rPr>
        <w:t xml:space="preserve">8.1. Especificações mínimas dos equipamentos DPMF: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8.1.1. Possuir conexão sem fio através de GPRS ou Wi-Fi/Bluetooth ou 3G/4G ou superior para atender a qualquer requisito de ambiente;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8.1.2. Possuir tela “touchscreen” colorida;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8.1.3. Câmera com sensor de no mínimo 2 Mpx;</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8.1.4. GPS para geoposicionamento de fiscalização e apontamento de veículos;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8.1.5. Possuir tecnologia de gerenciamento MDM para garantir a segurança e integridade de utilização, impedindo acesso a funcionalidades não autorizadas.</w:t>
      </w:r>
    </w:p>
    <w:p>
      <w:pPr>
        <w:pStyle w:val="Normal"/>
        <w:spacing w:lineRule="auto" w:line="360" w:before="0" w:after="0"/>
        <w:contextualSpacing/>
        <w:jc w:val="both"/>
        <w:rPr>
          <w:rFonts w:ascii="Arial" w:hAnsi="Arial" w:cs="Arial"/>
          <w:sz w:val="22"/>
          <w:szCs w:val="22"/>
          <w:u w:val="single"/>
        </w:rPr>
      </w:pPr>
      <w:r>
        <w:rPr>
          <w:rFonts w:cs="Arial" w:ascii="Arial" w:hAnsi="Arial"/>
          <w:sz w:val="22"/>
          <w:szCs w:val="22"/>
        </w:rPr>
        <w:tab/>
      </w:r>
      <w:r>
        <w:rPr>
          <w:rFonts w:cs="Arial" w:ascii="Arial" w:hAnsi="Arial"/>
          <w:sz w:val="22"/>
          <w:szCs w:val="22"/>
          <w:u w:val="single"/>
        </w:rPr>
        <w:t xml:space="preserve">8.2. Funcionalidades mínimas do software emissor de ADCT – Aviso de Cobrança Tarifária: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8.2.1. Para acessar o sistema instalado no equipamento DPMF, deverá ser solicitado que sejam informados usuário e senha para garantir que o equipamento DPMF esteja sendo utilizado por um Agente De Apoio ou Agente de Trânsito. Caso seja informado um usuário e senha não cadastrado no sistema, o acesso não deverá ser permitido.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8.2.2. O Agente De Apoio ou Agente de Trânsito deverá acessar o módulo específico para fiscalização onde uma vez iniciado o sistema, o monitor poderá apontar a câmera para placa do veículo a ser fiscalizado e tirar foto;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8.2.3. O sistema deverá reconhecer os caracteres da placa e enviar uma confirmação das informações adquiridas. Após este passo o sistema deverá realizar a consulta automática da situação do veículo: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8.2.3.1. Veículo regular – o sistema deverá informar que existe um tíquete adquirido e sua validade, bem como meio de ativação. Após esta informação deverá ser feito o apontamento da localidade. Com estes dados será possível cálculo da taxa de ocupação.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8.2.3.2. Tíquete não encontrado – o sistema deverá solicitar o local estacionado, após confirmação deverá apresentar os dados do veículo e possibilitar a gravação de até 03 (três) fotos. Após este procedimento o sistema deverá gerar o ADCT.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8.2.4. </w:t>
      </w:r>
      <w:r>
        <w:rPr>
          <w:rFonts w:cs="Arial" w:ascii="Arial" w:hAnsi="Arial"/>
          <w:sz w:val="22"/>
          <w:szCs w:val="22"/>
          <w:u w:val="single"/>
        </w:rPr>
        <w:t>O ADCT deverá conter as seguintes informações</w:t>
      </w:r>
      <w:r>
        <w:rPr>
          <w:rFonts w:cs="Arial" w:ascii="Arial" w:hAnsi="Arial"/>
          <w:sz w:val="22"/>
          <w:szCs w:val="22"/>
        </w:rPr>
        <w: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8.2.4.1. Número do ADCT: Padrão X999999999, sendo este número único e sequencial não podendo nunca ser repetido;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8.2.4.2. Identificação do veículo: Placa, Marca, Modelo, Espécie, Tipo, cor e Município;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8.2.4.3. Identificação do local da emissão do aviso: Nome do Logradouro, Número, oposto ou defronte e a Latitude e Longitude registrada pelo equipamento;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8.2.4.4. Informações referentes à Lei Municipal que regulamenta o Estacionamento Rotativo;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8.2.4.5. Descrição detalhada do tipo da infração registrada: Estacionado sem o tíquete ou estacionado com o tíquete vencido;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8.2.4.6. Identificação do agente de apoio ou Agente de Trânsito que registrou o aviso;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8.2.4.7. Espaço destinado a observações, caso seja necessário algum comentário adicional;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b/>
        <w:t xml:space="preserve">8.2.4.8. Data e hora da geração do aviso de cobrança de tarifa;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8.2.5. Permitir a gravação de vídeo de até 3 segundos do veículo em situação de infração e o registro de até 03 (três) fotos do veículo infrator usando a câmera do equipamento DPMF, possibilitando o cumprimento à legislação pelos Agentes públicos de forma remota. O vídeo e as fotos registradas deverão estar associados à latitude e longitude. A data e o horário do aviso deverão estar na própria foto, em cada imagem;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8.2.6. Todos os ADCT’s preenchidos deverão ser enviados para o servidor central através de conexão de dados (rede de telefonia móvel).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8.3. O sistema somente poderá receber base de dados de veículos isentos, mediante envio de documento oficial a ser anexado no sistema pela CONTRATANTE. Para que a base de dados ou cadastro destes veículos sejam instalados no sistema, será obrigatório anexar cópia digital do documento em local próprio do sistema, para que seja possível comprovar que tal solicitação foi realizada por pessoa autorizada.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veículos isentos de pagamento deverão ser identificados durante a fiscalização e esta informação deverá ser demonstrada em tela do equipamento DPMF. Esta condição deverá ser registrada no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 xml:space="preserve">9. FORNECIMENTO DE PLANO DE DADOS PARA OS DISPOSITIVOS MÓVEIS </w:t>
      </w:r>
      <w:r>
        <w:rPr>
          <w:rFonts w:cs="Arial" w:ascii="Arial" w:hAnsi="Arial"/>
          <w:b/>
          <w:bCs/>
          <w:strike/>
          <w:sz w:val="22"/>
          <w:szCs w:val="22"/>
          <w:u w:val="single"/>
        </w:rPr>
        <w:t>-</w:t>
      </w:r>
      <w:r>
        <w:rPr>
          <w:rFonts w:cs="Arial" w:ascii="Arial" w:hAnsi="Arial"/>
          <w:b/>
          <w:bCs/>
          <w:sz w:val="22"/>
          <w:szCs w:val="22"/>
          <w:u w:val="single"/>
        </w:rPr>
        <w:t xml:space="preserve"> POS E DPMF</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deverá fornecer os planos de dados para todos os dispositivos móveis POS e DPMF ao longo da execução do contrato.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quantidade de equipamentos a serem fornecidos será definida pela CONTRATADA, devendo ser observado obrigatoriamente: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Aos Agentes De Apoio: mínimo de 1 (um) equipamento por Agente De Apoio, garantindo o acesso aos módulos de comercialização (POS) e fiscalização (DPMF);</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b) Aos PDV’S: mínimo de 01 (um) equipamento por estabelecimento comercial, garantindo o acesso ao módulo de comercialização (POS);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c) Aos Agentes de trânsito: mínimo de 01 (um) equipamento por Agente de Trânsito, garantindo o acesso ao módulo de fiscalização  (DPMF).</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quantidade de planos de dados a ser fornecida pela CONTRATADA fica condicionada à quantidade de equipamentos que a mesma disponibilizará para possibilitar a comercialização e fiscalização nos moldes acima descritos. Assim, a quantidade prevista no presente termo considera o máximo que poderá ser fornecido/remunerado, se considerar um equipamento por função/módulo.</w:t>
      </w:r>
    </w:p>
    <w:p>
      <w:pPr>
        <w:pStyle w:val="Normal"/>
        <w:spacing w:lineRule="auto" w:line="360" w:before="0" w:after="0"/>
        <w:contextualSpacing/>
        <w:jc w:val="both"/>
        <w:rPr>
          <w:rFonts w:ascii="Arial" w:hAnsi="Arial" w:cs="Arial"/>
          <w:b/>
          <w:bCs/>
          <w:sz w:val="22"/>
          <w:szCs w:val="22"/>
          <w:u w:val="single"/>
        </w:rPr>
      </w:pPr>
      <w:r>
        <w:rPr>
          <w:rFonts w:cs="Arial" w:ascii="Arial" w:hAnsi="Arial"/>
          <w:sz w:val="22"/>
          <w:szCs w:val="22"/>
        </w:rPr>
        <w:tab/>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u w:val="single"/>
        </w:rPr>
        <w:t>10. LOCAÇÃO DE APLICATIVO DE ACESSO VIA SMARTPHONE PARA USUÁRIOS E PORTAL DO USUÁRIO WEB, COM SUPORTE E MANUTENÇÃO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deverá fornecer aplicativo de acesso via smartphone para usuários, disponível para sistema IOS e Android e portal do usuário web.</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O APP é uma solução móvel instalada em smartphones que facilitam a interação com o sistema de estacionamento. É uma plataforma de operação e meio de pagamento eletrônico, integrado e complementar de autoatendimento e disponível gratuitamente, através da telefonia celular e/ou da internet, com as operações efetuadas pelo próprio usuário, conforme sua necessidade, pelo seu smartphone com dados/internet.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Para utilizar esta plataforma, o usuário deverá baixar gratuitamente o APP na respectiva loja virtual APPLE para sistema IOS ou GOOGLE para sistema ANDROID.</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O APP deverá permitir pagamento para compra de créditos através de cartões de crédito, débito, mínimo 02 (duas) bandeiras e PIX.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10.1. Especificações: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 Deverá ser vinculada a conta do APP ao CPF do usuário, e na hipótese de ele trocar de aparelho ou número de celular, permitir continuar com a conta.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10.1.2. O APP deverá ter no mínimo as funcionalidades: Identificação do usuário, sendo solicitado o CPF e a senha para entrada ao menu principal da aplicação;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10.1.3. Identificação do usuário, sendo solicitado login via contas (Google ou Apple).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10.1.4. Validação do usuário e senha com as informações fornecidas no cadastro feito pelo usuário no sítio da internet ou no próprio APP;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10.1.5. Caso o usuário não seja cadastrado no sistema, o APP deverá permitir o cadastro, solicitando todas as informações necessárias, da mesma forma como solicitado para cadastro no website;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10.1.6. Solicitar ao usuário durante a instalação do aplicativo ou durante o uso, sua autorização para acesso às coordenadas (latitude e longitude), fornecidas pelo GPS do equipamento, podendo desta forma, localizar sua posição dentro do município e possibilitando em futuras implementações oferecer tarifas diferenciadas para diferentes zonas de estacionamento;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10.1.7. Opção para compra de créditos de estacionamento utilizando cartão de crédito e débito de no mínimo duas bandeiras diferentes, e PIX;</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10.1.8. Deverá estar disponível para esta opção de aquisição de tempo de estacionamento, no mínimo as opções de 30, 60, 90 e 120 minutos. Após a confirmação do tempo e a validação pelo APP, deverá ser informado ao usuário o horário final do estacionamento;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10.1.9. Exibir o tempo para o término do estacionamento de forma decrescente;</w:t>
      </w:r>
    </w:p>
    <w:p>
      <w:pPr>
        <w:pStyle w:val="Normal"/>
        <w:spacing w:lineRule="auto" w:line="360" w:before="0" w:after="0"/>
        <w:contextualSpacing/>
        <w:jc w:val="both"/>
        <w:rPr>
          <w:rFonts w:ascii="Arial" w:hAnsi="Arial" w:eastAsia="Calibri" w:cs="Arial"/>
          <w:sz w:val="22"/>
          <w:szCs w:val="22"/>
        </w:rPr>
      </w:pPr>
      <w:r>
        <w:rPr>
          <w:rFonts w:cs="Arial" w:ascii="Arial" w:hAnsi="Arial"/>
          <w:sz w:val="22"/>
          <w:szCs w:val="22"/>
        </w:rPr>
        <w:tab/>
        <w:tab/>
        <w:t>10.1.10. Emitir alarme de final de estacionamento conforme tempo configurado, permitindo parametrização no sistema;</w:t>
      </w:r>
    </w:p>
    <w:p>
      <w:pPr>
        <w:pStyle w:val="Normal"/>
        <w:spacing w:lineRule="auto" w:line="360" w:before="0" w:after="0"/>
        <w:contextualSpacing/>
        <w:jc w:val="both"/>
        <w:rPr>
          <w:rFonts w:ascii="Arial" w:hAnsi="Arial" w:cs="Arial"/>
          <w:sz w:val="22"/>
          <w:szCs w:val="22"/>
        </w:rPr>
      </w:pPr>
      <w:r>
        <w:rPr>
          <w:rFonts w:eastAsia="Calibri" w:cs="Arial" w:ascii="Arial" w:hAnsi="Arial"/>
          <w:sz w:val="22"/>
          <w:szCs w:val="22"/>
        </w:rPr>
        <w:t xml:space="preserve"> </w:t>
      </w:r>
      <w:r>
        <w:rPr>
          <w:rFonts w:cs="Arial" w:ascii="Arial" w:hAnsi="Arial"/>
          <w:sz w:val="22"/>
          <w:szCs w:val="22"/>
        </w:rPr>
        <w:tab/>
        <w:tab/>
        <w:t>10.1.11. Opção para consulta a seu extrato, contendo toda a movimentação financeira gerada pelo uso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10.1.12. Promover a autenticação e utilização da mesma conta em vários aparelhos para compartilhamento entre familiares.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10.1.13. O APP deve dispor de opção para compra avulsa de tíquetes, sem a necessidade de cadastro, tendo como opção de pagamento transferência via Chave PIX e QRCODE. Essa funcionalidade será oferecida para usuários não frequentes e/ou que não desejam realizar o cadastro no APP.</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10.1.14. O APP deverá apresentar pendências de estacionamento para placas previamente cadastradas, informando a data e hora do ADCT, o valor a ser pago e permitir a regularização no próprio aplicativo.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10.1.15. Todas as vagas cadastradas deverão aparecer visualmente no mapa do APP pelo menos distinguindo vagas especiais e vagas normais de estacionamento rotativo.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10.1.16. Permitir verificar no próprio APP as vagas disponíveis para estacionamento em mapa. As informações das vagas disponíveis serão obtidas por meio do georreferenciamento das vagas.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10.1.17. Em conformidade com a Lei n° 13.709/2018 o APP deve oferecer mecanismo de solicitação de exclusão dos dados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11. WEBSITE PARA CADASTRO, CONTROLE E COMERCIALIZAÇÃO DA ÁREA TARIFADA, COM OPÇÃO DE SITE RESPONSIVO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Deverá ser disponibilizado pela CONTRATADA sistema web (website) para aquisição de créditos de estacionamento em ambiente virtual, com acesso gratuito aos usuários, com possibilidade de aquisição de tíquetes com ou sem cadastro (website responsivo).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Em uma das opções do sistema, o website deverá permitir o cadastro de veículos e usuários, contendo os seguintes dados obrigatórios: nome, CPF, endereço, telefone, veículo e placa.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Após o cadastro, o usuário poderá comprar créditos/horas do estacionamento rotativo regulamentado por meio de cartões de crédito, débito e PIX.</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11.1. Especificações Técnicas Mínimas:</w:t>
      </w:r>
    </w:p>
    <w:p>
      <w:pPr>
        <w:pStyle w:val="Normal"/>
        <w:spacing w:lineRule="auto" w:line="360" w:before="0" w:after="0"/>
        <w:contextualSpacing/>
        <w:jc w:val="both"/>
        <w:rPr>
          <w:rFonts w:ascii="Arial" w:hAnsi="Arial" w:cs="Arial"/>
          <w:sz w:val="22"/>
          <w:szCs w:val="22"/>
        </w:rPr>
      </w:pPr>
      <w:r>
        <w:rPr>
          <w:rFonts w:cs="Arial" w:ascii="Arial" w:hAnsi="Arial"/>
          <w:sz w:val="22"/>
          <w:szCs w:val="22"/>
        </w:rPr>
        <w:t>O website deverá conter informações objetivas e claras sobre o funcionamento do sistema, formas de pagamento e uso do tempo de estacionamento.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11.1.1. O cadastro de usuários deverá incluir:</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Preenchimento de dados pessoais obrigatórios;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Definição de senha de acesso ao módulo de gerenciamento da conta;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Apresentação do contrato de uso dos serviços, com confirmação obrigatória de leitura.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Após o aceite, o usuário deverá informar: telefones que utilizarão o sistema e placas dos veículos autorizados.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O website deverá ser homologado por certificadora digital e empregar certificado SSL de, no mínimo, 128 bits para transações após o login.</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11.1.2. O módulo de gerenciamento da conta do usuário deverá permitir:</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Visualização e alteração dos dados cadastrais;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Alteração de senha;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Inclusão de telefones e placas adicionais;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Consulta de saldo e extrato completo.</w:t>
      </w:r>
    </w:p>
    <w:p>
      <w:pPr>
        <w:pStyle w:val="Normal"/>
        <w:spacing w:lineRule="auto" w:line="360" w:before="0" w:after="0"/>
        <w:contextualSpacing/>
        <w:jc w:val="both"/>
        <w:rPr>
          <w:rFonts w:ascii="Arial" w:hAnsi="Arial" w:cs="Arial"/>
          <w:sz w:val="22"/>
          <w:szCs w:val="22"/>
        </w:rPr>
      </w:pPr>
      <w:r>
        <w:rPr>
          <w:rFonts w:cs="Arial" w:ascii="Arial" w:hAnsi="Arial"/>
          <w:sz w:val="22"/>
          <w:szCs w:val="22"/>
        </w:rPr>
        <w:t>Todas as transações devem ficar permanentemente disponíveis para consulta no extrato, desde o início do cadastro do usuário.</w:t>
      </w:r>
    </w:p>
    <w:p>
      <w:pPr>
        <w:pStyle w:val="Normal"/>
        <w:spacing w:lineRule="auto" w:line="360" w:before="0" w:after="0"/>
        <w:contextualSpacing/>
        <w:jc w:val="both"/>
        <w:rPr>
          <w:rFonts w:ascii="Arial" w:hAnsi="Arial" w:eastAsia="Calibri" w:cs="Arial"/>
          <w:sz w:val="22"/>
          <w:szCs w:val="22"/>
        </w:rPr>
      </w:pPr>
      <w:r>
        <w:rPr>
          <w:rFonts w:cs="Arial" w:ascii="Arial" w:hAnsi="Arial"/>
          <w:sz w:val="22"/>
          <w:szCs w:val="22"/>
        </w:rPr>
        <w:tab/>
        <w:tab/>
        <w:t>11.1.3. O sistema deverá permitir:</w:t>
      </w:r>
    </w:p>
    <w:p>
      <w:pPr>
        <w:pStyle w:val="Normal"/>
        <w:spacing w:lineRule="auto" w:line="360" w:before="0" w:after="0"/>
        <w:contextualSpacing/>
        <w:jc w:val="both"/>
        <w:rPr>
          <w:rFonts w:ascii="Arial" w:hAnsi="Arial" w:cs="Arial"/>
          <w:sz w:val="22"/>
          <w:szCs w:val="22"/>
        </w:rPr>
      </w:pPr>
      <w:r>
        <w:rPr>
          <w:rFonts w:eastAsia="Calibri" w:cs="Arial" w:ascii="Arial" w:hAnsi="Arial"/>
          <w:sz w:val="22"/>
          <w:szCs w:val="22"/>
        </w:rPr>
        <w:t xml:space="preserve"> </w:t>
      </w:r>
      <w:r>
        <w:rPr>
          <w:rFonts w:cs="Arial" w:ascii="Arial" w:hAnsi="Arial"/>
          <w:sz w:val="22"/>
          <w:szCs w:val="22"/>
        </w:rPr>
        <w:tab/>
        <w:tab/>
        <w:t>a) Aquisição de créditos via cartão de débito, crédito, mínimo 02 (duas) bandeiras e PIX;</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b) Compras com, pelo menos, duas bandeiras de cartão diferentes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Regularização de ADCTs – Aviso de Cobrança Tarifária;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Envio de e-mail automático com detalhes da transação realizada para o e-mail cadastrado.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e) A ativação de tempo de estacionamento deverá oferecer, no mínimo, as opções de 30, 60, 90 e 120 minutos.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website deverá estar em conformidade com a Lei nº 13.709/2018 (Lei Geral de Proteção de Dados), permitindo ao usuário solicitar a exclusão de seus dados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Contratada deverá fornecer, ainda, opção no sistema para compra de tíquete digital avulso através da leitura de um QRCODE (site responsivo). O usuário poderá realizar a compra via site responsivo onde será possível adquirir tempo de estacionamento sem a necessidade de realizar o cadastro previamente, tendo como meio de pagamento transação bancária tipo PIX.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QRCODE também deverá disponibilizar o link para download do APP do usuário para smartphone permitindo o controle da conta pré-paga.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11.2. Características: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11.2.1. A venda direta ao público, sem a necessidade de cadastro, visa disponibilizar aos usuários não frequentes do sistema de estacionamento rotativo e aqueles que visitam a cidade, uma forma prática e rápida de pagamento, de forma independente e segura. A disponibilização deste meio digital visa dar maior conforto para os usuários da cidade e de outras regiões que buscam este município como centro de compras e turismo.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11.2.2. Essa funcionalidade também será oferecida para usuários não frequentes e que não desejam instalar o APP em seu smartphone.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11.2.3. Deverá ser disponibilizada para os usuários a possibilidade de ativação de estacionamento através de site responsivo.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11.2.4. Para acessar a solução, deverá ser possível a leitura do QRCODE disponível pelo menos em material gráfico, placas de regulamentação do estacionamento rotativo e opcionalmente em outros meios ou locais que possam garantir comodidade de acesso.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11.2.5. Ao apontar a câmera de seu celular para o QRCODE o usuário deverá ser direcionado para um menu onde deverão ser oferecidos a opção: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11.2.6. Aquisição do tíquete via site responsivo (sem a necessidade de cadastro);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11.3. Especificações SITE RESPONSIVO: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11.3.1. Deverá ser disponibilizada a funcionalidade de acesso ao site responsivo para compra e ativação de estacionamento avulso sem a necessidade de cadastro.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11.3.2. Deverá ser possível selecionar o tipo de veículo para ativação do estacionamento.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11.3.3. Deverá ser possível inserir a placa do usuário sem necessidade de cadastro prévio e inserir também o tempo de estacionamento.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11.3.4. A solução deverá prever o envio de e-mail para o recebimento de comprovante de estacionamento.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11.3.5. Deverá ser apresentada uma tela de confirmação, informando os dados escolhidos pelo usuário (placa, e-mail, tempo e valor).</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11.3.6. O sistema deverá informar a ativação do tíquete com o nome da cidade, tempo, valor, data de início e término, placa e número de autentificação.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solução deverá utilizar tecnologia de segurança tipo reCAPTCHA. O reCAPTCHA protege sistemas e aplicativos on-line, detectando e protegendo contra invasões de contas, bloqueando ataques de preenchimento de credenciais e criação de contas em massa, sem interrupções para o usuário.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solução deverá prever o pagamento pela utilização do estacionamento avulso, pelo menos, através de chave PIX, podendo a critério da CONTRATADA oferecer outros meios tais como cartão de crédito e débito. </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12. SOFTWARE DE GESTÃO DE CONTROLE DO SISTEMA INTEGRADO DE ESTACIONAMENTO ROTATIVO</w:t>
      </w:r>
      <w:r>
        <w:rPr>
          <w:rFonts w:cs="Arial" w:ascii="Arial" w:hAnsi="Arial"/>
          <w:sz w:val="22"/>
          <w:szCs w:val="22"/>
        </w:rPr>
        <w:t xml:space="preserve">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empresa deverá disponibilizar 1 (uma) unidade do sistema integrado e on-line para consulta a todas as informações geradas pelos diversos meios de pagamentos e fiscalização, permitindo o acompanhamento em tempo real, por meio de plataforma WEB, do funcionamento do sistema de estacionamento rotativo, dentre elas: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12.1. Armazenar todas as informações relativas à operação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12.2. Controlar automaticamente as receitas e respectivos repasses associados às vendas de crédito advindas da utilização das vagas do estacionamento rotativo.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12.3. Enviar para o órgão competente lavrar autuação de multa dos registros de ocorrência de estacionamento irregular sem o pagamento da TPU pelos usuários.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12.4. Prover acesso a opções de relatórios de receitas totais e segmentado por região, horário do dia e categoria de veículos.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12.5. Deve conter todos os cadastros necessários para a perfeita utilização de todos os itens do sistema, tais como, mas não se limitando: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Cadastro de agentes;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Cadastro de biometria;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Cadastro de tarifas;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Cadastro de setores;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e) Cadastro de ruas;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f) Cadastro de equipamentos e quaisquer outros que forem necessários;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12.6. Deve possuir login de autenticação de 2 (dois) fatores para acesso ao sistema, garantindo que apenas usuários autorizados consigam fazer uso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12.7. Deverá possuir um módulo específico destinado à Autoridade de Trânsito com acesso através de biometria para garantir segurança e responsabilização.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12.8. Para os avisos digitais de cobrança de tarifa – ADCT, as informações mínimas a serem disponibilizadas são: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a) Módulo para relatório dinâmico, contendo todos os subitens mencionados deste edital, também, a informação se este ADCT foi regularizado, e as informações de quando foi regularizado e por qual meio de pagamento;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b) Deve ser possível incluir ou excluir do relatório qualquer dos campos mencionados de forma prática e rápida, possibilitando ao gestor gerar relatórios com apenas os campos que necessita;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c) Deve ser possível agrupar e totalizar por qualquer dos campos, permitindo ao gestor de forma prática e rápida gerar relatórios com os totais pelo agrupamento selecionado, inclusive, sendo possível o agrupamento por mais de um campo, sem limites;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d) Deverá gerar lote com os ADCT ‘s irregulares para convalidação.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12.9. Para a utilização de horas de estacionamento e regularização as informações mínimas a serem disponibilizadas são: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a) Valores dos tíquetes adquiridos pelo sítio da internet e os PDV´s utilizados;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b) Para os valores de tíquetes gerados com o APP deverá ser possível saber qual a forma de pagamento utilizada e qual tipo de Sistema Operacional que o usuário efetuou a compra;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Valores de utilização de tempo de estacionamento contendo a data e hora da aquisição.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12.10. Deverá oferecer condições de reconfiguração, inclusive remotamente, dos tempos de permanência e seus preços, assim como tempos de rotatividade e preços diferentes para cada zona de estacionamento.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12.11. Deverá possibilitar a determinação do nível de usuário pelo administrador do sistema, assim como o direito e privilégios da visualização segmentada das informações, ou seja, cada usuário visualizará apenas as informações autorizadas, conforme configuração e privilégio de seu perfil.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12.12. Deverá disponibilizar marcas de calor no mapa, capaz de mostrar os níveis da densidade de uso nas regiões de ativação, dos veículos estacionados que utilizaram o sistema e veículos fiscalizados.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12.13. Produzir relatórios gerenciais e estatísticos a partir do processamento dos dados produzidos nos equipamentos eletrônicos, indicando, dentre outros aspectos: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Emitir relatório de bilhetes emitidos por período, por equipamento e por meio de pagamento.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Emitir relatório de histórico de veículo.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c) Gerar gráficos estatísticos de utilização das vagas, por período e/ou por setor.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Permitir a exportação de relatórios gerados nos formatos PDF ou CSV.</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12.14. Deverá exibir em mapa georreferenciado o status das vagas, se disponíveis ou ocupadas, se com pagamento vigente ou sem pagamento, através das informações obtidas pelo georreferenciamento das vagas.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12.15. Deverá exibir em mapa georreferenciado e com ícones diferenciados os agentes de apoio, Agentes De Trânsito, PDVs e Carro OCR/LPR.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12.16. Para cada item apresentando, sempre que o item for clicado, deverá exibir no mínimo as informações: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12.16.1. Para os </w:t>
      </w:r>
      <w:r>
        <w:rPr>
          <w:rFonts w:cs="Arial" w:ascii="Arial" w:hAnsi="Arial"/>
          <w:sz w:val="22"/>
          <w:szCs w:val="22"/>
          <w:u w:val="single"/>
        </w:rPr>
        <w:t>Agentes</w:t>
      </w:r>
      <w:r>
        <w:rPr>
          <w:rFonts w:cs="Arial" w:ascii="Arial" w:hAnsi="Arial"/>
          <w:sz w:val="22"/>
          <w:szCs w:val="22"/>
        </w:rPr>
        <w: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Identificação dos Agentes;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Nível de bateria do POS e/ou DPMF no momento;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c) Identificação do equipamento e localização georreferenciada;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12.16.2. Sobre a utilização do </w:t>
      </w:r>
      <w:r>
        <w:rPr>
          <w:rFonts w:cs="Arial" w:ascii="Arial" w:hAnsi="Arial"/>
          <w:sz w:val="22"/>
          <w:szCs w:val="22"/>
          <w:u w:val="single"/>
        </w:rPr>
        <w:t>Veículo OCR/LPR</w:t>
      </w:r>
      <w:r>
        <w:rPr>
          <w:rFonts w:cs="Arial" w:ascii="Arial" w:hAnsi="Arial"/>
          <w:sz w:val="22"/>
          <w:szCs w:val="22"/>
        </w:rPr>
        <w: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A rota percorrida;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Km rodado e região percorrida;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Relatório dos veículos reconhecidos (regulares, irregulares e com restrições);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Mapa contendo a localização de cada placa com pendência, com a foto do veículo;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12.16.3. Para os </w:t>
      </w:r>
      <w:r>
        <w:rPr>
          <w:rFonts w:cs="Arial" w:ascii="Arial" w:hAnsi="Arial"/>
          <w:sz w:val="22"/>
          <w:szCs w:val="22"/>
          <w:u w:val="single"/>
        </w:rPr>
        <w:t>Postos de Venda - PDV’S</w:t>
      </w:r>
      <w:r>
        <w:rPr>
          <w:rFonts w:cs="Arial" w:ascii="Arial" w:hAnsi="Arial"/>
          <w:sz w:val="22"/>
          <w:szCs w:val="22"/>
        </w:rPr>
        <w:t>, deverão apresentar:</w:t>
      </w:r>
    </w:p>
    <w:p>
      <w:pPr>
        <w:pStyle w:val="Normal"/>
        <w:numPr>
          <w:ilvl w:val="0"/>
          <w:numId w:val="10"/>
        </w:numPr>
        <w:spacing w:lineRule="auto" w:line="360" w:before="0" w:after="0"/>
        <w:contextualSpacing/>
        <w:jc w:val="both"/>
        <w:rPr>
          <w:rFonts w:ascii="Arial" w:hAnsi="Arial" w:cs="Arial"/>
          <w:sz w:val="22"/>
          <w:szCs w:val="22"/>
        </w:rPr>
      </w:pPr>
      <w:r>
        <w:rPr>
          <w:rFonts w:cs="Arial" w:ascii="Arial" w:hAnsi="Arial"/>
          <w:sz w:val="22"/>
          <w:szCs w:val="22"/>
        </w:rPr>
        <w:t xml:space="preserve">Identificação e localização do estabelecimento; </w:t>
      </w:r>
    </w:p>
    <w:p>
      <w:pPr>
        <w:pStyle w:val="Normal"/>
        <w:numPr>
          <w:ilvl w:val="0"/>
          <w:numId w:val="10"/>
        </w:numPr>
        <w:spacing w:lineRule="auto" w:line="360" w:before="0" w:after="0"/>
        <w:contextualSpacing/>
        <w:jc w:val="both"/>
        <w:rPr>
          <w:rFonts w:ascii="Arial" w:hAnsi="Arial" w:cs="Arial"/>
          <w:sz w:val="22"/>
          <w:szCs w:val="22"/>
        </w:rPr>
      </w:pPr>
      <w:r>
        <w:rPr>
          <w:rFonts w:cs="Arial" w:ascii="Arial" w:hAnsi="Arial"/>
          <w:sz w:val="22"/>
          <w:szCs w:val="22"/>
        </w:rPr>
        <w:t>Nível de bateria do POS no momento;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b/>
          <w:bCs/>
          <w:sz w:val="22"/>
          <w:szCs w:val="22"/>
          <w:u w:val="single"/>
        </w:rPr>
      </w:pPr>
      <w:r>
        <w:rPr>
          <w:rFonts w:cs="Arial" w:ascii="Arial" w:hAnsi="Arial"/>
          <w:b/>
          <w:bCs/>
          <w:sz w:val="22"/>
          <w:szCs w:val="22"/>
          <w:u w:val="single"/>
        </w:rPr>
        <w:t>13. VEÍCULOS DE FISCALIZAÇÃO</w:t>
      </w:r>
    </w:p>
    <w:p>
      <w:pPr>
        <w:pStyle w:val="Normal"/>
        <w:widowControl w:val="false"/>
        <w:pBdr/>
        <w:jc w:val="both"/>
        <w:rPr>
          <w:rFonts w:ascii="Arial" w:hAnsi="Arial" w:cs="Arial"/>
          <w:b/>
          <w:bCs/>
          <w:sz w:val="22"/>
          <w:szCs w:val="22"/>
        </w:rPr>
      </w:pPr>
      <w:r>
        <w:rPr>
          <w:rFonts w:cs="Arial" w:ascii="Arial" w:hAnsi="Arial"/>
          <w:b/>
          <w:bCs/>
          <w:sz w:val="22"/>
          <w:szCs w:val="22"/>
        </w:rPr>
        <w:t>Sistema de fiscalização móvel embarcada, integrada ao sistema de gestão de estacionamento, incluindo operação do sistema, veículo, combustível, motorista, manutenção e demais insumos</w:t>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Deverá ser considerado </w:t>
      </w:r>
      <w:r>
        <w:rPr>
          <w:rFonts w:cs="Arial" w:ascii="Arial" w:hAnsi="Arial"/>
          <w:b/>
          <w:bCs/>
          <w:sz w:val="22"/>
          <w:szCs w:val="22"/>
        </w:rPr>
        <w:t>02 (dois) veículos automotores equipados</w:t>
      </w:r>
      <w:r>
        <w:rPr>
          <w:rFonts w:cs="Arial" w:ascii="Arial" w:hAnsi="Arial"/>
          <w:sz w:val="22"/>
          <w:szCs w:val="22"/>
        </w:rPr>
        <w: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Veículo equipado com câmera(s) de alta precisão, integrada(s) com sistema de leitura automática de placas (LPR/OCR), comunicação de dados 3G/4G/5G (ou superior) e GPS de alta precisão com tecnologia RTK, capaz de identificar veículos estacionados em desconformidade com as regras do estacionamento rotativo e transmitir dados em tempo real para 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identificação é feita com câmera(s) instalada(s) no teto dos carros que usam o sistema OCR/ LPR e permitem reconhecer padrões de letras e números existentes nas placas dos carros para capturar a parte frontal ou traseira dos veículos estacionados. Estas informações estão associadas a um equipamento de GPS de alta precisão para que seja possível identificar com ótima margem de acerto o local exato da leitura de placa realizada. Assim que é realizada a captura e identificação da placa do veículo, o sistema envia os dados ao Sistema de Gestão.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Deverá identificar automaticamente as vagas regulamentadas, sem intervenção humana, distinguir entre vagas comuns e especiais, guias rebaixadas e seguir automaticamente as regras de estacionamento por lado da via com base na geolocalização do veículo e os limites da área regulamentada.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Deverá ser possível criar uma lista de veículos isentos de pagamento, conforme legislação específica ou procurados e emitir um alerta, possibilitando o cruzamento de informações, auxiliando a segurança pública por meio de integração de sistemas.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veículo deverá encaminhar para o sistema de gestão todas as informações coletadas durante a fiscalização de forma online.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As informações das placas reconhecidas, data, localização e imagens capturadas durante a fiscalização devem ficar armazenadas em um banco de dados de forma segura.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O Sistema deverá permitir estabelecer previamente a rota e horário de operação do veículo fiscalizador, sendo que, caso esteja operando fora desses parâmetros, deverá gerar alerta para o Sistema de Gestão.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percurso do veículo fiscalizador deverá estar disponível no Sistema de Gestão.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sistema deverá realizar dupla leitura com intervalo mínimo de 10 minutos entre elas para gerar notificação de ausência de crédito, podendo essa leitura ser feita por OCR ou por Agentes. A segunda leitura só gerará infração caso a irregularidade persista. Tanto a primeira como a segunda leitura da placa do veículo estacionado poderão ser realizadas individualmente ou em conjunto pelo carro como pelos equipamentos utilizados pelos Agentes, sendo obrigatória a integração destes meios de fiscalização;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Deverá realizar a gravação de vídeo com pelo menos 3 (três) segundos de duração gerado no momento da captura da placa irregular (sem pagamento da tarifa) sendo possível verificar este vídeo no sistema de gestão.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Deverá identificar as placas de sinalização vertical R6-b e anexar a imagem da placa de sinalização mais próxima ao veículo apontado como “sem o pagamento da tarifa”. Deverá também informar a distância em metros entre a placa de sinalização vertical e o veículo apontando como irregular.</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É de total responsabilidade da CONTRATADA os custos de acesso à rede de dados, entre outros que possam ocorrer para a garantia de condições que mantenham o serviço adequado durante o período contratado, oferecendo regularidade e continuidade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13.1. As funcionalidades a serem atendidas pelo sistema LPR/OCR: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13.1.1. Identificar placas em veículos estacionados em paralelo ao meio-fio e estacionados a 45, 60 e 90 graus, dentro das distâncias estabelecidas para atuação das câmeras;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13.1.2. Ler placas de veículos reflexivas e não reflexivas nos modelos em vigores utilizados no país inclusive padrão Mercosul;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13.1.3. Permitir a identificação de veículos de maneira rápida e precisa, em quaisquer condições de clima e iluminação;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13.1.4. Identificar e registrar a leitura de placas acima de 80% dos veículos durante o dia, obrigatoriamente em uma faixa de velocidade de 10 a 40 km/h, não sendo permitida a captura fora deste intervalo para manter a acuracidade de captura assertiva das placas;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13.2. Especificações de software: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13.2.1. Criptografar todos os dados relacionados à lista de placas, para prevenir acesso indevido;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13.2.2. Enviar todas as placas identificadas com irregularidades durante as operações, contendo pelo menos a localização, imagem, letras e números da placa do veículo, data e hora da identificação das imagens e identificador da câmera que capturou as imagens;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13.2.3. Enviar todos os alarmes gerados durante os percursos de fiscalização, contendo pelo menos a localização, imagem, letras e números da placa do veículo, data e hora da identificação das imagens, identificador da câmera que capturou as imagens e o tipo de Alarme;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13.2.4. Deverá oferecer integração do sistema de LPR/OCR com os equipamentos dos monitores de fiscalização;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13.2.5. Detectar o veículo estacionado sem o pagamento da tarifa ou que excedeu o tempo máximo adquirido, emitindo aviso eletrônico de irregularidade e enviar para os equipamentos dos agentes e sistema de gestão para que seja possível realizar as medidas necessárias junto aos infratores;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13.2.6. Realizar uma primeira identificação de placa, e na hipótese de estacionamento irregular, enviar essa informação para os equipamentos dos agentes;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13.2.7. Registrar a quantidade de placas lidas, quilometragem percorrida, quantidade de veículos regulares e quantidade de veículos irregulares.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13.2.8. Salvar as imagens referentes às ações de monitoramento, assim como o log de operação.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13.2.9. As imagens capturadas pelo veículo com sistema LPR/OCR deverão possuir uma marca d'água com data hora, coordenadas do local da captura e distância da captura do veículo, para comprovação de autenticidade.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13.2.10. Desconsiderar automaticamente o registro de veículos cadastrados com isenção de pagamento, se a legislação pertinente assim determinar, de forma que estes veículos não sejam notificados ou autuados indevidamente.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13.2.11. Deverá estar integrado em tempo real com o sistema de gestão e central de monitoramento, permitindo que as pessoas devidamente habilitadas pela CONTRATANTE procedam a convalidação das imagens.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13.3. Especificações da instalação e dos equipamentos: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As câmeras e demais acessórios externos, necessários para a leitura de placas, deverão ser instalados no teto do veículo de maneira fixa e não poderá apresentar má fixação de conexões, parafusos, rebites, travas, entre outros; mal contato elétrico, emendas desalinhadas ou de má qualidade; isolamento elétrico de má qualidade; infiltração de água e poeira; rebarbas; falta de proteção contrachoques elétricos; deficiências que comprometam a segurança ou funcionamento dos equipamentos e funcionalidades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13.4. Especificações do receptor GPS de alta precisão: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13.4.1. Deverá indicar com alta precisão a localização das capturas das imagens, sendo possível verificar no sistema a autenticidade do logradouro obtido através do sistema de GPS de precisão. O GPS deverá estar conectado e recebendo correções de serviço RTK (Real Time Kinematic ou Posicionamento Cinemático em Tempo Real), com modo de posicionamento Kinematic. Esta especificação é necessária para garantir a precisão das informações de localização das vagas fiscalizadas que poderão ser utilizadas para que os Agentes de Trânsito possam gerar as multas para os veículos em situação de irregularidade.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13.4.2. Proporcionar informações com precisão de localização com variação máxima de 01 (um) metro.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13.4.3. O equipamento deverá oferecer desempenho otimizado, permitindo que os sistemas operem com maior eficiência, lidando com grandes volumes de dados e processos complexos em tempo real. </w:t>
      </w:r>
    </w:p>
    <w:p>
      <w:pPr>
        <w:pStyle w:val="Normal"/>
        <w:spacing w:lineRule="auto" w:line="360" w:before="0" w:after="0"/>
        <w:contextualSpacing/>
        <w:jc w:val="both"/>
        <w:rPr>
          <w:rFonts w:ascii="Arial" w:hAnsi="Arial" w:cs="Arial"/>
          <w:strike/>
          <w:sz w:val="22"/>
          <w:szCs w:val="22"/>
        </w:rPr>
      </w:pPr>
      <w:r>
        <w:rPr>
          <w:rFonts w:cs="Arial" w:ascii="Arial" w:hAnsi="Arial"/>
          <w:sz w:val="22"/>
          <w:szCs w:val="22"/>
        </w:rPr>
        <w:tab/>
        <w:t xml:space="preserve">13.5. Monitor ou tablet: O sistema deve possuir instalado no interior do veículo um monitor ou tablet para acompanhamento em tempo real das leituras das placas através da tecnologia OCR em modo mosaico, onde é possível visualizar as câmeras de captura de placas simultaneamente.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13.6. O veículo deverá:</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13.6.1. Ser de até 2 anos de uso, transmissão automática, ar-condicionado, 1000cc mínimo;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13.6.2. Possuir identificação visual e sinalização conforme Resolução CONTRAN nº 268/08;</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13.6.3. Permitir instalação dos equipamentos exigidos;</w:t>
        <w:tab/>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será responsável por:</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Manutenção integral do sistema e equipamentos;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b) Conectividade de dados móveis;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c) Suporte contínuo ao funcionamento do sistema, sem interrupções, durante toda a vigência contratual;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 Fornecimento do combustível, motorista e demais insumos necessários ao regular funcionamento do automóvel.</w:t>
      </w:r>
    </w:p>
    <w:p>
      <w:pPr>
        <w:pStyle w:val="Normal"/>
        <w:spacing w:lineRule="auto" w:line="360" w:before="0" w:after="0"/>
        <w:contextualSpacing/>
        <w:jc w:val="both"/>
        <w:rPr>
          <w:rFonts w:ascii="Arial" w:hAnsi="Arial" w:cs="Arial"/>
          <w:sz w:val="22"/>
          <w:szCs w:val="22"/>
          <w:shd w:fill="3465A4" w:val="clear"/>
        </w:rPr>
      </w:pPr>
      <w:r>
        <w:rPr>
          <w:rFonts w:cs="Arial" w:ascii="Arial" w:hAnsi="Arial"/>
          <w:sz w:val="22"/>
          <w:szCs w:val="22"/>
        </w:rPr>
        <w:tab/>
        <w:t xml:space="preserve">13.7. Os veículos deverão obedecer as rotas de circulação demonstradas no </w:t>
      </w:r>
      <w:r>
        <w:rPr>
          <w:rFonts w:cs="Arial" w:ascii="Arial" w:hAnsi="Arial"/>
          <w:b/>
          <w:bCs/>
          <w:sz w:val="22"/>
          <w:szCs w:val="22"/>
        </w:rPr>
        <w:t>anexo I</w:t>
      </w:r>
      <w:r>
        <w:rPr>
          <w:rFonts w:cs="Arial" w:ascii="Arial" w:hAnsi="Arial"/>
          <w:sz w:val="22"/>
          <w:szCs w:val="22"/>
        </w:rPr>
        <w:t>, de forma que um dos veículos cumpra todo o percurso da rota 01, e outro, consequentemente, cumpra o percurso demonstrado da rota 02. A critério da CONTRATADA, poderão ser apresentadas rotas alternativas as apresentadas, contudo, estando elas condicionadas, ao aceite do Departamento de Mobilidade e Trânsito.</w:t>
      </w:r>
    </w:p>
    <w:p>
      <w:pPr>
        <w:pStyle w:val="Normal"/>
        <w:spacing w:lineRule="auto" w:line="360" w:before="0" w:after="0"/>
        <w:contextualSpacing/>
        <w:jc w:val="both"/>
        <w:rPr>
          <w:rFonts w:ascii="Arial" w:hAnsi="Arial" w:cs="Arial"/>
          <w:sz w:val="22"/>
          <w:szCs w:val="22"/>
          <w:shd w:fill="3465A4" w:val="clear"/>
        </w:rPr>
      </w:pPr>
      <w:r>
        <w:rPr>
          <w:rFonts w:cs="Arial" w:ascii="Arial" w:hAnsi="Arial"/>
          <w:sz w:val="22"/>
          <w:szCs w:val="22"/>
          <w:shd w:fill="3465A4" w:val="clear"/>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14. INSTALAÇÃO E MANUTENÇÃO PERMANENTE DE PLACAS DE SINALIZAÇÃO VERTICAL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Em toda área de abrangência do Rotativo do Município de Itatiba deverão ser implantados a sinalização vertical, correspondendo a colocação de placas sinalizadoras e indicativas das condições de estacionamento.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ficará responsável pela manutenção permanente (preventiva e corretiva) de todas as placas instaladas.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projeto de sinalização vertical será disponibilizado pelo Departamento de Mobilidade e Trânsito.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b/>
          <w:bCs/>
          <w:sz w:val="22"/>
          <w:szCs w:val="22"/>
        </w:rPr>
        <w:t>Total de placas: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 Zona azul (1 a cada 15 vagas): 113 (cento e treze)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 Zona branca (1 a cada vaga): 27 (vinte e sete)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 Carga e Descarga: 23 (vinte e três) placas de sinalização.</w:t>
        <w:tab/>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 Embarque e desembarque (1 a cada vaga): 04 (quatro)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5. Táxi (1 a cada bolsão): 04 (quatro)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6. Idoso (1 a cada vaga): 83 (oitenta e três)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7. PCD (1 a cada vaga): 49 (quarenta e nove)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8. Motocicletas (1 a cada bolsão): 106 (cento e seis)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b/>
          <w:bCs/>
          <w:sz w:val="22"/>
          <w:szCs w:val="22"/>
          <w:u w:val="single"/>
        </w:rPr>
        <w:t>TOTAL: 409 placas de sinalização.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Em cada quadra da área de abrangência, deverão ser colocadas placas informativas contendo as seguintes informações mínimas:</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b/>
          <w:bCs/>
          <w:sz w:val="22"/>
          <w:szCs w:val="22"/>
        </w:rPr>
        <w:t>1. Placas indicando ZONA AZUL: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1.1. Dia e horário de funcionamento do estacionamento rotativo;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1.2. Tempo máximo de permanência na vaga;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1.3. Proibição Motocicleta;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1.4. QR code para acesso ao aplicativo de compra </w:t>
      </w:r>
    </w:p>
    <w:p>
      <w:pPr>
        <w:pStyle w:val="Normal"/>
        <w:spacing w:lineRule="auto" w:line="360" w:before="0" w:after="0"/>
        <w:contextualSpacing/>
        <w:jc w:val="center"/>
        <w:rPr>
          <w:rFonts w:ascii="Arial" w:hAnsi="Arial" w:cs="Arial"/>
          <w:sz w:val="22"/>
          <w:szCs w:val="22"/>
        </w:rPr>
      </w:pPr>
      <w:r>
        <w:rPr/>
        <w:drawing>
          <wp:inline distT="0" distB="0" distL="0" distR="0">
            <wp:extent cx="2567940" cy="3343275"/>
            <wp:effectExtent l="0" t="0" r="0" b="0"/>
            <wp:docPr id="1"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8" descr=""/>
                    <pic:cNvPicPr>
                      <a:picLocks noChangeAspect="1" noChangeArrowheads="1"/>
                    </pic:cNvPicPr>
                  </pic:nvPicPr>
                  <pic:blipFill>
                    <a:blip r:embed="rId14"/>
                    <a:srcRect l="-515" t="-366" r="-515" b="-366"/>
                    <a:stretch>
                      <a:fillRect/>
                    </a:stretch>
                  </pic:blipFill>
                  <pic:spPr bwMode="auto">
                    <a:xfrm>
                      <a:off x="0" y="0"/>
                      <a:ext cx="2567940" cy="3343275"/>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b/>
          <w:bCs/>
          <w:sz w:val="22"/>
          <w:szCs w:val="22"/>
        </w:rPr>
        <w:t>2. Placas indicando ZONA BRANCA: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 Indicação da vaga da zona branca;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2.2. Indicação do tempo de permanência na vaga de forma gratuita;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2.3. Orientação quanto ao uso do pisca alerta;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2.4. Proibição Motocicleta</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center"/>
        <w:rPr>
          <w:rFonts w:ascii="Arial" w:hAnsi="Arial" w:cs="Arial"/>
          <w:sz w:val="22"/>
          <w:szCs w:val="22"/>
        </w:rPr>
      </w:pPr>
      <w:r>
        <w:rPr/>
        <w:drawing>
          <wp:inline distT="0" distB="0" distL="0" distR="0">
            <wp:extent cx="2538095" cy="3211195"/>
            <wp:effectExtent l="0" t="0" r="0" b="0"/>
            <wp:docPr id="2"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descr=""/>
                    <pic:cNvPicPr>
                      <a:picLocks noChangeAspect="1" noChangeArrowheads="1"/>
                    </pic:cNvPicPr>
                  </pic:nvPicPr>
                  <pic:blipFill>
                    <a:blip r:embed="rId15"/>
                    <a:srcRect l="-520" t="-371" r="-520" b="-371"/>
                    <a:stretch>
                      <a:fillRect/>
                    </a:stretch>
                  </pic:blipFill>
                  <pic:spPr bwMode="auto">
                    <a:xfrm>
                      <a:off x="0" y="0"/>
                      <a:ext cx="2538095" cy="3211195"/>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b/>
          <w:bCs/>
          <w:sz w:val="22"/>
          <w:szCs w:val="22"/>
        </w:rPr>
        <w:t>3. Placas indicando CARGA E DESCARGA: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3.1. Dia e horário de funcionamento do estacionamento rotativo;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3.2. Tempo máximo de permanência na vaga;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3.3. Proibição Motocicleta;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3.4. QR code para acesso ao aplicativo de compra.</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center"/>
        <w:rPr>
          <w:rFonts w:ascii="Arial" w:hAnsi="Arial" w:cs="Arial"/>
          <w:b/>
          <w:bCs/>
          <w:sz w:val="22"/>
          <w:szCs w:val="22"/>
        </w:rPr>
      </w:pPr>
      <w:r>
        <w:rPr/>
        <w:drawing>
          <wp:inline distT="0" distB="0" distL="0" distR="0">
            <wp:extent cx="2552700" cy="3189605"/>
            <wp:effectExtent l="0" t="0" r="0" b="0"/>
            <wp:docPr id="3"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descr=""/>
                    <pic:cNvPicPr>
                      <a:picLocks noChangeAspect="1" noChangeArrowheads="1"/>
                    </pic:cNvPicPr>
                  </pic:nvPicPr>
                  <pic:blipFill>
                    <a:blip r:embed="rId16"/>
                    <a:srcRect l="-504" t="-371" r="-504" b="-371"/>
                    <a:stretch>
                      <a:fillRect/>
                    </a:stretch>
                  </pic:blipFill>
                  <pic:spPr bwMode="auto">
                    <a:xfrm>
                      <a:off x="0" y="0"/>
                      <a:ext cx="2552700" cy="3189605"/>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rPr>
        <w:tab/>
        <w:t>4. Placas indicando VAGA IDOSO: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4.1. Tempo máximo de permanência na vaga;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4.2. Proibição Motocicleta</w:t>
      </w:r>
    </w:p>
    <w:p>
      <w:pPr>
        <w:pStyle w:val="Normal"/>
        <w:spacing w:lineRule="auto" w:line="360" w:before="0" w:after="0"/>
        <w:contextualSpacing/>
        <w:jc w:val="center"/>
        <w:rPr>
          <w:rFonts w:ascii="Arial" w:hAnsi="Arial" w:cs="Arial"/>
          <w:sz w:val="22"/>
          <w:szCs w:val="22"/>
        </w:rPr>
      </w:pPr>
      <w:r>
        <w:rPr/>
        <w:drawing>
          <wp:inline distT="0" distB="0" distL="0" distR="0">
            <wp:extent cx="2560320" cy="3437890"/>
            <wp:effectExtent l="0" t="0" r="0" b="0"/>
            <wp:docPr id="4"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descr=""/>
                    <pic:cNvPicPr>
                      <a:picLocks noChangeAspect="1" noChangeArrowheads="1"/>
                    </pic:cNvPicPr>
                  </pic:nvPicPr>
                  <pic:blipFill>
                    <a:blip r:embed="rId17"/>
                    <a:srcRect l="-464" t="-337" r="-464" b="-337"/>
                    <a:stretch>
                      <a:fillRect/>
                    </a:stretch>
                  </pic:blipFill>
                  <pic:spPr bwMode="auto">
                    <a:xfrm>
                      <a:off x="0" y="0"/>
                      <a:ext cx="2560320" cy="3437890"/>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b/>
          <w:bCs/>
          <w:sz w:val="22"/>
          <w:szCs w:val="22"/>
        </w:rPr>
        <w:t>5. Placas indicando VAGA PCD:</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5.1. Tempo máximo de permanência na vaga;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5.2. Proibição Motocicleta</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center"/>
        <w:rPr>
          <w:rFonts w:ascii="Arial" w:hAnsi="Arial" w:cs="Arial"/>
          <w:sz w:val="22"/>
          <w:szCs w:val="22"/>
        </w:rPr>
      </w:pPr>
      <w:r>
        <w:rPr/>
        <w:drawing>
          <wp:inline distT="0" distB="0" distL="0" distR="0">
            <wp:extent cx="2567940" cy="3167380"/>
            <wp:effectExtent l="0" t="0" r="0" b="0"/>
            <wp:docPr id="5"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
                    <pic:cNvPicPr>
                      <a:picLocks noChangeAspect="1" noChangeArrowheads="1"/>
                    </pic:cNvPicPr>
                  </pic:nvPicPr>
                  <pic:blipFill>
                    <a:blip r:embed="rId18"/>
                    <a:srcRect l="-464" t="-338" r="-464" b="-338"/>
                    <a:stretch>
                      <a:fillRect/>
                    </a:stretch>
                  </pic:blipFill>
                  <pic:spPr bwMode="auto">
                    <a:xfrm>
                      <a:off x="0" y="0"/>
                      <a:ext cx="2567940" cy="3167380"/>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rPr>
        <w:tab/>
        <w:t>6. Placas indicando MOTOCICLETAS</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center"/>
        <w:rPr>
          <w:rFonts w:ascii="Arial" w:hAnsi="Arial" w:cs="Arial"/>
          <w:sz w:val="22"/>
          <w:szCs w:val="22"/>
        </w:rPr>
      </w:pPr>
      <w:r>
        <w:rPr/>
        <w:drawing>
          <wp:inline distT="0" distB="0" distL="0" distR="0">
            <wp:extent cx="2508885" cy="3277235"/>
            <wp:effectExtent l="0" t="0" r="0" b="0"/>
            <wp:docPr id="6"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
                    <pic:cNvPicPr>
                      <a:picLocks noChangeAspect="1" noChangeArrowheads="1"/>
                    </pic:cNvPicPr>
                  </pic:nvPicPr>
                  <pic:blipFill>
                    <a:blip r:embed="rId19"/>
                    <a:srcRect l="-460" t="-321" r="-460" b="-321"/>
                    <a:stretch>
                      <a:fillRect/>
                    </a:stretch>
                  </pic:blipFill>
                  <pic:spPr bwMode="auto">
                    <a:xfrm>
                      <a:off x="0" y="0"/>
                      <a:ext cx="2508885" cy="3277235"/>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rPr>
        <w:tab/>
        <w:t>7. Placas indicando EMBARQUE E DESEMBARQUE</w:t>
      </w:r>
    </w:p>
    <w:p>
      <w:pPr>
        <w:pStyle w:val="Normal"/>
        <w:spacing w:lineRule="auto" w:line="360" w:before="0" w:after="0"/>
        <w:contextualSpacing/>
        <w:jc w:val="center"/>
        <w:rPr>
          <w:rFonts w:ascii="Arial" w:hAnsi="Arial" w:cs="Arial"/>
          <w:sz w:val="22"/>
          <w:szCs w:val="22"/>
        </w:rPr>
      </w:pPr>
      <w:r>
        <w:rPr/>
        <w:drawing>
          <wp:inline distT="0" distB="0" distL="0" distR="0">
            <wp:extent cx="2494280" cy="2962910"/>
            <wp:effectExtent l="0" t="0" r="0" b="0"/>
            <wp:docPr id="7"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
                    <pic:cNvPicPr>
                      <a:picLocks noChangeAspect="1" noChangeArrowheads="1"/>
                    </pic:cNvPicPr>
                  </pic:nvPicPr>
                  <pic:blipFill>
                    <a:blip r:embed="rId20"/>
                    <a:srcRect l="-475" t="-338" r="-475" b="-338"/>
                    <a:stretch>
                      <a:fillRect/>
                    </a:stretch>
                  </pic:blipFill>
                  <pic:spPr bwMode="auto">
                    <a:xfrm>
                      <a:off x="0" y="0"/>
                      <a:ext cx="2494280" cy="2962910"/>
                    </a:xfrm>
                    <a:prstGeom prst="rect">
                      <a:avLst/>
                    </a:prstGeom>
                    <a:solidFill>
                      <a:srgbClr val="ffffff"/>
                    </a:solidFill>
                  </pic:spPr>
                </pic:pic>
              </a:graphicData>
            </a:graphic>
          </wp:inline>
        </w:drawing>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As placas serão confeccionadas em aço galvanizado, conforme a Norma ABNT – NBR 11904.</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acabamento do verso da placa deverá ser com pintura com tinta na cor preta fosca, conforme o padrão já existente;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adesivos ou materiais similares utilizados nas placas são definidos de acordo com as normas técnicas e aplicadas na face principal toda da placa.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fixação do conjunto deverá ser posicionada nas vias urbanas. Deverá a borda inferior da placa ficar a uma altura livre, em relação ao solo, entre 2,10 e 2,20 m.</w:t>
      </w:r>
    </w:p>
    <w:p>
      <w:pPr>
        <w:pStyle w:val="Normal"/>
        <w:spacing w:lineRule="auto" w:line="360" w:before="0" w:after="0"/>
        <w:ind w:firstLine="709"/>
        <w:contextualSpacing/>
        <w:jc w:val="both"/>
        <w:rPr>
          <w:rFonts w:ascii="Arial" w:hAnsi="Arial" w:cs="Arial"/>
          <w:sz w:val="22"/>
          <w:szCs w:val="22"/>
        </w:rPr>
      </w:pPr>
      <w:r>
        <w:rPr>
          <w:rFonts w:cs="Arial" w:ascii="Arial" w:hAnsi="Arial"/>
          <w:sz w:val="22"/>
          <w:szCs w:val="22"/>
        </w:rPr>
        <w:t>Em colunas em tubo de aço galvanizado a fogo, medindo 2 1/2" x 3,60m. (poste tipo PP) com Abraçadeiras para fixação de placas de regulamentação, estas deverão ser fabricadas em aço com acabamento por meio de galvanização á fogo, inclusive parafusos e porcas. Serão utilizadas para fixação de placas em coluna galvanizada à fogo, diâmetro de 2 “1/2,3””. Deverá estar incluso 4 conjuntos de parafusos, sendo 2 para fixação do conjunto ao posto e outros dois para fixação da placa a abraçadeira.</w:t>
      </w:r>
    </w:p>
    <w:p>
      <w:pPr>
        <w:pStyle w:val="Normal"/>
        <w:spacing w:lineRule="auto" w:line="360" w:before="0" w:after="0"/>
        <w:contextualSpacing/>
        <w:jc w:val="both"/>
        <w:rPr>
          <w:rFonts w:ascii="Arial" w:hAnsi="Arial" w:eastAsia="Calibri" w:cs="Arial"/>
          <w:sz w:val="22"/>
          <w:szCs w:val="22"/>
        </w:rPr>
      </w:pPr>
      <w:r>
        <w:rPr>
          <w:rFonts w:cs="Arial" w:ascii="Arial" w:hAnsi="Arial"/>
          <w:sz w:val="22"/>
          <w:szCs w:val="22"/>
        </w:rPr>
        <w:tab/>
        <w:t>Os modelos das placas de sinalização deverão ser utilizados como base pela contratada para elaboração, contendo todas as exigências do presente.</w:t>
      </w:r>
    </w:p>
    <w:p>
      <w:pPr>
        <w:pStyle w:val="Normal"/>
        <w:spacing w:lineRule="auto" w:line="360" w:before="0" w:after="0"/>
        <w:contextualSpacing/>
        <w:jc w:val="both"/>
        <w:rPr>
          <w:rFonts w:ascii="Arial" w:hAnsi="Arial" w:cs="Arial"/>
          <w:sz w:val="22"/>
          <w:szCs w:val="22"/>
        </w:rPr>
      </w:pPr>
      <w:r>
        <w:rPr>
          <w:rFonts w:eastAsia="Calibri" w:cs="Arial" w:ascii="Arial" w:hAnsi="Arial"/>
          <w:sz w:val="22"/>
          <w:szCs w:val="22"/>
        </w:rPr>
        <w:t xml:space="preserve"> </w:t>
      </w:r>
      <w:r>
        <w:rPr>
          <w:rFonts w:cs="Arial" w:ascii="Arial" w:hAnsi="Arial"/>
          <w:sz w:val="22"/>
          <w:szCs w:val="22"/>
        </w:rPr>
        <w:tab/>
        <w:t>Deverão ser apresentados os modelos finais das placas para aprovação, previamente a instalação, pela Contratante.</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trike/>
          <w:sz w:val="22"/>
          <w:szCs w:val="22"/>
        </w:rPr>
      </w:pPr>
      <w:r>
        <w:rPr>
          <w:rFonts w:cs="Arial" w:ascii="Arial" w:hAnsi="Arial"/>
          <w:b/>
          <w:bCs/>
          <w:sz w:val="22"/>
          <w:szCs w:val="22"/>
          <w:u w:val="single"/>
        </w:rPr>
        <w:t>15. AGENTES DE APOIO COM DISPOSITIVOS MÓVEIS PARA COMERCIALIZAÇÃO E FISCALIZAÇÃO DAS VAGAS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AGENTES DE APOIO ficarão concentrados na região central do Município, especificadamente nos locais: Praça da Bandeira, Rua Florêncio Pupo, Rua Aguiar Pupo, Rua Rangel Pestana, Rua Coronel Camilo Pires, Rua Rui Barbosa, Av. Marechal Deodoro, Rua Quintino Bocaiuva, Rua Francisco Glicério e Mercado Municipal “Dona Lica”.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Total de AGENTES DE APOIO: 10 (dez) com conjuntos de Dispositivos Móveis de Comercialização – POS e Fiscalização – DPMF.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AGENTES DE APOIO deverão ter no mínimo ensino médio, e desempenhar as funções de comercialização de tíquetes, orientação, pagamento da TPU, fiscalização da regularidade dos carros estacionados, emissão de ADCT, dentre outras atinentes as atividades descritas no presente termo de referência.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deverá fornecer uniforme completo (boné, camiseta, calça ou bermuda) de modo aos AGENTES DE APOIO serem visualmente identificáveis.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AGENTES DE APOIO deverão estar sempre em circulação dentro da região/rua/quadra que lhe for designada, de modo a ser facilmente localizado pelos usuários, facilitando a aquisição dos tíquetes de zona azul, e tornando, ainda, a fiscalização mais eficaz e eficiente.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16. DATACENTER (SERVIDORES, EQUIPAMENTOS, SISTEMAS E RELATÓRIOS)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deverá disponibilizar estrutura de Datacenter com capacidade suficiente para atender as condições de operação mais severas de horários de pico em épocas de maior demanda, considerando as transações para a comercialização de créditos eletrônicos, ativações de estacionamento e ferramentas de fiscalização.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sistemas obrigatoriamente devem ser hospedados em território nacional com um SLA mínimo de 99,95% de disponibilidade, em Datacenter com certificação Tier3 aderente as normas ISO 27001 e ISSO 27701 a fim de manter a estabilidade esperada e o comprimento das normas da LGPD.</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hospedagem do sistema será de responsabilidade da CONTRATADA e deverá ser realizada em ambiente com alta disponibilidade com painel de monitoramento do estado dos servidores e sistemas para a CONTRATANTE.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aplicativos deverão estar instalados no mínimo em dois servidores em redundância, e deverá dar suporte à expansão ou redução automaticamente do número de servidores para suportar o tráfego de usuários simultâneos.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Todas as operações de backup e de retenção de dados ficará sob responsabilidade da empresa contratada, e deve ter a retenção mínima dos 30 últimos dias, o último dia de cada mês dos últimos 12 meses e 1 posição do último dia dos últimos 2 anos, e deve ter o tempo de recuperação menor ou igual a 4 horas.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Sistema Gerenciador de Bancos de Dados não deverá em nenhuma hipótese ser exposto publicamente na internet.</w:t>
        <w:tab/>
        <w:tab/>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servidores de comunicação devem possuir firewall e regras de segurança para prevenção de ataques cibernéticos.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Toda a manutenção dos servidores de aplicação e banco de dados serão de responsabilidade da CONTRATADA.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servidores deverão possuir sistema WAF (Web Application Firewall) que é um sistema que fica entre o seu site ou aplicativo e o restante da internet, funcionando como uma barreira que bloqueia e protege seu servidor contra-ataques de Hackers, Spammers, DDoS, Injeções SQL e muito outros tipos de Cyber Ataques.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fornecerá acesso de usuários definidos pela CONTRATANTE ao Data Center para realização de auditorias e a disponibilização de ferramentas para realização de consultas e auditorias a qualquer tempo.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16.1. A CONTRATADA deverá fornecer dashboard de acesso as seguintes informações: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16.1.1. Lista de servidores virtuais e/ou físicos e volumetria associada ao ambiente proposto;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16.1.2. Monitoramento do banco de dados;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16.1.3. Monitoramento dos firewalls;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16.1.4. Monitoramento das máquinas virtuais;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16.1.6. Monitoramento de backup;</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16.1.7. Monitoramento de servidores web publicados (necessário WAF em todas as aplicações publicadas por questões de segurança;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16.1.8. Checklist de incidentes e resoluções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16.1.9. Monitoramento de conectividade (links de Internet).</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Ao final da vigência do contrato, a CONTRATADA fica obrigada a fornecer todos os dados referentes a gestão do estacionamento rotativo no Município e armazenadas ao longo de sua execução.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17. GEORREFERENCIAMENTO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Deverá ser executado pela CONTRATADA o Georreferenciamento de todas as vagas das áreas que compreendem o estacionamento, referenciando sua latitude e longitude de início e ﬁm com equipamento de precisão. Este trabalho permitirá ao veículo OCR/LPR apontar de forma extremamente precisa o endereço do local onde a infração foi cometida.</w:t>
        <w:br/>
        <w:tab/>
        <w:t>Também neste trabalho as guias rebaixadas serão registradas, assim como as vagas especiais e todas as outras de interesse.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georreferenciamento deverá estabelecer para cada vaga as coordenadas e respectiva numeração virtual.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Faz parte do escopo dos serviços de levantamento de campo e mapeamento georreferenciado, a utilização de equipamentos de GPS em veículos automotores e processamento das informações obtidas.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As informações levantadas serão posteriormente conferidas dentro do mesmo ambiente, utilizado na coleta de dados e imagens. Cada ponto e informação levantada deverá ser revista e garantida a conﬁabilidade das informações levantadas.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georreferenciamento das vagas, deverá ainda permitir monitoramento em tempo real do uso e ocupação das vagas, através de sensores virtuais ou físicos.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Caso a CONTRATANTE opte por efetuar ajustes no desenho e na destinação das vagas que compõem o sistema de estacionamento rotativo estabelecido, deverá ser efetuado, por parte da CONTRATADA, tanto nas informações do sistema, bem como nos sensores físicos, os devidos ajustes para recompatibilização do sistema.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Caso tais ajustes importem na adição de sensores, deverá ser efetuado por meio de aditivo contratual, as compensações financeiras, de modo a respeitar os custos pré-estabelecidos.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Caberá ainda, a CONTRATADA, efetuar a manutenção preventiva e corretiva, de todos os equipamentos pertinentes ao sistema de georreferenciamento das vagas ao longo da vigência do contrato.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b/>
          <w:bCs/>
          <w:sz w:val="22"/>
          <w:szCs w:val="22"/>
          <w:u w:val="single"/>
        </w:rPr>
      </w:pPr>
      <w:r>
        <w:rPr>
          <w:rFonts w:cs="Arial" w:ascii="Arial" w:hAnsi="Arial"/>
          <w:b/>
          <w:bCs/>
          <w:sz w:val="22"/>
          <w:szCs w:val="22"/>
          <w:u w:val="single"/>
        </w:rPr>
        <w:t>18. PESQUISA DE SATISFAÇÃO DO USUÁRIO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Semestralmente, a CONTRATADA deverá realizar uma Pesquisa de Satisfação do Usuário, ferramenta que coleta feedback e opiniões de clientes e usuários sobre a qualidade dos equipamentos, serviços, atendimento e outros aspectos dos serviços ora fornecidos.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Através dos questionários, será possível entender a percepção dos usuários, identificar pontos fortes e fracos, e coletar dados para melhorar a execução do objeto contratual.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Essas pesquisas serão fundamentais para aprimorar a experiência do usuário, devendo conter, no mínimo, questionamentos acerca: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 Do aplicativo;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 Do website;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 Do atendimento dos AGENTES DE APOIO;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 Dos Pontos de Venda;</w:t>
      </w:r>
    </w:p>
    <w:p>
      <w:pPr>
        <w:pStyle w:val="Normal"/>
        <w:spacing w:lineRule="auto" w:line="360" w:before="0" w:after="0"/>
        <w:contextualSpacing/>
        <w:jc w:val="both"/>
        <w:rPr>
          <w:rFonts w:ascii="Arial" w:hAnsi="Arial" w:cs="Arial"/>
          <w:b/>
          <w:bCs/>
          <w:sz w:val="22"/>
          <w:szCs w:val="22"/>
          <w:u w:val="single"/>
        </w:rPr>
      </w:pPr>
      <w:r>
        <w:rPr>
          <w:rFonts w:cs="Arial" w:ascii="Arial" w:hAnsi="Arial"/>
          <w:sz w:val="22"/>
          <w:szCs w:val="22"/>
        </w:rPr>
        <w:tab/>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19. CAPACITAÇÃO DE PESSOAL DO MUNICÍPIO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empresa contratada fornecedora da solução de estacionamento rotativo deverá capacitar os servidos da municipalidade, alocados para gestão do sistema, incluindo pessoal administrativo, em número máximo de 10 pessoas.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capacitação, em local a ser indicado pelo Município, deverá ocorrer antes do início de funcionamento do Sistema, devendo realizar-se pelo menos duas sessões de treinamento, com módulos teórico e prático, para os casos em que nem todos servidores esteja disponível, de tal modo que o servidor alocado esteja habilitado a operar o Sistema e seus equipamentos/aplicativos. Sempre que houver substituição/acréscimo de servidor municipal envolvido na gestão do Sistema, a empresa contratada fornecedora da solução de estacionamento rotativo deverá realizar a capacitação ao servidor, para que o mesmo assuma a sua nova função.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20. DIVULGAÇÃO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Antes do início da operação do sistema de estacionamento rotativo, a CONTRATADA deverá realizar uma campanha de divulgação e esclarecimento à população pelo prazo de 15 dias, comunicando sobre o novo sistema, datas de início de funcionamento, e métodos de aquisição dos meios de pagamento, conforme descrito no cronograma.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campanha deverá ser conduzida por uma equipe de cinco pessoas, com a distribuição de 10.000 panfletos informativos. Esses panfletos devem ser elaborados no formato de folder A4, dobrado ao meio, com gramatura de 115 gramas.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Todo o material de divulgação deverá ser previamente submetido à aprovação do Município e assim sendo todos os custos serão da CONTRATADA.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deverá fornecer material digital para que o Município possa realizar a divulgação através de suas redes sociais, incluindo: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 Link para acesso ao site contendo as informações sobre 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 Divulgação nas redes sociais sobre o aplicativo;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21. GARANTIA DOS SERVIÇOS, MANUTENÇÃO E SUPORTE À OPERAÇÃO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CONTRATADA deverá:</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21.1. Garantir a assistência técnica remota aos dispositivos de comercialização e fiscalização e da rede de pontos de venda credenciada.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21.2. Prover os suprimentos dos equipamentos/dispositivos, compreendendo bobinas de papel para emissão de comprovantes, bateria, chips para transmissão de dados, componentes, dentre outros itens necessários ao funcionamento da solução.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21.3. Fornecer e renovar as licenças de uso, enquanto o equipamento/ dispositivo/ software estiver operando.</w:t>
      </w:r>
    </w:p>
    <w:p>
      <w:pPr>
        <w:pStyle w:val="Normal"/>
        <w:spacing w:lineRule="auto" w:line="360" w:before="0" w:after="0"/>
        <w:contextualSpacing/>
        <w:jc w:val="both"/>
        <w:rPr>
          <w:rFonts w:ascii="Arial" w:hAnsi="Arial" w:cs="Arial"/>
          <w:sz w:val="22"/>
          <w:szCs w:val="22"/>
        </w:rPr>
      </w:pPr>
      <w:r>
        <w:rPr>
          <w:rFonts w:cs="Arial" w:ascii="Arial" w:hAnsi="Arial"/>
          <w:sz w:val="22"/>
          <w:szCs w:val="22"/>
        </w:rPr>
        <w:t>Para efeitos de execução dos serviços, definem-se: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sz w:val="22"/>
          <w:szCs w:val="22"/>
          <w:u w:val="single"/>
        </w:rPr>
        <w:t>GARANTIA</w:t>
      </w:r>
      <w:r>
        <w:rPr>
          <w:rFonts w:cs="Arial" w:ascii="Arial" w:hAnsi="Arial"/>
          <w:sz w:val="22"/>
          <w:szCs w:val="22"/>
        </w:rPr>
        <w:t>: prazo pelo qual a CONTRATADA se compromete a manter em correto e adequado funcionamento a solução por ela fornecida, mediante a realização de suporte técnico, envolvendo a prestação de serviços e a substituição de softwares, que apresentem quaisquer problemas técnicos, sem qualquer ônus para a CONTRATANTE;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sz w:val="22"/>
          <w:szCs w:val="22"/>
          <w:u w:val="single"/>
        </w:rPr>
        <w:t>COMPONENTE</w:t>
      </w:r>
      <w:r>
        <w:rPr>
          <w:rFonts w:cs="Arial" w:ascii="Arial" w:hAnsi="Arial"/>
          <w:sz w:val="22"/>
          <w:szCs w:val="22"/>
        </w:rPr>
        <w:t>: qualquer item (software, módulo, código, trecho de código, peça, dispositivo, insumo, acessório) que componha a solução fornecida. Em caso de necessidade de substituição de qualquer componente, deve ser fornecido pela CONTRATADA um novo componente;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sz w:val="22"/>
          <w:szCs w:val="22"/>
          <w:u w:val="single"/>
        </w:rPr>
        <w:t>PROBLEMA TÉCNICO</w:t>
      </w:r>
      <w:r>
        <w:rPr>
          <w:rFonts w:cs="Arial" w:ascii="Arial" w:hAnsi="Arial"/>
          <w:sz w:val="22"/>
          <w:szCs w:val="22"/>
        </w:rPr>
        <w:t>: qualquer falha ou defeito que impeça o correto e adequado funcionamento da solução;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sz w:val="22"/>
          <w:szCs w:val="22"/>
          <w:u w:val="single"/>
        </w:rPr>
        <w:t>CHAMADO TÉCNICO</w:t>
      </w:r>
      <w:r>
        <w:rPr>
          <w:rFonts w:cs="Arial" w:ascii="Arial" w:hAnsi="Arial"/>
          <w:sz w:val="22"/>
          <w:szCs w:val="22"/>
        </w:rPr>
        <w:t>: comunicação feita pela CONTRATANTE, por meio de ligação telefônica, envio de mensagem eletrônica ou registro de informações em sistema próprio, junto à CONTRATADA, de que a solução está apresentando qualquer problema técnico. A cada chamado técnico deve corresponder um único código de registro (número do chamado técnico), que deverá ser fornecido ao CONTRATANTE, no momento da referida comunicação;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sz w:val="22"/>
          <w:szCs w:val="22"/>
          <w:u w:val="single"/>
        </w:rPr>
        <w:t>ATENDIMENTO TÉCNICO</w:t>
      </w:r>
      <w:r>
        <w:rPr>
          <w:rFonts w:cs="Arial" w:ascii="Arial" w:hAnsi="Arial"/>
          <w:sz w:val="22"/>
          <w:szCs w:val="22"/>
        </w:rPr>
        <w:t>: atuação da CONTRATADA visando sanar um problema técnico da solução;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r>
      <w:r>
        <w:rPr>
          <w:rFonts w:cs="Arial" w:ascii="Arial" w:hAnsi="Arial"/>
          <w:sz w:val="22"/>
          <w:szCs w:val="22"/>
          <w:u w:val="single"/>
        </w:rPr>
        <w:t>MANUTENÇÃO PREVENTIVA</w:t>
      </w:r>
      <w:r>
        <w:rPr>
          <w:rFonts w:cs="Arial" w:ascii="Arial" w:hAnsi="Arial"/>
          <w:sz w:val="22"/>
          <w:szCs w:val="22"/>
        </w:rPr>
        <w:t>: atuação da CONTRATADA visando monitorar e prevenir falhas na solução, através de análise, configuração, instalação, correção e atualização de itens passíveis de modificação ou atualização.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Todos os serviços serão prestados remotamente, porém caso o problema não seja resolvido e seja comprovada a falha por defeitos de fabricação ou defeito no sistema a CONTRATANTE poderá solicitar a manutenção presencial em data a ser combinada com a CONTRATADA.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21.4. A CONTRATADA deverá disponibilizar SISTEMA DE SUPORTE: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2.4.1. Todo o suporte do sistema será de responsabilidade da CONTRATADA e deverá ser realizada em ambiente com alta disponibilidade;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21.4.2. A CONTRATADA deverá disponibilizar um sistema de telefonia com URA e painel de visualizações de ligações em tempo real;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21.4.3. A CONTRATADA deverá disponibilizar um número fixo e 0800 para o suporte;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21.4.4. A CONTRATADA deverá possuir no mínimo 4 canais de atendimento, sendo eles, telefone (fixo e 0800), e-mail com abertura de chamados automático, portal para a abertura de chamados e WhatsApp com autoatendimento.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21.4.5. Em caso de defeito ou não conformidade da solução ou de parte da solução fornecida, esta deve ser complementada por novos módulos ou ser substituída por outra, igual ou com características superiores.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21.5. Serviços de manutenção e suporte à operação: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21.5.1. A empresa Contratada deverá manter estrutura operacional, para melhor desempenho das funções de manutenção dos equipamentos/dispositivos locados além de suporte à operação, com a execução dos seguintes serviços: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a) Assistência técnica aos equipamentos/dispositivos de consulta de vaga e da rede de Postos de Venda credenciada;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b) Prover os suprimentos dos equipamentos/dispositivos, compreendendo bobinas de papel para emissão de comprovantes, bateria, chips para transmissão de dados, componentes e outros itens necessários ao funcionamento do Sistema;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c) Fornecimento e renovação das licenças de uso enquanto o equipamento/dispositivo/software estiver operando.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d) Suporte continuado e manutenção dos dispositivos e aplicativos de fiscalização (módulo primário e secundário);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e) Suporte continuado, remoção/instalação de equipamentos contemplados na solução, e manutenção dos dispositivos e aplicativos de aquisição de tempo de estacionamento por usuários e nos pontos de venda.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f) Suporte continuado e manutenção do software de gestão do Sistema Integrado de Gestão de Estacionamento Rotativo Online.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21.6. Os demais serviços de manutenção devem observar ainda as seguintes orientações e critérios: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21.6.1. Os atendimentos de ocorrências (manutenção) apontados por ouvidoria pelos usuários ou pelos agentes de trânsito em campo serão obrigatoriamente atendidos em no máximo 30 (trinta) minutos, a contar do chamado.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21.6.2. A manutenção dos equipamentos e sistemas deve ser executada de tal forma que sua funcionalidade não seja prejudicada, mantendo todas as informações e funções pertinentes à operação.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21.6.3. Toda manutenção requerida, quer seja em equipamentos, dispositivos, aplicativos, sinalização e outros componentes associados à operação do Sistema é obrigação da Contratada, contemplando ainda o suprimento de materiais de consumo de equipamentos instalados e hardware/software (bobina para impressora).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21.6.4. A reconfiguração de parâmetros que deverá ser feita fora dos horários de operação, e idealmente de forma remota;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21.6.5. A manutenção física do equipamento deverá ser feita por técnico qualificado da empresa, uniformizado e identificado;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21.6.6. Deverá ser executada periodicamente a manutenção preventiva dos equipamentos (elétrica, mecânica, eletrônica, sistemas de software – captação de dados), objetivando um perfeito estado de funcionamento e segurança dos mesmos;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b/>
        <w:t xml:space="preserve">21.6.7. A Contratada deverá acompanhar o funcionamento dos equipamentos, inclusive em campo se for o caso, para verificação de todas as suas funcionalidades, e se estão operando de acordo, tais como tensão da bateria, relógio, sinal de conectividade com o Sistema, carga de papel para impressão.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21.7. Prazos para serviços de manutenção:</w:t>
      </w:r>
    </w:p>
    <w:p>
      <w:pPr>
        <w:pStyle w:val="Normal"/>
        <w:spacing w:lineRule="auto" w:line="360" w:before="0" w:after="0"/>
        <w:contextualSpacing/>
        <w:jc w:val="both"/>
        <w:rPr>
          <w:rFonts w:ascii="Arial" w:hAnsi="Arial" w:cs="Arial"/>
          <w:b/>
          <w:bCs/>
          <w:sz w:val="22"/>
          <w:szCs w:val="22"/>
        </w:rPr>
      </w:pPr>
      <w:r>
        <w:rPr>
          <w:rFonts w:cs="Arial" w:ascii="Arial" w:hAnsi="Arial"/>
          <w:sz w:val="22"/>
          <w:szCs w:val="22"/>
        </w:rPr>
        <w:tab/>
        <w:t>Quando algum equipamento apresentar algum defeito de funcionamento, a Contratada tem até 24 (vinte e quatro) horas para consertá-lo em campo. Não cumprido o prazo de 24 (vinte e quatro) horas para reparo, a Contratada deve substituir a unidade defeituosa, utilizando os equipamentos reserva, de um total de 10% (dez) do total de aparelhos instalados para operação do sistema, e disponibilizados sem custo para o Departamento De Mobilidade e Trânsito. Caso as unidades reservas já tenham sido utilizadas e ainda haja necessidade de manutenção e/ou substituição de equipamentos, a contratada tem 72 (setenta e duas) horas, após notificação pelo Departamento de Mobilidade e Trânsito, para atender e resolver o problema identificado.</w:t>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22. Lei Geral De Proteção De Dados (LGPD – Lei Nº 13.709/2018)</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Lei Geral de Proteção de Dados Pessoais (LGPD), Lei nº 13.709, de 14 de agosto de 2018,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Para proteger os direitos fundamentais de liberdade e privacidade e o livre desenvolvimento da personalidade da pessoa natural foi criada a Autoridade Nacional de Proteção de Dados (ANPD), conforme estabelecido no Decreto nº 10.474, de 26 de agosto de 2020.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adequação à LGPD é um processo essencial para empresas que desejam operar com segurança e conformidade no cenário digital atual.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Em termos simples, a adequação à LGPD envolve a implementação de políticas, processos e medidas de segurança destinadas a proteger os dados pessoais de indivíduos. Essa lei, inspirada no Regulamento Geral de Proteção de Dados (GDPR) da União Europeia, estabelece diretrizes rigorosas para a coleta, armazenamento, processamento e compartilhamento de dados pessoais. Isso inclui informações como nomes, endereços, números de telefone, endereços de e-mail e qualquer outro dado que possa identificar uma pessoa.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LGPD visa proteger os direitos fundamentais de privacidade e liberdade das pessoas, garantindo que suas informações pessoais sejam tratadas com responsabilidade e transparência. Isso é benéfico tanto para os indivíduos quanto para as empresas, pois promove a confiança do consumidor e reduz o risco de violações de dados.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Toda pessoa natural tem assegurada a titularidade de seus dados pessoais e garantidos os direitos fundamentais de liberdade, de intimidade e de privacidade, nos termos do artigo 17 da LGPD.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prestação de serviços públicos de exploração e gestão das áreas destinadas ao Estacionamento Rotativo Pago nos logradouros públicos pressupõe o cadastro e utilização de dados dos usuários dos sistemas e meios de pagamento de forma que será exigido da futura CONTRATADA o atendimento e aderência a LGPD. O atendimento e aderência a LGPD deverá estar obrigatoriamente em nome da licitante, sendo aceita comprovação apresentada pela empresa que será contratada para fornecer a solução e plataforma tecnológica que será utilizada na operação envolvendo o cadastro e a utilização de dados pessoais dos usuários, mediante termo de compromisso de fornecimento assinado entre as partes. O documento comprobatório poderá ser a ISO 27001 que pressupõe a aderência a todos os requisitos da LGPD ou documento equivalente que comprove que o titular dos dados pessoais tem direito a obter do controlador (CONTRATADA), em relação aos dados do titular por ele tratados, a qualquer momento e mediante requisição: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1. Confirmação da existência de tratamento;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2. Acesso aos dados mantidos pelo controlador;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3. Correção de dados incompletos, inexatos ou desatualizados;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4. Bloqueio ou eliminação de dados desnecessários, excessivos ou tratados em desconformidade com o disposto na LGPD;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5. Portabilidade dos dados a outro fornecedor de serviço ou produto, mediante requisição expressa;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6. Eliminação dos dados pessoais tratados quando revogado o consentimento dado pelo titular;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7. Informação com quem o controlador realizou compartilhamento de seus dados;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8. Informação sobre a possibilidade de não fornecer consentimento e sobre as consequências da negativa;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9. Revogação do consentimento.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Além da LGPD, a empresa contratada deverá possuir a certificação PCI DSS. O certificado PCI DSS é crucial para garantir a segurança das transações com cartão de crédito e débito, protegendo os dados do titular do cartão e reduzindo o risco de fraudes e violações de dados. Ele estabelece um padrão de segurança para empresas que lidam com informações de pagamento, ajudando a construir confiança com os clientes e evitando prejuízos financeiros.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Importância do PCI DSS: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 Proteção de dados sensíveis:</w:t>
      </w:r>
    </w:p>
    <w:p>
      <w:pPr>
        <w:pStyle w:val="Normal"/>
        <w:spacing w:lineRule="auto" w:line="360" w:before="0" w:after="0"/>
        <w:contextualSpacing/>
        <w:jc w:val="both"/>
        <w:rPr>
          <w:rFonts w:ascii="Arial" w:hAnsi="Arial" w:eastAsia="Calibri" w:cs="Arial"/>
          <w:sz w:val="22"/>
          <w:szCs w:val="22"/>
        </w:rPr>
      </w:pPr>
      <w:r>
        <w:rPr>
          <w:rFonts w:cs="Arial" w:ascii="Arial" w:hAnsi="Arial"/>
          <w:sz w:val="22"/>
          <w:szCs w:val="22"/>
        </w:rPr>
        <w:tab/>
        <w:t>O PCI DSS define requisitos para proteger os dados do titular do cartão durante todo o ciclo de vida da transação, desde a coleta até o armazenamento e transmissão.</w:t>
      </w:r>
    </w:p>
    <w:p>
      <w:pPr>
        <w:pStyle w:val="Normal"/>
        <w:spacing w:lineRule="auto" w:line="360" w:before="0" w:after="0"/>
        <w:contextualSpacing/>
        <w:jc w:val="both"/>
        <w:rPr>
          <w:rFonts w:ascii="Arial" w:hAnsi="Arial" w:cs="Arial"/>
          <w:sz w:val="22"/>
          <w:szCs w:val="22"/>
        </w:rPr>
      </w:pPr>
      <w:r>
        <w:rPr>
          <w:rFonts w:eastAsia="Calibri" w:cs="Arial" w:ascii="Arial" w:hAnsi="Arial"/>
          <w:sz w:val="22"/>
          <w:szCs w:val="22"/>
        </w:rPr>
        <w:t xml:space="preserve"> </w:t>
      </w:r>
      <w:r>
        <w:rPr>
          <w:rFonts w:cs="Arial" w:ascii="Arial" w:hAnsi="Arial"/>
          <w:sz w:val="22"/>
          <w:szCs w:val="22"/>
        </w:rPr>
        <w:tab/>
        <w:t>2. Redução de fraudes:</w:t>
      </w:r>
    </w:p>
    <w:p>
      <w:pPr>
        <w:pStyle w:val="Normal"/>
        <w:spacing w:lineRule="auto" w:line="360" w:before="0" w:after="0"/>
        <w:contextualSpacing/>
        <w:jc w:val="both"/>
        <w:rPr>
          <w:rFonts w:ascii="Arial" w:hAnsi="Arial" w:eastAsia="Calibri" w:cs="Arial"/>
          <w:sz w:val="22"/>
          <w:szCs w:val="22"/>
        </w:rPr>
      </w:pPr>
      <w:r>
        <w:rPr>
          <w:rFonts w:cs="Arial" w:ascii="Arial" w:hAnsi="Arial"/>
          <w:sz w:val="22"/>
          <w:szCs w:val="22"/>
        </w:rPr>
        <w:tab/>
        <w:t>Ao implementar os padrões de segurança do PCI DSS, as empresas minimizam o risco de ataques cibernéticos e roubo de dados, protegendo tanto os clientes quanto a própria organização.</w:t>
      </w:r>
    </w:p>
    <w:p>
      <w:pPr>
        <w:pStyle w:val="Normal"/>
        <w:spacing w:lineRule="auto" w:line="360" w:before="0" w:after="0"/>
        <w:contextualSpacing/>
        <w:jc w:val="both"/>
        <w:rPr>
          <w:rFonts w:ascii="Arial" w:hAnsi="Arial" w:cs="Arial"/>
          <w:sz w:val="22"/>
          <w:szCs w:val="22"/>
        </w:rPr>
      </w:pPr>
      <w:r>
        <w:rPr>
          <w:rFonts w:eastAsia="Calibri" w:cs="Arial" w:ascii="Arial" w:hAnsi="Arial"/>
          <w:sz w:val="22"/>
          <w:szCs w:val="22"/>
        </w:rPr>
        <w:t xml:space="preserve"> </w:t>
      </w:r>
      <w:r>
        <w:rPr>
          <w:rFonts w:cs="Arial" w:ascii="Arial" w:hAnsi="Arial"/>
          <w:sz w:val="22"/>
          <w:szCs w:val="22"/>
        </w:rPr>
        <w:tab/>
        <w:t>3. Construção de confiança: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conformidade com o PCI DSS demonstra o compromisso da empresa com a segurança, aumentando a confiança dos clientes e fortalecendo o relacionamento.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 Evita multas e sanções: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Empresas que não cumprem os requisitos do PCI DSS podem sofrer multas e outras penalidades por parte das empresas de cartão e órgãos reguladores.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5. Acesso a novos mercados: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conformidade com o PCI DSS pode ser um requisito para empresas que desejam aceitar pagamentos com cartão em certos mercados, abrindo novas oportunidades de negócios.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6. Melhora da reputação: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segurança dos dados é um fator importante na decisão de compra dos consumidores. Ao demonstrar o compromisso com o PCI DSS, a empresa pode melhorar sua reputação e atrair mais clientes.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Na Realização da Prova de conceito a licitante deverá demonstrar que o sistema de gestão e operação/ plataforma tecnológica do estacionamento rotativo, a fim de comprovar que possui aderência a LGPD (Lei Geral de Proteção de Dados) e que possui a certificação PCI DSS de forma direta ou de forma indireta por meio de contratação específica de terceiro, fornecedor do sistema. </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u w:val="single"/>
        </w:rPr>
        <w:t>23.  VIGÊNCIA, PRAZO DE IMPLANTAÇÃO E FORMA DE FORNECIMENTO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 prazo contratado será de 24 (vinte e quatro) meses, podendo ser prorrogado por iguais períodos até o limite de 120 (cento e vinte) meses, conforme os ditames da Lei 14.133/21, sendo facultativa a prorrogação por parte da Contratante.</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 implantação completa do sistema de estacionamento rotativo se dará em 3 etapas: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 1ª etapa, a ser concluída até o prazo máximo de 30 dias após a assinatura do contrato, com a implantação de 574 (quinhentas e setenta e quatro) vagas;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 2ª etapa, a ser concluída até o prazo máximo de 60 dias após a assinatura do contrato, com a implantação e operação de 574 (quinhentas e setenta e quatro) vagas.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 3ª etapa, a ser concluída até o prazo máximo de 90 dias após a assinatura do contrato, com a implantação e operação de 576 (quinhentas e setenta e seis) vagas.</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Para o pleno êxito da implantação do Sistema de Estacionamento Rotativo Eletrônico deve-se prever a instalação e operação do sistema conforme as etapas estabelecidas, considerando um período máximo de </w:t>
      </w:r>
      <w:r>
        <w:rPr>
          <w:rFonts w:cs="Arial" w:ascii="Arial" w:hAnsi="Arial"/>
          <w:b/>
          <w:bCs/>
          <w:sz w:val="22"/>
          <w:szCs w:val="22"/>
        </w:rPr>
        <w:t>90 (noventa) dias</w:t>
      </w:r>
      <w:r>
        <w:rPr>
          <w:rFonts w:cs="Arial" w:ascii="Arial" w:hAnsi="Arial"/>
          <w:sz w:val="22"/>
          <w:szCs w:val="22"/>
        </w:rPr>
        <w:t>, após a partir da assinatura do contrato, para a implantação e operação total.</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 entrega dos projetos para execução da sinalização vertical </w:t>
      </w:r>
      <w:r>
        <w:rPr>
          <w:rFonts w:cs="Arial" w:ascii="Arial" w:hAnsi="Arial"/>
          <w:b/>
          <w:bCs/>
          <w:sz w:val="22"/>
          <w:szCs w:val="22"/>
        </w:rPr>
        <w:t xml:space="preserve">ocorrerá 01 (um) dia </w:t>
      </w:r>
      <w:r>
        <w:rPr>
          <w:rFonts w:cs="Arial" w:ascii="Arial" w:hAnsi="Arial"/>
          <w:sz w:val="22"/>
          <w:szCs w:val="22"/>
        </w:rPr>
        <w:t>após da assinatura do contrato.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As etapas obedecerão rigorosamente ao cronograma físico definido por este Termo de Referência e nas etapas subsequentes de implantação de novas vagas aos prazos estabelecidos pelo Departamento De Mobilidade e Trânsito. Qualquer mudança do cronograma somente poderá ocorrer com a devida aprovação ou por solicitação do Departamento De Mobilidade e Trânsito.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Os prazos de início da etapa de execução e de entrega admitem prorrogação, mantidas as demais cláusulas contratuais, conquanto esteja assegurada a manutenção de seu equilíbrio econômico-financeiro, e desde que ocorra algum dos seguintes motivos, devidamente autuado em processo: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1.Alteração do projeto ou especificações pelo Departamento De Mobilidade E Trânsito;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2. Superveniência de fato excepcional ou imprevisível, estranho à vontade das partes, que altere fundamentalmente as condições de execução do contrato;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3. Interrupção da execução do contrato ou diminuição do ritmo de trabalho por ordem e no interesse do Departamento De Mobilidade E Trânsito;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4. Aumento das quantidades inicialmente previstas no contrato, nos limites estabelecidos e permitidos por Lei;</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5. Impedimento de execução do contrato por fato ou ato de terceiro, reconhecido pelo Departamento De Mobilidade e Trânsito, em documento contemporâneo à sua ocorrência;</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6. Omissão ou atraso de providências a cargo do Departamento De Mobilidade e Trânsito, inclusive quanto aos pagamentos previstos de que resulte, diretamente, impedimento ou retardamento na execução do contrato, sem prejuízo das sanções legais aplicáveis aos responsáveis.</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Normal"/>
        <w:spacing w:lineRule="auto" w:line="360" w:before="0" w:after="0"/>
        <w:contextualSpacing/>
        <w:jc w:val="both"/>
        <w:rPr>
          <w:rFonts w:ascii="Arial" w:hAnsi="Arial" w:cs="Arial"/>
          <w:sz w:val="22"/>
          <w:szCs w:val="22"/>
        </w:rPr>
      </w:pPr>
      <w:r>
        <w:rPr>
          <w:rFonts w:cs="Arial" w:ascii="Arial" w:hAnsi="Arial"/>
          <w:b/>
          <w:bCs/>
          <w:sz w:val="22"/>
          <w:szCs w:val="22"/>
        </w:rPr>
        <w:t>Cronograma de execução: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 xml:space="preserve">O prazo para a execução dos serviços tem início a partir da emissão da respectiva assinatura do contrato. </w:t>
      </w:r>
    </w:p>
    <w:p>
      <w:pPr>
        <w:pStyle w:val="Normal"/>
        <w:spacing w:lineRule="auto" w:line="360" w:before="0" w:after="0"/>
        <w:contextualSpacing/>
        <w:jc w:val="both"/>
        <w:rPr>
          <w:rFonts w:ascii="Arial" w:hAnsi="Arial" w:cs="Arial"/>
          <w:sz w:val="22"/>
          <w:szCs w:val="22"/>
        </w:rPr>
      </w:pPr>
      <w:r>
        <w:rPr>
          <w:rFonts w:cs="Arial" w:ascii="Arial" w:hAnsi="Arial"/>
          <w:sz w:val="22"/>
          <w:szCs w:val="22"/>
        </w:rPr>
        <w:tab/>
        <w:t>As etapas obedecerão rigorosamente ao prazo máximo disposto no cronograma físico e qualquer mudança do cronograma somente poderá ocorrer com a devida aprovação ou por solicitação da Prefeitura de Itatiba.</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tbl>
      <w:tblPr>
        <w:tblW w:w="9430" w:type="dxa"/>
        <w:jc w:val="center"/>
        <w:tblInd w:w="0" w:type="dxa"/>
        <w:tblLayout w:type="fixed"/>
        <w:tblCellMar>
          <w:top w:w="0" w:type="dxa"/>
          <w:left w:w="5" w:type="dxa"/>
          <w:bottom w:w="0" w:type="dxa"/>
          <w:right w:w="0" w:type="dxa"/>
        </w:tblCellMar>
        <w:tblLook w:firstRow="0" w:noVBand="0" w:lastRow="0" w:firstColumn="0" w:lastColumn="0" w:noHBand="0" w:val="0000"/>
      </w:tblPr>
      <w:tblGrid>
        <w:gridCol w:w="2074"/>
        <w:gridCol w:w="1251"/>
        <w:gridCol w:w="2712"/>
        <w:gridCol w:w="1075"/>
        <w:gridCol w:w="2318"/>
      </w:tblGrid>
      <w:tr>
        <w:trPr>
          <w:trHeight w:val="283" w:hRule="atLeast"/>
        </w:trPr>
        <w:tc>
          <w:tcPr>
            <w:tcW w:w="2074" w:type="dxa"/>
            <w:tcBorders>
              <w:top w:val="single" w:sz="4" w:space="0" w:color="000000"/>
              <w:left w:val="single" w:sz="4" w:space="0" w:color="000000"/>
              <w:bottom w:val="single" w:sz="4" w:space="0" w:color="000000"/>
            </w:tcBorders>
            <w:shd w:color="auto" w:fill="FFFFA6" w:val="clear"/>
          </w:tcPr>
          <w:p>
            <w:pPr>
              <w:pStyle w:val="TableParagraph"/>
              <w:spacing w:lineRule="auto" w:line="276" w:before="0" w:after="0"/>
              <w:contextualSpacing/>
              <w:rPr>
                <w:b/>
                <w:bCs/>
                <w:sz w:val="16"/>
                <w:szCs w:val="16"/>
              </w:rPr>
            </w:pPr>
            <w:r>
              <w:rPr>
                <w:b/>
                <w:bCs/>
                <w:sz w:val="16"/>
                <w:szCs w:val="16"/>
              </w:rPr>
              <w:t>EXECUÇÃO</w:t>
            </w:r>
          </w:p>
        </w:tc>
        <w:tc>
          <w:tcPr>
            <w:tcW w:w="3963" w:type="dxa"/>
            <w:gridSpan w:val="2"/>
            <w:tcBorders>
              <w:top w:val="single" w:sz="4" w:space="0" w:color="000000"/>
              <w:left w:val="single" w:sz="4" w:space="0" w:color="000000"/>
              <w:bottom w:val="single" w:sz="4" w:space="0" w:color="000000"/>
            </w:tcBorders>
            <w:shd w:color="auto" w:fill="FFFFA6" w:val="clear"/>
          </w:tcPr>
          <w:p>
            <w:pPr>
              <w:pStyle w:val="TableParagraph"/>
              <w:spacing w:lineRule="auto" w:line="276" w:before="0" w:after="0"/>
              <w:contextualSpacing/>
              <w:rPr>
                <w:b/>
                <w:bCs/>
                <w:sz w:val="16"/>
                <w:szCs w:val="16"/>
              </w:rPr>
            </w:pPr>
            <w:r>
              <w:rPr>
                <w:b/>
                <w:bCs/>
                <w:sz w:val="16"/>
                <w:szCs w:val="16"/>
              </w:rPr>
              <w:t>ETAPA</w:t>
            </w:r>
          </w:p>
        </w:tc>
        <w:tc>
          <w:tcPr>
            <w:tcW w:w="3393"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TableParagraph"/>
              <w:spacing w:lineRule="auto" w:line="276" w:before="0" w:after="0"/>
              <w:contextualSpacing/>
              <w:rPr>
                <w:b/>
                <w:bCs/>
                <w:sz w:val="16"/>
                <w:szCs w:val="16"/>
              </w:rPr>
            </w:pPr>
            <w:r>
              <w:rPr>
                <w:b/>
                <w:bCs/>
                <w:sz w:val="16"/>
                <w:szCs w:val="16"/>
              </w:rPr>
              <w:t>PRAZO</w:t>
            </w:r>
          </w:p>
        </w:tc>
      </w:tr>
      <w:tr>
        <w:trPr>
          <w:trHeight w:val="145" w:hRule="atLeast"/>
        </w:trPr>
        <w:tc>
          <w:tcPr>
            <w:tcW w:w="2074"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Projeto</w:t>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rFonts w:eastAsia="Calibri"/>
                <w:sz w:val="16"/>
                <w:szCs w:val="16"/>
              </w:rPr>
              <w:t xml:space="preserve"> </w:t>
            </w:r>
            <w:r>
              <w:rPr>
                <w:sz w:val="16"/>
                <w:szCs w:val="16"/>
              </w:rPr>
              <w:t>Entrega do Projeto Executivo pela Contratante</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No 1º Dia</w:t>
            </w:r>
          </w:p>
        </w:tc>
        <w:tc>
          <w:tcPr>
            <w:tcW w:w="2318" w:type="dxa"/>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1236" w:hRule="atLeast"/>
        </w:trPr>
        <w:tc>
          <w:tcPr>
            <w:tcW w:w="2074"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Divulgação do novo sistema de estacionamento rotativo</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Divulgação do novo sistema de estacionamento rotativo - responsável Contratante</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30 dias</w:t>
            </w:r>
          </w:p>
        </w:tc>
        <w:tc>
          <w:tcPr>
            <w:tcW w:w="2318" w:type="dxa"/>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Anteriores ao início da operação</w:t>
            </w:r>
          </w:p>
        </w:tc>
      </w:tr>
      <w:tr>
        <w:trPr>
          <w:trHeight w:val="529" w:hRule="atLeast"/>
        </w:trPr>
        <w:tc>
          <w:tcPr>
            <w:tcW w:w="2074" w:type="dxa"/>
            <w:vMerge w:val="restart"/>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Contratação dos Agentes De Apoio</w:t>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1ª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Contratação de 5 agentes</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A partir do 60º Dia</w:t>
            </w:r>
          </w:p>
        </w:tc>
        <w:tc>
          <w:tcPr>
            <w:tcW w:w="2318" w:type="dxa"/>
            <w:vMerge w:val="restart"/>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312" w:hRule="atLeast"/>
        </w:trPr>
        <w:tc>
          <w:tcPr>
            <w:tcW w:w="2074"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2ª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Contratação de 5 agentes (total de 10)</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A partir do 90º Dia</w:t>
            </w:r>
          </w:p>
        </w:tc>
        <w:tc>
          <w:tcPr>
            <w:tcW w:w="2318" w:type="dxa"/>
            <w:vMerge w:val="continue"/>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r>
      <w:tr>
        <w:trPr>
          <w:trHeight w:val="808" w:hRule="atLeast"/>
        </w:trPr>
        <w:tc>
          <w:tcPr>
            <w:tcW w:w="2074" w:type="dxa"/>
            <w:vMerge w:val="restart"/>
            <w:tcBorders>
              <w:left w:val="single" w:sz="4" w:space="0" w:color="000000"/>
              <w:bottom w:val="single" w:sz="4" w:space="0" w:color="000000"/>
            </w:tcBorders>
          </w:tcPr>
          <w:p>
            <w:pPr>
              <w:pStyle w:val="TableParagraph"/>
              <w:spacing w:lineRule="auto" w:line="276" w:before="0" w:after="0"/>
              <w:contextualSpacing/>
              <w:rPr>
                <w:rFonts w:eastAsia="Calibri"/>
                <w:sz w:val="16"/>
                <w:szCs w:val="16"/>
              </w:rPr>
            </w:pPr>
            <w:r>
              <w:rPr>
                <w:sz w:val="16"/>
                <w:szCs w:val="16"/>
              </w:rPr>
              <w:t>Locação dos dispositivos de comercialização (POS) e fiscalização (DPMF), e planos de dados</w:t>
            </w:r>
          </w:p>
          <w:p>
            <w:pPr>
              <w:pStyle w:val="TableParagraph"/>
              <w:spacing w:lineRule="auto" w:line="276" w:before="0" w:after="0"/>
              <w:contextualSpacing/>
              <w:rPr>
                <w:sz w:val="16"/>
                <w:szCs w:val="16"/>
              </w:rPr>
            </w:pPr>
            <w:r>
              <w:rPr>
                <w:rFonts w:eastAsia="Calibri"/>
                <w:sz w:val="16"/>
                <w:szCs w:val="16"/>
              </w:rPr>
              <w:t xml:space="preserve"> </w:t>
            </w:r>
            <w:r>
              <w:rPr>
                <w:sz w:val="16"/>
                <w:szCs w:val="16"/>
              </w:rPr>
              <w:t>(quantidade máxima)</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1ª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 xml:space="preserve">Fornecimento de </w:t>
            </w:r>
          </w:p>
          <w:p>
            <w:pPr>
              <w:pStyle w:val="TableParagraph"/>
              <w:spacing w:lineRule="auto" w:line="276" w:before="0" w:after="0"/>
              <w:contextualSpacing/>
              <w:rPr>
                <w:sz w:val="16"/>
                <w:szCs w:val="16"/>
              </w:rPr>
            </w:pPr>
            <w:r>
              <w:rPr>
                <w:sz w:val="16"/>
                <w:szCs w:val="16"/>
              </w:rPr>
              <w:t>35 unidades</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A partir do 60º Dia</w:t>
            </w:r>
          </w:p>
        </w:tc>
        <w:tc>
          <w:tcPr>
            <w:tcW w:w="2318" w:type="dxa"/>
            <w:vMerge w:val="restart"/>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808" w:hRule="atLeast"/>
        </w:trPr>
        <w:tc>
          <w:tcPr>
            <w:tcW w:w="2074" w:type="dxa"/>
            <w:vMerge w:val="continue"/>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2ª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Fornecimento de mais 18 unidades (total de 53)</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A partir do 90º Dia</w:t>
            </w:r>
          </w:p>
        </w:tc>
        <w:tc>
          <w:tcPr>
            <w:tcW w:w="2318" w:type="dxa"/>
            <w:vMerge w:val="continue"/>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tc>
      </w:tr>
      <w:tr>
        <w:trPr>
          <w:trHeight w:val="675" w:hRule="atLeast"/>
        </w:trPr>
        <w:tc>
          <w:tcPr>
            <w:tcW w:w="2074"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Locação de aplicativo de acesso via smartphone para usuários e portal do usuário web, com suporte e manutenção</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Fornecimento total e operacionalização dos aplicativos</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A partir do 60º Dia</w:t>
            </w:r>
          </w:p>
        </w:tc>
        <w:tc>
          <w:tcPr>
            <w:tcW w:w="2318" w:type="dxa"/>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672" w:hRule="atLeast"/>
        </w:trPr>
        <w:tc>
          <w:tcPr>
            <w:tcW w:w="2074"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Locação de Sistema Integrado de Gestão de Estacionamento Rotativo Online, com suporte e manutenção</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Fornecimento total e operacionalização</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A partir do 60º Dia</w:t>
            </w:r>
          </w:p>
        </w:tc>
        <w:tc>
          <w:tcPr>
            <w:tcW w:w="2318" w:type="dxa"/>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995" w:hRule="atLeast"/>
        </w:trPr>
        <w:tc>
          <w:tcPr>
            <w:tcW w:w="2074" w:type="dxa"/>
            <w:vMerge w:val="restart"/>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Sistema de fiscalização móvel embarcada, integrada ao sistema de gestão de estacionamento, com operação, veículo, combustível e motorista (módulo primário de fiscalização)</w:t>
            </w:r>
          </w:p>
        </w:tc>
        <w:tc>
          <w:tcPr>
            <w:tcW w:w="1251" w:type="dxa"/>
            <w:vMerge w:val="restart"/>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1ª etapa</w:t>
            </w:r>
          </w:p>
        </w:tc>
        <w:tc>
          <w:tcPr>
            <w:tcW w:w="2712"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Fornecimento de 01 veículo</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A partir do 60º Dia</w:t>
            </w:r>
          </w:p>
        </w:tc>
        <w:tc>
          <w:tcPr>
            <w:tcW w:w="2318" w:type="dxa"/>
            <w:vMerge w:val="restart"/>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521" w:hRule="atLeast"/>
        </w:trPr>
        <w:tc>
          <w:tcPr>
            <w:tcW w:w="2074"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1251"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2712"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Fornecimento de 01 veículo (total de 2 unidades)</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A partir do 90º Dia</w:t>
            </w:r>
          </w:p>
        </w:tc>
        <w:tc>
          <w:tcPr>
            <w:tcW w:w="2318" w:type="dxa"/>
            <w:vMerge w:val="continue"/>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r>
      <w:tr>
        <w:trPr>
          <w:trHeight w:val="802" w:hRule="atLeast"/>
        </w:trPr>
        <w:tc>
          <w:tcPr>
            <w:tcW w:w="2074"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Datacenter</w:t>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Fornecimento total e operacionalização</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A partir do 60º Dia</w:t>
            </w:r>
          </w:p>
        </w:tc>
        <w:tc>
          <w:tcPr>
            <w:tcW w:w="2318" w:type="dxa"/>
            <w:tcBorders>
              <w:left w:val="single" w:sz="4" w:space="0" w:color="000000"/>
              <w:bottom w:val="single" w:sz="4" w:space="0" w:color="000000"/>
              <w:right w:val="single" w:sz="4" w:space="0" w:color="000000"/>
            </w:tcBorders>
          </w:tcPr>
          <w:p>
            <w:pPr>
              <w:pStyle w:val="TableParagraph"/>
              <w:spacing w:lineRule="auto" w:line="276" w:before="0" w:after="0"/>
              <w:contextualSpacing/>
              <w:rPr>
                <w:sz w:val="16"/>
                <w:szCs w:val="16"/>
              </w:rPr>
            </w:pPr>
            <w:r>
              <w:rPr>
                <w:sz w:val="16"/>
                <w:szCs w:val="16"/>
              </w:rPr>
              <w:t>Contados da Assinatura do Contrato</w:t>
            </w:r>
          </w:p>
        </w:tc>
      </w:tr>
      <w:tr>
        <w:trPr>
          <w:trHeight w:val="802" w:hRule="atLeast"/>
        </w:trPr>
        <w:tc>
          <w:tcPr>
            <w:tcW w:w="2074" w:type="dxa"/>
            <w:vMerge w:val="restart"/>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 xml:space="preserve">Placas de sinalização </w:t>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1ª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Fornecimento de 137 unidades</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30 dias</w:t>
            </w:r>
          </w:p>
        </w:tc>
        <w:tc>
          <w:tcPr>
            <w:tcW w:w="2318" w:type="dxa"/>
            <w:vMerge w:val="restart"/>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802" w:hRule="atLeast"/>
        </w:trPr>
        <w:tc>
          <w:tcPr>
            <w:tcW w:w="2074" w:type="dxa"/>
            <w:vMerge w:val="continue"/>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2ª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 xml:space="preserve">Fornecimento de mais 136 unidades </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60 dias</w:t>
            </w:r>
          </w:p>
        </w:tc>
        <w:tc>
          <w:tcPr>
            <w:tcW w:w="2318" w:type="dxa"/>
            <w:vMerge w:val="continue"/>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tc>
      </w:tr>
      <w:tr>
        <w:trPr>
          <w:trHeight w:val="312" w:hRule="atLeast"/>
        </w:trPr>
        <w:tc>
          <w:tcPr>
            <w:tcW w:w="2074"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1251"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3ª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Fornecimento de mais 136 unidades (total de 409)</w:t>
            </w:r>
          </w:p>
        </w:tc>
        <w:tc>
          <w:tcPr>
            <w:tcW w:w="1075"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90 dias</w:t>
            </w:r>
          </w:p>
        </w:tc>
        <w:tc>
          <w:tcPr>
            <w:tcW w:w="2318" w:type="dxa"/>
            <w:vMerge w:val="continue"/>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r>
      <w:tr>
        <w:trPr>
          <w:trHeight w:val="454" w:hRule="atLeast"/>
        </w:trPr>
        <w:tc>
          <w:tcPr>
            <w:tcW w:w="2074"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Treinamento e suporte continuado ao funcionários responsáveis pela gestão e fiscalização do contrato</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Treinamento</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napToGrid w:val="false"/>
              <w:spacing w:lineRule="auto" w:line="276" w:before="0" w:after="0"/>
              <w:contextualSpacing/>
              <w:rPr>
                <w:sz w:val="16"/>
                <w:szCs w:val="16"/>
              </w:rPr>
            </w:pPr>
            <w:r>
              <w:rPr>
                <w:sz w:val="16"/>
                <w:szCs w:val="16"/>
              </w:rPr>
              <w:t xml:space="preserve">Até o </w:t>
            </w:r>
          </w:p>
          <w:p>
            <w:pPr>
              <w:pStyle w:val="TableParagraph"/>
              <w:spacing w:lineRule="auto" w:line="276" w:before="0" w:after="0"/>
              <w:contextualSpacing/>
              <w:rPr>
                <w:sz w:val="16"/>
                <w:szCs w:val="16"/>
              </w:rPr>
            </w:pPr>
            <w:r>
              <w:rPr>
                <w:sz w:val="16"/>
                <w:szCs w:val="16"/>
              </w:rPr>
              <w:t>60º dia</w:t>
            </w:r>
          </w:p>
        </w:tc>
        <w:tc>
          <w:tcPr>
            <w:tcW w:w="2318" w:type="dxa"/>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464" w:hRule="atLeast"/>
        </w:trPr>
        <w:tc>
          <w:tcPr>
            <w:tcW w:w="2074"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Fornecimento de licenças de software de todos os aplicativos e sistemas utilizados.</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Etapa única</w:t>
            </w:r>
          </w:p>
        </w:tc>
        <w:tc>
          <w:tcPr>
            <w:tcW w:w="2712"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Fornecimento de licença</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napToGrid w:val="false"/>
              <w:spacing w:lineRule="auto" w:line="276" w:before="0" w:after="0"/>
              <w:contextualSpacing/>
              <w:rPr>
                <w:sz w:val="16"/>
                <w:szCs w:val="16"/>
              </w:rPr>
            </w:pPr>
            <w:r>
              <w:rPr>
                <w:sz w:val="16"/>
                <w:szCs w:val="16"/>
              </w:rPr>
              <w:t xml:space="preserve">Até o </w:t>
            </w:r>
          </w:p>
          <w:p>
            <w:pPr>
              <w:pStyle w:val="TableParagraph"/>
              <w:spacing w:lineRule="auto" w:line="276" w:before="0" w:after="0"/>
              <w:contextualSpacing/>
              <w:rPr>
                <w:sz w:val="16"/>
                <w:szCs w:val="16"/>
              </w:rPr>
            </w:pPr>
            <w:r>
              <w:rPr>
                <w:sz w:val="16"/>
                <w:szCs w:val="16"/>
              </w:rPr>
              <w:t>60º dia</w:t>
            </w:r>
          </w:p>
        </w:tc>
        <w:tc>
          <w:tcPr>
            <w:tcW w:w="2318" w:type="dxa"/>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707" w:hRule="atLeast"/>
        </w:trPr>
        <w:tc>
          <w:tcPr>
            <w:tcW w:w="2074" w:type="dxa"/>
            <w:vMerge w:val="restart"/>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Georreferenciamento</w:t>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1ª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Georreferenciamento de 574 vagas</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30</w:t>
            </w:r>
          </w:p>
        </w:tc>
        <w:tc>
          <w:tcPr>
            <w:tcW w:w="2318" w:type="dxa"/>
            <w:vMerge w:val="restart"/>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p>
            <w:pPr>
              <w:pStyle w:val="TableParagraph"/>
              <w:spacing w:lineRule="auto" w:line="276" w:before="0" w:after="0"/>
              <w:contextualSpacing/>
              <w:rPr>
                <w:sz w:val="16"/>
                <w:szCs w:val="16"/>
              </w:rPr>
            </w:pPr>
            <w:r>
              <w:rPr>
                <w:sz w:val="16"/>
                <w:szCs w:val="16"/>
              </w:rPr>
              <w:t>Contados da Assinatura do Contrato</w:t>
            </w:r>
          </w:p>
        </w:tc>
      </w:tr>
      <w:tr>
        <w:trPr>
          <w:trHeight w:val="707" w:hRule="atLeast"/>
        </w:trPr>
        <w:tc>
          <w:tcPr>
            <w:tcW w:w="2074" w:type="dxa"/>
            <w:vMerge w:val="continue"/>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2ª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Georreferenciamento de 574 vagas</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60</w:t>
            </w:r>
          </w:p>
        </w:tc>
        <w:tc>
          <w:tcPr>
            <w:tcW w:w="2318" w:type="dxa"/>
            <w:vMerge w:val="continue"/>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tc>
      </w:tr>
      <w:tr>
        <w:trPr>
          <w:trHeight w:val="707" w:hRule="atLeast"/>
        </w:trPr>
        <w:tc>
          <w:tcPr>
            <w:tcW w:w="2074" w:type="dxa"/>
            <w:vMerge w:val="continue"/>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r>
          </w:p>
        </w:tc>
        <w:tc>
          <w:tcPr>
            <w:tcW w:w="1251"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3ª Etapa</w:t>
            </w:r>
          </w:p>
        </w:tc>
        <w:tc>
          <w:tcPr>
            <w:tcW w:w="2712" w:type="dxa"/>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Georreferenciamento de 576 vagas (total de 1.724)</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90</w:t>
            </w:r>
          </w:p>
        </w:tc>
        <w:tc>
          <w:tcPr>
            <w:tcW w:w="2318" w:type="dxa"/>
            <w:vMerge w:val="continue"/>
            <w:tcBorders>
              <w:left w:val="single" w:sz="4" w:space="0" w:color="000000"/>
              <w:bottom w:val="single" w:sz="4" w:space="0" w:color="000000"/>
              <w:right w:val="single" w:sz="4" w:space="0" w:color="000000"/>
            </w:tcBorders>
          </w:tcPr>
          <w:p>
            <w:pPr>
              <w:pStyle w:val="TableParagraph"/>
              <w:snapToGrid w:val="false"/>
              <w:spacing w:lineRule="auto" w:line="276" w:before="0" w:after="0"/>
              <w:contextualSpacing/>
              <w:rPr>
                <w:sz w:val="16"/>
                <w:szCs w:val="16"/>
              </w:rPr>
            </w:pPr>
            <w:r>
              <w:rPr>
                <w:sz w:val="16"/>
                <w:szCs w:val="16"/>
              </w:rPr>
            </w:r>
          </w:p>
        </w:tc>
      </w:tr>
      <w:tr>
        <w:trPr>
          <w:trHeight w:val="189" w:hRule="atLeast"/>
        </w:trPr>
        <w:tc>
          <w:tcPr>
            <w:tcW w:w="2074" w:type="dxa"/>
            <w:vMerge w:val="restart"/>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t>Pesquisa de satisfação do usuário</w:t>
            </w:r>
          </w:p>
        </w:tc>
        <w:tc>
          <w:tcPr>
            <w:tcW w:w="3963" w:type="dxa"/>
            <w:gridSpan w:val="2"/>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1ª Pesquisa</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 xml:space="preserve">Até o </w:t>
            </w:r>
          </w:p>
          <w:p>
            <w:pPr>
              <w:pStyle w:val="TableParagraph"/>
              <w:snapToGrid w:val="false"/>
              <w:spacing w:lineRule="auto" w:line="276" w:before="0" w:after="0"/>
              <w:contextualSpacing/>
              <w:rPr>
                <w:sz w:val="16"/>
                <w:szCs w:val="16"/>
              </w:rPr>
            </w:pPr>
            <w:r>
              <w:rPr>
                <w:sz w:val="16"/>
                <w:szCs w:val="16"/>
              </w:rPr>
              <w:t>180º dia</w:t>
            </w:r>
          </w:p>
        </w:tc>
        <w:tc>
          <w:tcPr>
            <w:tcW w:w="2318" w:type="dxa"/>
            <w:tcBorders>
              <w:left w:val="single" w:sz="4" w:space="0" w:color="000000"/>
              <w:bottom w:val="single" w:sz="4" w:space="0" w:color="000000"/>
              <w:right w:val="single" w:sz="4" w:space="0" w:color="000000"/>
            </w:tcBorders>
          </w:tcPr>
          <w:p>
            <w:pPr>
              <w:pStyle w:val="TableParagraph"/>
              <w:spacing w:lineRule="auto" w:line="276" w:before="0" w:after="0"/>
              <w:contextualSpacing/>
              <w:rPr>
                <w:sz w:val="16"/>
                <w:szCs w:val="16"/>
              </w:rPr>
            </w:pPr>
            <w:r>
              <w:rPr>
                <w:sz w:val="16"/>
                <w:szCs w:val="16"/>
              </w:rPr>
              <w:t>Contados da Assinatura do Contrato</w:t>
            </w:r>
          </w:p>
        </w:tc>
      </w:tr>
      <w:tr>
        <w:trPr>
          <w:trHeight w:val="189" w:hRule="atLeast"/>
        </w:trPr>
        <w:tc>
          <w:tcPr>
            <w:tcW w:w="2074"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3963" w:type="dxa"/>
            <w:gridSpan w:val="2"/>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2ª Pesquisa</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 xml:space="preserve">Até o </w:t>
            </w:r>
          </w:p>
          <w:p>
            <w:pPr>
              <w:pStyle w:val="TableParagraph"/>
              <w:snapToGrid w:val="false"/>
              <w:spacing w:lineRule="auto" w:line="276" w:before="0" w:after="0"/>
              <w:contextualSpacing/>
              <w:rPr>
                <w:sz w:val="16"/>
                <w:szCs w:val="16"/>
              </w:rPr>
            </w:pPr>
            <w:r>
              <w:rPr>
                <w:sz w:val="16"/>
                <w:szCs w:val="16"/>
              </w:rPr>
              <w:t>360º dia</w:t>
            </w:r>
          </w:p>
        </w:tc>
        <w:tc>
          <w:tcPr>
            <w:tcW w:w="2318" w:type="dxa"/>
            <w:tcBorders>
              <w:left w:val="single" w:sz="4" w:space="0" w:color="000000"/>
              <w:bottom w:val="single" w:sz="4" w:space="0" w:color="000000"/>
              <w:right w:val="single" w:sz="4" w:space="0" w:color="000000"/>
            </w:tcBorders>
          </w:tcPr>
          <w:p>
            <w:pPr>
              <w:pStyle w:val="TableParagraph"/>
              <w:spacing w:lineRule="auto" w:line="276" w:before="0" w:after="0"/>
              <w:contextualSpacing/>
              <w:rPr>
                <w:sz w:val="16"/>
                <w:szCs w:val="16"/>
              </w:rPr>
            </w:pPr>
            <w:r>
              <w:rPr>
                <w:sz w:val="16"/>
                <w:szCs w:val="16"/>
              </w:rPr>
              <w:t>Contados da Assinatura do Contrato</w:t>
            </w:r>
          </w:p>
        </w:tc>
      </w:tr>
      <w:tr>
        <w:trPr>
          <w:trHeight w:val="189" w:hRule="atLeast"/>
        </w:trPr>
        <w:tc>
          <w:tcPr>
            <w:tcW w:w="2074"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3963" w:type="dxa"/>
            <w:gridSpan w:val="2"/>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3ª Pesquisa</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 xml:space="preserve">Até o </w:t>
            </w:r>
          </w:p>
          <w:p>
            <w:pPr>
              <w:pStyle w:val="TableParagraph"/>
              <w:snapToGrid w:val="false"/>
              <w:spacing w:lineRule="auto" w:line="276" w:before="0" w:after="0"/>
              <w:contextualSpacing/>
              <w:rPr>
                <w:sz w:val="16"/>
                <w:szCs w:val="16"/>
              </w:rPr>
            </w:pPr>
            <w:r>
              <w:rPr>
                <w:sz w:val="16"/>
                <w:szCs w:val="16"/>
              </w:rPr>
              <w:t>540º dia</w:t>
            </w:r>
          </w:p>
        </w:tc>
        <w:tc>
          <w:tcPr>
            <w:tcW w:w="2318" w:type="dxa"/>
            <w:tcBorders>
              <w:left w:val="single" w:sz="4" w:space="0" w:color="000000"/>
              <w:bottom w:val="single" w:sz="4" w:space="0" w:color="000000"/>
              <w:right w:val="single" w:sz="4" w:space="0" w:color="000000"/>
            </w:tcBorders>
          </w:tcPr>
          <w:p>
            <w:pPr>
              <w:pStyle w:val="TableParagraph"/>
              <w:spacing w:lineRule="auto" w:line="276" w:before="0" w:after="0"/>
              <w:contextualSpacing/>
              <w:rPr>
                <w:sz w:val="16"/>
                <w:szCs w:val="16"/>
              </w:rPr>
            </w:pPr>
            <w:r>
              <w:rPr>
                <w:sz w:val="16"/>
                <w:szCs w:val="16"/>
              </w:rPr>
              <w:t>Contados da Assinatura do Contrato</w:t>
            </w:r>
          </w:p>
        </w:tc>
      </w:tr>
      <w:tr>
        <w:trPr>
          <w:trHeight w:val="189" w:hRule="atLeast"/>
        </w:trPr>
        <w:tc>
          <w:tcPr>
            <w:tcW w:w="2074" w:type="dxa"/>
            <w:vMerge w:val="continue"/>
            <w:tcBorders>
              <w:left w:val="single" w:sz="4" w:space="0" w:color="000000"/>
              <w:bottom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c>
          <w:tcPr>
            <w:tcW w:w="3963" w:type="dxa"/>
            <w:gridSpan w:val="2"/>
            <w:tcBorders>
              <w:left w:val="single" w:sz="4" w:space="0" w:color="000000"/>
              <w:bottom w:val="single" w:sz="4" w:space="0" w:color="000000"/>
            </w:tcBorders>
          </w:tcPr>
          <w:p>
            <w:pPr>
              <w:pStyle w:val="TableParagraph"/>
              <w:spacing w:lineRule="auto" w:line="276" w:before="0" w:after="0"/>
              <w:contextualSpacing/>
              <w:rPr>
                <w:sz w:val="16"/>
                <w:szCs w:val="16"/>
              </w:rPr>
            </w:pPr>
            <w:r>
              <w:rPr>
                <w:sz w:val="16"/>
                <w:szCs w:val="16"/>
              </w:rPr>
              <w:t>4ª Pesquisa</w:t>
            </w:r>
          </w:p>
        </w:tc>
        <w:tc>
          <w:tcPr>
            <w:tcW w:w="1075" w:type="dxa"/>
            <w:tcBorders>
              <w:left w:val="single" w:sz="4" w:space="0" w:color="000000"/>
              <w:bottom w:val="single" w:sz="4" w:space="0" w:color="000000"/>
            </w:tcBorders>
          </w:tcPr>
          <w:p>
            <w:pPr>
              <w:pStyle w:val="TableParagraph"/>
              <w:snapToGrid w:val="false"/>
              <w:spacing w:lineRule="auto" w:line="276" w:before="0" w:after="0"/>
              <w:contextualSpacing/>
              <w:rPr>
                <w:sz w:val="16"/>
                <w:szCs w:val="16"/>
              </w:rPr>
            </w:pPr>
            <w:r>
              <w:rPr>
                <w:sz w:val="16"/>
                <w:szCs w:val="16"/>
              </w:rPr>
              <w:t xml:space="preserve">Até o </w:t>
            </w:r>
          </w:p>
          <w:p>
            <w:pPr>
              <w:pStyle w:val="TableParagraph"/>
              <w:snapToGrid w:val="false"/>
              <w:spacing w:lineRule="auto" w:line="276" w:before="0" w:after="0"/>
              <w:contextualSpacing/>
              <w:rPr>
                <w:sz w:val="16"/>
                <w:szCs w:val="16"/>
              </w:rPr>
            </w:pPr>
            <w:r>
              <w:rPr>
                <w:sz w:val="16"/>
                <w:szCs w:val="16"/>
              </w:rPr>
              <w:t>720º dia</w:t>
            </w:r>
          </w:p>
        </w:tc>
        <w:tc>
          <w:tcPr>
            <w:tcW w:w="2318" w:type="dxa"/>
            <w:tcBorders>
              <w:left w:val="single" w:sz="4" w:space="0" w:color="000000"/>
              <w:bottom w:val="single" w:sz="4" w:space="0" w:color="000000"/>
              <w:right w:val="single" w:sz="4" w:space="0" w:color="000000"/>
            </w:tcBorders>
          </w:tcPr>
          <w:p>
            <w:pPr>
              <w:pStyle w:val="TableParagraph"/>
              <w:spacing w:lineRule="auto" w:line="276" w:before="0" w:after="0"/>
              <w:contextualSpacing/>
              <w:rPr>
                <w:sz w:val="16"/>
                <w:szCs w:val="16"/>
              </w:rPr>
            </w:pPr>
            <w:r>
              <w:rPr>
                <w:sz w:val="16"/>
                <w:szCs w:val="16"/>
              </w:rPr>
              <w:t>Contados da Assinatura do Contrato</w:t>
            </w:r>
          </w:p>
        </w:tc>
      </w:tr>
      <w:tr>
        <w:trPr>
          <w:trHeight w:val="189" w:hRule="atLeast"/>
        </w:trPr>
        <w:tc>
          <w:tcPr>
            <w:tcW w:w="9430" w:type="dxa"/>
            <w:gridSpan w:val="5"/>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center"/>
              <w:rPr>
                <w:rFonts w:ascii="Arial" w:hAnsi="Arial" w:cs="Arial"/>
                <w:sz w:val="16"/>
                <w:szCs w:val="16"/>
              </w:rPr>
            </w:pPr>
            <w:r>
              <w:rPr>
                <w:rFonts w:cs="Arial" w:ascii="Arial" w:hAnsi="Arial"/>
                <w:sz w:val="16"/>
                <w:szCs w:val="16"/>
              </w:rPr>
            </w:r>
          </w:p>
        </w:tc>
      </w:tr>
      <w:tr>
        <w:trPr>
          <w:trHeight w:val="189" w:hRule="atLeast"/>
        </w:trPr>
        <w:tc>
          <w:tcPr>
            <w:tcW w:w="2074" w:type="dxa"/>
            <w:vMerge w:val="restart"/>
            <w:tcBorders>
              <w:left w:val="single" w:sz="4" w:space="0" w:color="000000"/>
              <w:bottom w:val="single" w:sz="4" w:space="0" w:color="000000"/>
            </w:tcBorders>
          </w:tcPr>
          <w:p>
            <w:pPr>
              <w:pStyle w:val="Normal"/>
              <w:rPr>
                <w:rFonts w:ascii="Arial" w:hAnsi="Arial" w:cs="Arial"/>
                <w:sz w:val="16"/>
                <w:szCs w:val="16"/>
              </w:rPr>
            </w:pPr>
            <w:r>
              <w:rPr>
                <w:rFonts w:eastAsia="Liberation Serif" w:cs="Arial" w:ascii="Arial" w:hAnsi="Arial"/>
                <w:sz w:val="16"/>
                <w:szCs w:val="16"/>
              </w:rPr>
              <w:t xml:space="preserve"> </w:t>
            </w:r>
          </w:p>
          <w:p>
            <w:pPr>
              <w:pStyle w:val="Normal"/>
              <w:jc w:val="center"/>
              <w:rPr>
                <w:rFonts w:ascii="Arial" w:hAnsi="Arial" w:cs="Arial"/>
                <w:sz w:val="16"/>
                <w:szCs w:val="16"/>
              </w:rPr>
            </w:pPr>
            <w:r>
              <w:rPr>
                <w:rFonts w:cs="Arial" w:ascii="Arial" w:hAnsi="Arial"/>
                <w:sz w:val="16"/>
                <w:szCs w:val="16"/>
              </w:rPr>
              <w:t>Operação</w:t>
            </w:r>
          </w:p>
        </w:tc>
        <w:tc>
          <w:tcPr>
            <w:tcW w:w="3963" w:type="dxa"/>
            <w:gridSpan w:val="2"/>
            <w:tcBorders>
              <w:left w:val="single" w:sz="4" w:space="0" w:color="000000"/>
              <w:bottom w:val="single" w:sz="4" w:space="0" w:color="000000"/>
            </w:tcBorders>
          </w:tcPr>
          <w:p>
            <w:pPr>
              <w:pStyle w:val="Normal"/>
              <w:jc w:val="center"/>
              <w:rPr>
                <w:rFonts w:ascii="Arial" w:hAnsi="Arial" w:cs="Arial"/>
                <w:sz w:val="16"/>
                <w:szCs w:val="16"/>
              </w:rPr>
            </w:pPr>
            <w:r>
              <w:rPr>
                <w:rFonts w:cs="Arial" w:ascii="Arial" w:hAnsi="Arial"/>
                <w:sz w:val="16"/>
                <w:szCs w:val="16"/>
              </w:rPr>
              <w:t>Início a partir do 61º dia (67%)</w:t>
            </w:r>
          </w:p>
        </w:tc>
        <w:tc>
          <w:tcPr>
            <w:tcW w:w="3393" w:type="dxa"/>
            <w:gridSpan w:val="2"/>
            <w:tcBorders>
              <w:left w:val="single" w:sz="4" w:space="0" w:color="000000"/>
              <w:bottom w:val="single" w:sz="4" w:space="0" w:color="000000"/>
              <w:right w:val="single" w:sz="4" w:space="0" w:color="000000"/>
            </w:tcBorders>
          </w:tcPr>
          <w:p>
            <w:pPr>
              <w:pStyle w:val="Normal"/>
              <w:rPr>
                <w:rFonts w:ascii="Arial" w:hAnsi="Arial" w:eastAsia="Liberation Serif" w:cs="Arial"/>
                <w:sz w:val="16"/>
                <w:szCs w:val="16"/>
              </w:rPr>
            </w:pPr>
            <w:r>
              <w:rPr>
                <w:rFonts w:eastAsia="Liberation Serif" w:cs="Arial" w:ascii="Arial" w:hAnsi="Arial"/>
                <w:sz w:val="16"/>
                <w:szCs w:val="16"/>
              </w:rPr>
              <w:t xml:space="preserve"> </w:t>
            </w:r>
            <w:r>
              <w:rPr>
                <w:rFonts w:cs="Arial" w:ascii="Arial" w:hAnsi="Arial"/>
                <w:sz w:val="16"/>
                <w:szCs w:val="16"/>
              </w:rPr>
              <w:t xml:space="preserve">273 Placas </w:t>
            </w:r>
          </w:p>
          <w:p>
            <w:pPr>
              <w:pStyle w:val="Normal"/>
              <w:rPr>
                <w:rFonts w:ascii="Arial" w:hAnsi="Arial" w:eastAsia="Liberation Serif" w:cs="Arial"/>
                <w:sz w:val="16"/>
                <w:szCs w:val="16"/>
              </w:rPr>
            </w:pPr>
            <w:r>
              <w:rPr>
                <w:rFonts w:eastAsia="Liberation Serif" w:cs="Arial" w:ascii="Arial" w:hAnsi="Arial"/>
                <w:sz w:val="16"/>
                <w:szCs w:val="16"/>
              </w:rPr>
              <w:t xml:space="preserve"> </w:t>
            </w:r>
            <w:r>
              <w:rPr>
                <w:rFonts w:cs="Arial" w:ascii="Arial" w:hAnsi="Arial"/>
                <w:sz w:val="16"/>
                <w:szCs w:val="16"/>
              </w:rPr>
              <w:t>1148 Vagas</w:t>
            </w:r>
          </w:p>
          <w:p>
            <w:pPr>
              <w:pStyle w:val="Normal"/>
              <w:rPr>
                <w:rFonts w:ascii="Arial" w:hAnsi="Arial" w:cs="Arial"/>
                <w:sz w:val="16"/>
                <w:szCs w:val="16"/>
              </w:rPr>
            </w:pPr>
            <w:r>
              <w:rPr>
                <w:rFonts w:eastAsia="Liberation Serif" w:cs="Arial" w:ascii="Arial" w:hAnsi="Arial"/>
                <w:sz w:val="16"/>
                <w:szCs w:val="16"/>
              </w:rPr>
              <w:t xml:space="preserve"> </w:t>
            </w:r>
            <w:r>
              <w:rPr>
                <w:rFonts w:cs="Arial" w:ascii="Arial" w:hAnsi="Arial"/>
                <w:sz w:val="16"/>
                <w:szCs w:val="16"/>
              </w:rPr>
              <w:t>01 Veículo de Fiscalização</w:t>
            </w:r>
          </w:p>
        </w:tc>
      </w:tr>
      <w:tr>
        <w:trPr>
          <w:trHeight w:val="189" w:hRule="atLeast"/>
        </w:trPr>
        <w:tc>
          <w:tcPr>
            <w:tcW w:w="2074" w:type="dxa"/>
            <w:vMerge w:val="continue"/>
            <w:tcBorders>
              <w:left w:val="single" w:sz="4" w:space="0" w:color="000000"/>
              <w:bottom w:val="single" w:sz="4" w:space="0" w:color="000000"/>
            </w:tcBorders>
          </w:tcPr>
          <w:p>
            <w:pPr>
              <w:pStyle w:val="Normal"/>
              <w:snapToGrid w:val="false"/>
              <w:rPr>
                <w:rFonts w:ascii="Arial" w:hAnsi="Arial" w:cs="Arial"/>
                <w:sz w:val="16"/>
                <w:szCs w:val="16"/>
              </w:rPr>
            </w:pPr>
            <w:r>
              <w:rPr>
                <w:rFonts w:cs="Arial" w:ascii="Arial" w:hAnsi="Arial"/>
                <w:sz w:val="16"/>
                <w:szCs w:val="16"/>
              </w:rPr>
            </w:r>
          </w:p>
        </w:tc>
        <w:tc>
          <w:tcPr>
            <w:tcW w:w="3963" w:type="dxa"/>
            <w:gridSpan w:val="2"/>
            <w:tcBorders>
              <w:left w:val="single" w:sz="4" w:space="0" w:color="000000"/>
              <w:bottom w:val="single" w:sz="4" w:space="0" w:color="000000"/>
            </w:tcBorders>
          </w:tcPr>
          <w:p>
            <w:pPr>
              <w:pStyle w:val="Normal"/>
              <w:jc w:val="center"/>
              <w:rPr>
                <w:rFonts w:ascii="Arial" w:hAnsi="Arial" w:cs="Arial"/>
                <w:sz w:val="16"/>
                <w:szCs w:val="16"/>
              </w:rPr>
            </w:pPr>
            <w:r>
              <w:rPr>
                <w:rFonts w:cs="Arial" w:ascii="Arial" w:hAnsi="Arial"/>
                <w:sz w:val="16"/>
                <w:szCs w:val="16"/>
              </w:rPr>
              <w:t>A partir do 91º dia (100%)</w:t>
            </w:r>
          </w:p>
        </w:tc>
        <w:tc>
          <w:tcPr>
            <w:tcW w:w="3393" w:type="dxa"/>
            <w:gridSpan w:val="2"/>
            <w:tcBorders>
              <w:left w:val="single" w:sz="4" w:space="0" w:color="000000"/>
              <w:bottom w:val="single" w:sz="4" w:space="0" w:color="000000"/>
              <w:right w:val="single" w:sz="4" w:space="0" w:color="000000"/>
            </w:tcBorders>
          </w:tcPr>
          <w:p>
            <w:pPr>
              <w:pStyle w:val="Normal"/>
              <w:rPr>
                <w:rFonts w:ascii="Arial" w:hAnsi="Arial" w:cs="Arial"/>
                <w:sz w:val="16"/>
                <w:szCs w:val="16"/>
              </w:rPr>
            </w:pPr>
            <w:r>
              <w:rPr>
                <w:rFonts w:eastAsia="Liberation Serif" w:cs="Arial" w:ascii="Arial" w:hAnsi="Arial"/>
                <w:sz w:val="16"/>
                <w:szCs w:val="16"/>
              </w:rPr>
              <w:t xml:space="preserve"> </w:t>
            </w:r>
            <w:r>
              <w:rPr>
                <w:rFonts w:cs="Arial" w:ascii="Arial" w:hAnsi="Arial"/>
                <w:sz w:val="16"/>
                <w:szCs w:val="16"/>
              </w:rPr>
              <w:t>409 Placas</w:t>
            </w:r>
          </w:p>
          <w:p>
            <w:pPr>
              <w:pStyle w:val="Normal"/>
              <w:rPr>
                <w:rFonts w:ascii="Arial" w:hAnsi="Arial" w:cs="Arial"/>
                <w:sz w:val="16"/>
                <w:szCs w:val="16"/>
              </w:rPr>
            </w:pPr>
            <w:r>
              <w:rPr>
                <w:rFonts w:cs="Arial" w:ascii="Arial" w:hAnsi="Arial"/>
                <w:sz w:val="16"/>
                <w:szCs w:val="16"/>
              </w:rPr>
              <w:t>1724 Vagas</w:t>
            </w:r>
          </w:p>
          <w:p>
            <w:pPr>
              <w:pStyle w:val="Normal"/>
              <w:rPr>
                <w:rFonts w:ascii="Arial" w:hAnsi="Arial" w:cs="Arial"/>
                <w:sz w:val="16"/>
                <w:szCs w:val="16"/>
              </w:rPr>
            </w:pPr>
            <w:r>
              <w:rPr>
                <w:rFonts w:cs="Arial" w:ascii="Arial" w:hAnsi="Arial"/>
                <w:sz w:val="16"/>
                <w:szCs w:val="16"/>
              </w:rPr>
              <w:t>02 Veículos de Fiscalização</w:t>
            </w:r>
          </w:p>
        </w:tc>
      </w:tr>
    </w:tbl>
    <w:p>
      <w:pPr>
        <w:pStyle w:val="Normal"/>
        <w:spacing w:lineRule="auto" w:line="276" w:before="0" w:after="0"/>
        <w:contextualSpacing/>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sz w:val="22"/>
          <w:szCs w:val="22"/>
        </w:rPr>
      </w:pPr>
      <w:r>
        <w:rPr>
          <w:rFonts w:cs="Arial" w:ascii="Arial" w:hAnsi="Arial"/>
          <w:b/>
          <w:bCs/>
          <w:sz w:val="22"/>
          <w:szCs w:val="22"/>
          <w:u w:val="single"/>
        </w:rPr>
        <w:t>24. AVALIAÇÃO</w:t>
      </w:r>
    </w:p>
    <w:p>
      <w:pPr>
        <w:pStyle w:val="Normal"/>
        <w:spacing w:lineRule="auto" w:line="360"/>
        <w:jc w:val="both"/>
        <w:rPr>
          <w:rFonts w:ascii="Arial" w:hAnsi="Arial" w:cs="Arial"/>
          <w:sz w:val="22"/>
          <w:szCs w:val="22"/>
        </w:rPr>
      </w:pPr>
      <w:r>
        <w:rPr>
          <w:rFonts w:cs="Arial" w:ascii="Arial" w:hAnsi="Arial"/>
          <w:sz w:val="22"/>
          <w:szCs w:val="22"/>
        </w:rPr>
        <w:tab/>
        <w:t xml:space="preserve">A execução contratual será avaliada periodicamente, considerando o funcionamento dos softwares fornecidos, equipamentos, profissionais, e demais itens que compõe o objeto contratual. </w:t>
      </w:r>
    </w:p>
    <w:p>
      <w:pPr>
        <w:pStyle w:val="Normal"/>
        <w:spacing w:lineRule="auto" w:line="360"/>
        <w:jc w:val="both"/>
        <w:rPr>
          <w:rFonts w:ascii="Arial" w:hAnsi="Arial" w:cs="Arial"/>
          <w:sz w:val="22"/>
          <w:szCs w:val="22"/>
        </w:rPr>
      </w:pPr>
      <w:r>
        <w:rPr>
          <w:rFonts w:cs="Arial" w:ascii="Arial" w:hAnsi="Arial"/>
          <w:sz w:val="22"/>
          <w:szCs w:val="22"/>
        </w:rPr>
        <w:tab/>
        <w:t>Caso alguma avaliação obtenha resultados abaixo do nível aceitado, a CONTRATADA estará sujeita a abertura de processo administrativo de aplicação de penalidade.</w:t>
      </w:r>
    </w:p>
    <w:p>
      <w:pPr>
        <w:pStyle w:val="Normal"/>
        <w:spacing w:lineRule="auto" w:line="360"/>
        <w:jc w:val="both"/>
        <w:rPr>
          <w:rFonts w:ascii="Arial" w:hAnsi="Arial" w:cs="Arial"/>
          <w:sz w:val="22"/>
          <w:szCs w:val="22"/>
        </w:rPr>
      </w:pPr>
      <w:r>
        <w:rPr>
          <w:rFonts w:cs="Arial" w:ascii="Arial" w:hAnsi="Arial"/>
          <w:sz w:val="22"/>
          <w:szCs w:val="22"/>
        </w:rPr>
        <w:tab/>
        <w:t>Semestralmente será realizada uma reunião da CONTRATANTE com a CONTRATADA para avaliar as métricas obtidas durante cada período e dessa forma estabelecer os pontos que deverão ser melhorados, se for o caso.</w:t>
      </w:r>
    </w:p>
    <w:p>
      <w:pPr>
        <w:pStyle w:val="Normal"/>
        <w:spacing w:lineRule="auto" w:line="360"/>
        <w:jc w:val="both"/>
        <w:rPr>
          <w:rFonts w:ascii="Arial" w:hAnsi="Arial" w:cs="Arial"/>
          <w:sz w:val="22"/>
          <w:szCs w:val="22"/>
        </w:rPr>
      </w:pPr>
      <w:r>
        <w:rPr>
          <w:rFonts w:cs="Arial" w:ascii="Arial" w:hAnsi="Arial"/>
          <w:sz w:val="22"/>
          <w:szCs w:val="22"/>
        </w:rPr>
        <w:tab/>
        <w:t>As informações deverão ser envidadas pela CONTRATADA ao CONTRATANTE e deverão ser acompanhadas de dados analíticos que permitam sua aferição e acuracidade, conforme descrito abaixo:</w:t>
      </w:r>
    </w:p>
    <w:p>
      <w:pPr>
        <w:pStyle w:val="Normal"/>
        <w:spacing w:lineRule="auto" w:line="360"/>
        <w:jc w:val="both"/>
        <w:rPr>
          <w:rFonts w:ascii="Arial" w:hAnsi="Arial" w:cs="Arial"/>
          <w:sz w:val="22"/>
          <w:szCs w:val="22"/>
        </w:rPr>
      </w:pPr>
      <w:r>
        <w:rPr>
          <w:rFonts w:cs="Arial" w:ascii="Arial" w:hAnsi="Arial"/>
          <w:sz w:val="22"/>
          <w:szCs w:val="22"/>
        </w:rPr>
        <w:tab/>
        <w:t>24.1. Subíndices de Desempenho:</w:t>
      </w:r>
    </w:p>
    <w:p>
      <w:pPr>
        <w:pStyle w:val="Normal"/>
        <w:spacing w:lineRule="auto" w:line="360"/>
        <w:jc w:val="both"/>
        <w:rPr>
          <w:rFonts w:ascii="Arial" w:hAnsi="Arial" w:cs="Arial"/>
          <w:sz w:val="22"/>
          <w:szCs w:val="22"/>
        </w:rPr>
      </w:pPr>
      <w:r>
        <w:rPr>
          <w:rFonts w:cs="Arial" w:ascii="Arial" w:hAnsi="Arial"/>
          <w:sz w:val="22"/>
          <w:szCs w:val="22"/>
        </w:rPr>
        <w:tab/>
        <w:t>Cada subíndice mede um aspecto específico do serviço prestado. Os subíndices e seus indicadores são definidos como segue:</w:t>
      </w:r>
    </w:p>
    <w:p>
      <w:pPr>
        <w:pStyle w:val="Normal"/>
        <w:spacing w:lineRule="auto" w:line="360"/>
        <w:jc w:val="both"/>
        <w:rPr>
          <w:rFonts w:ascii="Arial" w:hAnsi="Arial" w:cs="Arial"/>
          <w:sz w:val="22"/>
          <w:szCs w:val="22"/>
        </w:rPr>
      </w:pPr>
      <w:r>
        <w:rPr>
          <w:rFonts w:cs="Arial" w:ascii="Arial" w:hAnsi="Arial"/>
          <w:sz w:val="22"/>
          <w:szCs w:val="22"/>
        </w:rPr>
        <w:tab/>
        <w:tab/>
        <w:t>24.1.1. Qualidade do Serviço (QS):</w:t>
      </w:r>
    </w:p>
    <w:p>
      <w:pPr>
        <w:pStyle w:val="Normal"/>
        <w:spacing w:lineRule="auto" w:line="360"/>
        <w:jc w:val="both"/>
        <w:rPr>
          <w:rFonts w:ascii="Arial" w:hAnsi="Arial" w:cs="Arial"/>
          <w:sz w:val="22"/>
          <w:szCs w:val="22"/>
        </w:rPr>
      </w:pPr>
      <w:r>
        <w:rPr>
          <w:rFonts w:cs="Arial" w:ascii="Arial" w:hAnsi="Arial"/>
          <w:sz w:val="22"/>
          <w:szCs w:val="22"/>
        </w:rPr>
        <w:tab/>
        <w:tab/>
        <w:tab/>
        <w:t xml:space="preserve">24.1.1.1. Satisfação do Usuário: </w:t>
      </w:r>
    </w:p>
    <w:p>
      <w:pPr>
        <w:pStyle w:val="Normal"/>
        <w:spacing w:lineRule="auto" w:line="360"/>
        <w:jc w:val="both"/>
        <w:rPr>
          <w:rFonts w:ascii="Arial" w:hAnsi="Arial" w:cs="Arial"/>
          <w:sz w:val="22"/>
          <w:szCs w:val="22"/>
        </w:rPr>
      </w:pPr>
      <w:r>
        <w:rPr>
          <w:rFonts w:cs="Arial" w:ascii="Arial" w:hAnsi="Arial"/>
          <w:sz w:val="22"/>
          <w:szCs w:val="22"/>
        </w:rPr>
        <w:tab/>
        <w:tab/>
        <w:t xml:space="preserve">Avaliação média obtida em pesquisas de satisfação da CONTRATANTE. </w:t>
      </w:r>
    </w:p>
    <w:p>
      <w:pPr>
        <w:pStyle w:val="Normal"/>
        <w:spacing w:lineRule="auto" w:line="360"/>
        <w:jc w:val="both"/>
        <w:rPr>
          <w:rFonts w:ascii="Arial" w:hAnsi="Arial" w:cs="Arial"/>
          <w:sz w:val="22"/>
          <w:szCs w:val="22"/>
        </w:rPr>
      </w:pPr>
      <w:r>
        <w:rPr>
          <w:rFonts w:cs="Arial" w:ascii="Arial" w:hAnsi="Arial"/>
          <w:sz w:val="22"/>
          <w:szCs w:val="22"/>
        </w:rPr>
        <w:tab/>
        <w:tab/>
        <w:t>Meta: ≥ 70%.</w:t>
      </w:r>
    </w:p>
    <w:p>
      <w:pPr>
        <w:pStyle w:val="Normal"/>
        <w:spacing w:lineRule="auto" w:line="360"/>
        <w:jc w:val="both"/>
        <w:rPr>
          <w:rFonts w:ascii="Arial" w:hAnsi="Arial" w:cs="Arial"/>
          <w:sz w:val="22"/>
          <w:szCs w:val="22"/>
        </w:rPr>
      </w:pPr>
      <w:r>
        <w:rPr>
          <w:rFonts w:cs="Arial" w:ascii="Arial" w:hAnsi="Arial"/>
          <w:sz w:val="22"/>
          <w:szCs w:val="22"/>
        </w:rPr>
        <w:tab/>
        <w:tab/>
        <w:t>Indicador: Pontuação média nas pesquisas.</w:t>
      </w:r>
    </w:p>
    <w:p>
      <w:pPr>
        <w:pStyle w:val="Normal"/>
        <w:spacing w:lineRule="auto" w:line="360"/>
        <w:jc w:val="both"/>
        <w:rPr>
          <w:rFonts w:ascii="Arial" w:hAnsi="Arial" w:cs="Arial"/>
          <w:sz w:val="22"/>
          <w:szCs w:val="22"/>
        </w:rPr>
      </w:pPr>
      <w:r>
        <w:rPr>
          <w:rFonts w:cs="Arial" w:ascii="Arial" w:hAnsi="Arial"/>
          <w:sz w:val="22"/>
          <w:szCs w:val="22"/>
        </w:rPr>
        <w:tab/>
        <w:tab/>
        <w:tab/>
        <w:t>24.1.1.2. Precisão na Emissão de Tíquetes:</w:t>
      </w:r>
    </w:p>
    <w:p>
      <w:pPr>
        <w:pStyle w:val="Normal"/>
        <w:spacing w:lineRule="auto" w:line="360"/>
        <w:jc w:val="both"/>
        <w:rPr>
          <w:rFonts w:ascii="Arial" w:hAnsi="Arial" w:cs="Arial"/>
          <w:sz w:val="22"/>
          <w:szCs w:val="22"/>
        </w:rPr>
      </w:pPr>
      <w:r>
        <w:rPr>
          <w:rFonts w:cs="Arial" w:ascii="Arial" w:hAnsi="Arial"/>
          <w:sz w:val="22"/>
          <w:szCs w:val="22"/>
        </w:rPr>
        <w:tab/>
        <w:tab/>
        <w:t>Percentual de erros na emissão de tíquetes.</w:t>
      </w:r>
    </w:p>
    <w:p>
      <w:pPr>
        <w:pStyle w:val="Normal"/>
        <w:spacing w:lineRule="auto" w:line="360"/>
        <w:jc w:val="both"/>
        <w:rPr>
          <w:rFonts w:ascii="Arial" w:hAnsi="Arial" w:cs="Arial"/>
          <w:sz w:val="22"/>
          <w:szCs w:val="22"/>
        </w:rPr>
      </w:pPr>
      <w:r>
        <w:rPr>
          <w:rFonts w:cs="Arial" w:ascii="Arial" w:hAnsi="Arial"/>
          <w:sz w:val="22"/>
          <w:szCs w:val="22"/>
        </w:rPr>
        <w:tab/>
        <w:tab/>
        <w:t>Meta: ≤ 2% de erros.</w:t>
      </w:r>
    </w:p>
    <w:p>
      <w:pPr>
        <w:pStyle w:val="Normal"/>
        <w:spacing w:lineRule="auto" w:line="360"/>
        <w:jc w:val="both"/>
        <w:rPr>
          <w:rFonts w:ascii="Arial" w:hAnsi="Arial" w:cs="Arial"/>
          <w:sz w:val="22"/>
          <w:szCs w:val="22"/>
        </w:rPr>
      </w:pPr>
      <w:r>
        <w:rPr>
          <w:rFonts w:cs="Arial" w:ascii="Arial" w:hAnsi="Arial"/>
          <w:sz w:val="22"/>
          <w:szCs w:val="22"/>
        </w:rPr>
        <w:tab/>
        <w:tab/>
        <w:t>Indicador: 97% do total de tíquetes emitidos corretamente.</w:t>
      </w:r>
    </w:p>
    <w:p>
      <w:pPr>
        <w:pStyle w:val="Normal"/>
        <w:spacing w:lineRule="auto" w:line="360"/>
        <w:jc w:val="both"/>
        <w:rPr>
          <w:rFonts w:ascii="Arial" w:hAnsi="Arial" w:cs="Arial"/>
          <w:sz w:val="22"/>
          <w:szCs w:val="22"/>
        </w:rPr>
      </w:pPr>
      <w:r>
        <w:rPr>
          <w:rFonts w:cs="Arial" w:ascii="Arial" w:hAnsi="Arial"/>
          <w:sz w:val="22"/>
          <w:szCs w:val="22"/>
        </w:rPr>
        <w:tab/>
        <w:tab/>
        <w:tab/>
        <w:t>24.1.1.3. Eficácia da fiscalização através do veículo e sistema OCR:</w:t>
      </w:r>
    </w:p>
    <w:p>
      <w:pPr>
        <w:pStyle w:val="Normal"/>
        <w:spacing w:lineRule="auto" w:line="360"/>
        <w:jc w:val="both"/>
        <w:rPr>
          <w:rFonts w:ascii="Arial" w:hAnsi="Arial" w:cs="Arial"/>
          <w:sz w:val="22"/>
          <w:szCs w:val="22"/>
        </w:rPr>
      </w:pPr>
      <w:r>
        <w:rPr>
          <w:rFonts w:cs="Arial" w:ascii="Arial" w:hAnsi="Arial"/>
          <w:sz w:val="22"/>
          <w:szCs w:val="22"/>
        </w:rPr>
        <w:tab/>
        <w:tab/>
        <w:t>Percentual de quilometragem diária rodada pelos veículos e imagens coletadas.</w:t>
      </w:r>
    </w:p>
    <w:p>
      <w:pPr>
        <w:pStyle w:val="Normal"/>
        <w:spacing w:lineRule="auto" w:line="360"/>
        <w:jc w:val="both"/>
        <w:rPr>
          <w:rFonts w:ascii="Arial" w:hAnsi="Arial" w:cs="Arial"/>
          <w:sz w:val="22"/>
          <w:szCs w:val="22"/>
        </w:rPr>
      </w:pPr>
      <w:r>
        <w:rPr>
          <w:rFonts w:cs="Arial" w:ascii="Arial" w:hAnsi="Arial"/>
          <w:sz w:val="22"/>
          <w:szCs w:val="22"/>
        </w:rPr>
        <w:tab/>
        <w:tab/>
        <w:t>Meta: ≥ 90% da quilometragem média diária estimada pelo departamento técnico; ≥ 90% de aproveitamento das imagens fornecidas;</w:t>
      </w:r>
    </w:p>
    <w:p>
      <w:pPr>
        <w:pStyle w:val="Normal"/>
        <w:spacing w:lineRule="auto" w:line="360"/>
        <w:jc w:val="both"/>
        <w:rPr>
          <w:rFonts w:ascii="Arial" w:hAnsi="Arial" w:cs="Arial"/>
          <w:sz w:val="22"/>
          <w:szCs w:val="22"/>
        </w:rPr>
      </w:pPr>
      <w:r>
        <w:rPr>
          <w:rFonts w:cs="Arial" w:ascii="Arial" w:hAnsi="Arial"/>
          <w:sz w:val="22"/>
          <w:szCs w:val="22"/>
        </w:rPr>
        <w:tab/>
        <w:tab/>
        <w:t>Indicador: dados coletados pelo sistema de gestão.</w:t>
      </w:r>
    </w:p>
    <w:p>
      <w:pPr>
        <w:pStyle w:val="Normal"/>
        <w:spacing w:lineRule="auto" w:line="360"/>
        <w:jc w:val="both"/>
        <w:rPr>
          <w:rFonts w:ascii="Arial" w:hAnsi="Arial" w:cs="Arial"/>
          <w:sz w:val="22"/>
          <w:szCs w:val="22"/>
        </w:rPr>
      </w:pPr>
      <w:r>
        <w:rPr>
          <w:rFonts w:cs="Arial" w:ascii="Arial" w:hAnsi="Arial"/>
          <w:sz w:val="22"/>
          <w:szCs w:val="22"/>
        </w:rPr>
        <w:tab/>
        <w:tab/>
        <w:t>24.1.2. Desempenho Operacional (DO):</w:t>
      </w:r>
    </w:p>
    <w:p>
      <w:pPr>
        <w:pStyle w:val="Normal"/>
        <w:spacing w:lineRule="auto" w:line="360"/>
        <w:jc w:val="both"/>
        <w:rPr>
          <w:rFonts w:ascii="Arial" w:hAnsi="Arial" w:cs="Arial"/>
          <w:sz w:val="22"/>
          <w:szCs w:val="22"/>
        </w:rPr>
      </w:pPr>
      <w:r>
        <w:rPr>
          <w:rFonts w:cs="Arial" w:ascii="Arial" w:hAnsi="Arial"/>
          <w:sz w:val="22"/>
          <w:szCs w:val="22"/>
        </w:rPr>
        <w:tab/>
        <w:tab/>
        <w:tab/>
        <w:t xml:space="preserve">24.1.2.1. Disponibilidade do Sistema: </w:t>
      </w:r>
    </w:p>
    <w:p>
      <w:pPr>
        <w:pStyle w:val="Normal"/>
        <w:spacing w:lineRule="auto" w:line="360"/>
        <w:jc w:val="both"/>
        <w:rPr>
          <w:rFonts w:ascii="Arial" w:hAnsi="Arial" w:cs="Arial"/>
          <w:sz w:val="22"/>
          <w:szCs w:val="22"/>
        </w:rPr>
      </w:pPr>
      <w:r>
        <w:rPr>
          <w:rFonts w:cs="Arial" w:ascii="Arial" w:hAnsi="Arial"/>
          <w:sz w:val="22"/>
          <w:szCs w:val="22"/>
        </w:rPr>
        <w:tab/>
        <w:tab/>
        <w:t xml:space="preserve">Percentual de tempo em que o sistema está operacional. </w:t>
      </w:r>
    </w:p>
    <w:p>
      <w:pPr>
        <w:pStyle w:val="Normal"/>
        <w:spacing w:lineRule="auto" w:line="360"/>
        <w:jc w:val="both"/>
        <w:rPr>
          <w:rFonts w:ascii="Arial" w:hAnsi="Arial" w:cs="Arial"/>
          <w:sz w:val="22"/>
          <w:szCs w:val="22"/>
        </w:rPr>
      </w:pPr>
      <w:r>
        <w:rPr>
          <w:rFonts w:cs="Arial" w:ascii="Arial" w:hAnsi="Arial"/>
          <w:sz w:val="22"/>
          <w:szCs w:val="22"/>
        </w:rPr>
        <w:tab/>
        <w:tab/>
        <w:t xml:space="preserve">Meta: ≥ 99%. </w:t>
      </w:r>
    </w:p>
    <w:p>
      <w:pPr>
        <w:pStyle w:val="Normal"/>
        <w:spacing w:lineRule="auto" w:line="360"/>
        <w:jc w:val="both"/>
        <w:rPr>
          <w:rFonts w:ascii="Arial" w:hAnsi="Arial" w:cs="Arial"/>
          <w:sz w:val="22"/>
          <w:szCs w:val="22"/>
        </w:rPr>
      </w:pPr>
      <w:r>
        <w:rPr>
          <w:rFonts w:cs="Arial" w:ascii="Arial" w:hAnsi="Arial"/>
          <w:sz w:val="22"/>
          <w:szCs w:val="22"/>
        </w:rPr>
        <w:tab/>
        <w:tab/>
        <w:t>Indicador: 95% do tempo, em horário de operação, com o sistema funcionando sem interrupções.</w:t>
      </w:r>
    </w:p>
    <w:p>
      <w:pPr>
        <w:pStyle w:val="Normal"/>
        <w:spacing w:lineRule="auto" w:line="360"/>
        <w:jc w:val="both"/>
        <w:rPr>
          <w:rFonts w:ascii="Arial" w:hAnsi="Arial" w:cs="Arial"/>
          <w:sz w:val="22"/>
          <w:szCs w:val="22"/>
        </w:rPr>
      </w:pPr>
      <w:r>
        <w:rPr>
          <w:rFonts w:cs="Arial" w:ascii="Arial" w:hAnsi="Arial"/>
          <w:sz w:val="22"/>
          <w:szCs w:val="22"/>
        </w:rPr>
        <w:tab/>
        <w:tab/>
        <w:tab/>
        <w:t xml:space="preserve">24.1.2.2. Manutenção e Funcionamento dos Equipamentos: </w:t>
      </w:r>
    </w:p>
    <w:p>
      <w:pPr>
        <w:pStyle w:val="Normal"/>
        <w:spacing w:lineRule="auto" w:line="360"/>
        <w:jc w:val="both"/>
        <w:rPr>
          <w:rFonts w:ascii="Arial" w:hAnsi="Arial" w:cs="Arial"/>
          <w:sz w:val="22"/>
          <w:szCs w:val="22"/>
        </w:rPr>
      </w:pPr>
      <w:r>
        <w:rPr>
          <w:rFonts w:cs="Arial" w:ascii="Arial" w:hAnsi="Arial"/>
          <w:sz w:val="22"/>
          <w:szCs w:val="22"/>
        </w:rPr>
        <w:tab/>
        <w:tab/>
        <w:t>Frequência e eficácia na manutenção dos equipamentos.</w:t>
      </w:r>
    </w:p>
    <w:p>
      <w:pPr>
        <w:pStyle w:val="Normal"/>
        <w:spacing w:lineRule="auto" w:line="360"/>
        <w:jc w:val="both"/>
        <w:rPr>
          <w:rFonts w:ascii="Arial" w:hAnsi="Arial" w:cs="Arial"/>
          <w:sz w:val="22"/>
          <w:szCs w:val="22"/>
        </w:rPr>
      </w:pPr>
      <w:r>
        <w:rPr>
          <w:rFonts w:cs="Arial" w:ascii="Arial" w:hAnsi="Arial"/>
          <w:sz w:val="22"/>
          <w:szCs w:val="22"/>
        </w:rPr>
        <w:tab/>
        <w:tab/>
        <w:t>Meta: Manutenção preventiva; menos de 1% de falhas nos equipamentos.</w:t>
      </w:r>
    </w:p>
    <w:p>
      <w:pPr>
        <w:pStyle w:val="Normal"/>
        <w:spacing w:lineRule="auto" w:line="360"/>
        <w:jc w:val="both"/>
        <w:rPr>
          <w:rFonts w:ascii="Arial" w:hAnsi="Arial" w:cs="Arial"/>
          <w:sz w:val="22"/>
          <w:szCs w:val="22"/>
        </w:rPr>
      </w:pPr>
      <w:r>
        <w:rPr>
          <w:rFonts w:cs="Arial" w:ascii="Arial" w:hAnsi="Arial"/>
          <w:sz w:val="22"/>
          <w:szCs w:val="22"/>
        </w:rPr>
        <w:tab/>
        <w:tab/>
        <w:t xml:space="preserve">O critério deverá ser considerado em horas efetivas – período da amostragem. </w:t>
      </w:r>
    </w:p>
    <w:p>
      <w:pPr>
        <w:pStyle w:val="Normal"/>
        <w:spacing w:lineRule="auto" w:line="360"/>
        <w:jc w:val="both"/>
        <w:rPr>
          <w:rFonts w:ascii="Arial" w:hAnsi="Arial" w:cs="Arial"/>
          <w:sz w:val="22"/>
          <w:szCs w:val="22"/>
        </w:rPr>
      </w:pPr>
      <w:r>
        <w:rPr>
          <w:rFonts w:cs="Arial" w:ascii="Arial" w:hAnsi="Arial"/>
          <w:sz w:val="22"/>
          <w:szCs w:val="22"/>
        </w:rPr>
        <w:tab/>
        <w:tab/>
        <w:t>Indicador: 90% de equipamentos funcionando corretamente.</w:t>
      </w:r>
    </w:p>
    <w:p>
      <w:pPr>
        <w:pStyle w:val="Normal"/>
        <w:spacing w:lineRule="auto" w:line="360"/>
        <w:jc w:val="both"/>
        <w:rPr>
          <w:rFonts w:ascii="Arial" w:hAnsi="Arial" w:cs="Arial"/>
          <w:sz w:val="22"/>
          <w:szCs w:val="22"/>
        </w:rPr>
      </w:pPr>
      <w:r>
        <w:rPr>
          <w:rFonts w:cs="Arial" w:ascii="Arial" w:hAnsi="Arial"/>
          <w:sz w:val="22"/>
          <w:szCs w:val="22"/>
        </w:rPr>
        <w:tab/>
        <w:tab/>
        <w:tab/>
        <w:t>24.1.2.3. Manutenção das placas de sinalização:</w:t>
      </w:r>
    </w:p>
    <w:p>
      <w:pPr>
        <w:pStyle w:val="Normal"/>
        <w:spacing w:lineRule="auto" w:line="360"/>
        <w:jc w:val="both"/>
        <w:rPr>
          <w:rFonts w:ascii="Arial" w:hAnsi="Arial" w:cs="Arial"/>
          <w:sz w:val="22"/>
          <w:szCs w:val="22"/>
        </w:rPr>
      </w:pPr>
      <w:r>
        <w:rPr>
          <w:rFonts w:cs="Arial" w:ascii="Arial" w:hAnsi="Arial"/>
          <w:sz w:val="22"/>
          <w:szCs w:val="22"/>
        </w:rPr>
        <w:tab/>
        <w:tab/>
        <w:t>Manutenção preventiva periódica das placas, garantindo sinalização completa, em boas condições de conservação</w:t>
      </w:r>
    </w:p>
    <w:p>
      <w:pPr>
        <w:pStyle w:val="Normal"/>
        <w:spacing w:lineRule="auto" w:line="360"/>
        <w:jc w:val="both"/>
        <w:rPr>
          <w:rFonts w:ascii="Arial" w:hAnsi="Arial" w:cs="Arial"/>
          <w:sz w:val="22"/>
          <w:szCs w:val="22"/>
        </w:rPr>
      </w:pPr>
      <w:r>
        <w:rPr>
          <w:rFonts w:cs="Arial" w:ascii="Arial" w:hAnsi="Arial"/>
          <w:sz w:val="22"/>
          <w:szCs w:val="22"/>
        </w:rPr>
        <w:tab/>
        <w:tab/>
        <w:t xml:space="preserve">Meta: </w:t>
      </w:r>
      <w:r>
        <w:rPr>
          <w:rFonts w:cs="Arial" w:ascii="Arial" w:hAnsi="Arial"/>
          <w:sz w:val="22"/>
          <w:szCs w:val="22"/>
          <w:u w:val="single"/>
        </w:rPr>
        <w:t>&lt;</w:t>
      </w:r>
      <w:r>
        <w:rPr>
          <w:rFonts w:cs="Arial" w:ascii="Arial" w:hAnsi="Arial"/>
          <w:sz w:val="22"/>
          <w:szCs w:val="22"/>
        </w:rPr>
        <w:t xml:space="preserve"> de 5 chamados de manutenção por mês</w:t>
      </w:r>
    </w:p>
    <w:p>
      <w:pPr>
        <w:pStyle w:val="Normal"/>
        <w:spacing w:lineRule="auto" w:line="360"/>
        <w:jc w:val="both"/>
        <w:rPr>
          <w:rFonts w:ascii="Arial" w:hAnsi="Arial" w:cs="Arial"/>
          <w:sz w:val="22"/>
          <w:szCs w:val="22"/>
        </w:rPr>
      </w:pPr>
      <w:r>
        <w:rPr>
          <w:rFonts w:cs="Arial" w:ascii="Arial" w:hAnsi="Arial"/>
          <w:sz w:val="22"/>
          <w:szCs w:val="22"/>
        </w:rPr>
        <w:tab/>
        <w:tab/>
        <w:t>Indicador: registros de chamados da Prefeitura Municipal à contratada para realização de trocas e manutenções não decorrentes de casos fortuitos ou de força maior.</w:t>
      </w:r>
    </w:p>
    <w:p>
      <w:pPr>
        <w:pStyle w:val="Normal"/>
        <w:spacing w:lineRule="auto" w:line="360"/>
        <w:jc w:val="both"/>
        <w:rPr>
          <w:rFonts w:ascii="Arial" w:hAnsi="Arial" w:cs="Arial"/>
          <w:sz w:val="22"/>
          <w:szCs w:val="22"/>
        </w:rPr>
      </w:pPr>
      <w:r>
        <w:rPr>
          <w:rFonts w:cs="Arial" w:ascii="Arial" w:hAnsi="Arial"/>
          <w:sz w:val="22"/>
          <w:szCs w:val="22"/>
        </w:rPr>
        <w:tab/>
        <w:tab/>
        <w:tab/>
        <w:t>24.1.2.4. Manutenção do georreferenciamento:</w:t>
      </w:r>
    </w:p>
    <w:p>
      <w:pPr>
        <w:pStyle w:val="Normal"/>
        <w:spacing w:lineRule="auto" w:line="360"/>
        <w:jc w:val="both"/>
        <w:rPr>
          <w:rFonts w:ascii="Arial" w:hAnsi="Arial" w:cs="Arial"/>
          <w:sz w:val="22"/>
          <w:szCs w:val="22"/>
        </w:rPr>
      </w:pPr>
      <w:r>
        <w:rPr>
          <w:rFonts w:cs="Arial" w:ascii="Arial" w:hAnsi="Arial"/>
          <w:sz w:val="22"/>
          <w:szCs w:val="22"/>
        </w:rPr>
        <w:tab/>
        <w:tab/>
        <w:t>Manutenção preventiva periódica no sistema de georreferenciamento</w:t>
      </w:r>
    </w:p>
    <w:p>
      <w:pPr>
        <w:pStyle w:val="Normal"/>
        <w:spacing w:lineRule="auto" w:line="360"/>
        <w:jc w:val="both"/>
        <w:rPr>
          <w:rFonts w:ascii="Arial" w:hAnsi="Arial" w:cs="Arial"/>
          <w:sz w:val="22"/>
          <w:szCs w:val="22"/>
        </w:rPr>
      </w:pPr>
      <w:r>
        <w:rPr>
          <w:rFonts w:cs="Arial" w:ascii="Arial" w:hAnsi="Arial"/>
          <w:sz w:val="22"/>
          <w:szCs w:val="22"/>
        </w:rPr>
        <w:tab/>
        <w:tab/>
        <w:t xml:space="preserve">Meta: </w:t>
      </w:r>
      <w:r>
        <w:rPr>
          <w:rFonts w:cs="Arial" w:ascii="Arial" w:hAnsi="Arial"/>
          <w:sz w:val="22"/>
          <w:szCs w:val="22"/>
          <w:u w:val="single"/>
        </w:rPr>
        <w:t>&lt;</w:t>
      </w:r>
      <w:r>
        <w:rPr>
          <w:rFonts w:cs="Arial" w:ascii="Arial" w:hAnsi="Arial"/>
          <w:sz w:val="22"/>
          <w:szCs w:val="22"/>
        </w:rPr>
        <w:t xml:space="preserve"> de 5 chamados de manutenção por mês</w:t>
      </w:r>
    </w:p>
    <w:p>
      <w:pPr>
        <w:pStyle w:val="Normal"/>
        <w:spacing w:lineRule="auto" w:line="360"/>
        <w:jc w:val="both"/>
        <w:rPr>
          <w:rFonts w:ascii="Arial" w:hAnsi="Arial" w:cs="Arial"/>
          <w:sz w:val="22"/>
          <w:szCs w:val="22"/>
        </w:rPr>
      </w:pPr>
      <w:r>
        <w:rPr>
          <w:rFonts w:cs="Arial" w:ascii="Arial" w:hAnsi="Arial"/>
          <w:sz w:val="22"/>
          <w:szCs w:val="22"/>
        </w:rPr>
        <w:tab/>
        <w:tab/>
        <w:t>Indicador: registros de chamados da Prefeitura Municipal à contratada para realização de trocas e manutenções de equipamentos não decorrentes de casos fortuitos ou de força maior.</w:t>
      </w:r>
    </w:p>
    <w:p>
      <w:pPr>
        <w:pStyle w:val="Normal"/>
        <w:spacing w:lineRule="auto" w:line="360"/>
        <w:jc w:val="both"/>
        <w:rPr>
          <w:rFonts w:ascii="Arial" w:hAnsi="Arial" w:cs="Arial"/>
          <w:sz w:val="22"/>
          <w:szCs w:val="22"/>
        </w:rPr>
      </w:pPr>
      <w:r>
        <w:rPr>
          <w:rFonts w:cs="Arial" w:ascii="Arial" w:hAnsi="Arial"/>
          <w:sz w:val="22"/>
          <w:szCs w:val="22"/>
        </w:rPr>
        <w:tab/>
        <w:tab/>
        <w:t>24.1.3. Aderência a LGPD:</w:t>
      </w:r>
    </w:p>
    <w:p>
      <w:pPr>
        <w:pStyle w:val="Normal"/>
        <w:spacing w:lineRule="auto" w:line="360"/>
        <w:jc w:val="both"/>
        <w:rPr>
          <w:rFonts w:ascii="Arial" w:hAnsi="Arial" w:cs="Arial"/>
          <w:sz w:val="22"/>
          <w:szCs w:val="22"/>
        </w:rPr>
      </w:pPr>
      <w:r>
        <w:rPr>
          <w:rFonts w:cs="Arial" w:ascii="Arial" w:hAnsi="Arial"/>
          <w:sz w:val="22"/>
          <w:szCs w:val="22"/>
        </w:rPr>
        <w:tab/>
        <w:tab/>
        <w:t xml:space="preserve">Conformidade com as normas da LGPD. </w:t>
      </w:r>
    </w:p>
    <w:p>
      <w:pPr>
        <w:pStyle w:val="Normal"/>
        <w:spacing w:lineRule="auto" w:line="360"/>
        <w:jc w:val="both"/>
        <w:rPr>
          <w:rFonts w:ascii="Arial" w:hAnsi="Arial" w:cs="Arial"/>
          <w:sz w:val="22"/>
          <w:szCs w:val="22"/>
        </w:rPr>
      </w:pPr>
      <w:r>
        <w:rPr>
          <w:rFonts w:cs="Arial" w:ascii="Arial" w:hAnsi="Arial"/>
          <w:sz w:val="22"/>
          <w:szCs w:val="22"/>
        </w:rPr>
        <w:tab/>
        <w:tab/>
        <w:t xml:space="preserve">Meta: 100% de conformidade. </w:t>
      </w:r>
    </w:p>
    <w:p>
      <w:pPr>
        <w:pStyle w:val="Normal"/>
        <w:spacing w:lineRule="auto" w:line="360"/>
        <w:jc w:val="both"/>
        <w:rPr>
          <w:rFonts w:ascii="Arial" w:hAnsi="Arial" w:cs="Arial"/>
          <w:sz w:val="22"/>
          <w:szCs w:val="22"/>
        </w:rPr>
      </w:pPr>
      <w:r>
        <w:rPr>
          <w:rFonts w:cs="Arial" w:ascii="Arial" w:hAnsi="Arial"/>
          <w:sz w:val="22"/>
          <w:szCs w:val="22"/>
        </w:rPr>
        <w:tab/>
        <w:tab/>
        <w:t>Indicador: % de conformidade com a LGPD.</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u w:val="single"/>
        </w:rPr>
        <w:t>25. PAGAMENTO E REAJUSTE</w:t>
      </w:r>
    </w:p>
    <w:p>
      <w:pPr>
        <w:pStyle w:val="Normal"/>
        <w:spacing w:lineRule="auto" w:line="360"/>
        <w:jc w:val="both"/>
        <w:rPr>
          <w:rFonts w:ascii="Arial" w:hAnsi="Arial" w:cs="Arial"/>
          <w:sz w:val="22"/>
          <w:szCs w:val="22"/>
        </w:rPr>
      </w:pPr>
      <w:r>
        <w:rPr>
          <w:rFonts w:cs="Arial" w:ascii="Arial" w:hAnsi="Arial"/>
          <w:sz w:val="22"/>
          <w:szCs w:val="22"/>
        </w:rPr>
        <w:tab/>
        <w:t>25.1. O faturamento dos itens de fornecimento mensal, será mensal, e os itens de parcela única, serão pagos, após a conclusão dos serviços.</w:t>
      </w:r>
    </w:p>
    <w:p>
      <w:pPr>
        <w:pStyle w:val="Normal"/>
        <w:spacing w:lineRule="auto" w:line="360"/>
        <w:jc w:val="both"/>
        <w:rPr>
          <w:rFonts w:ascii="Arial" w:hAnsi="Arial" w:cs="Arial"/>
          <w:sz w:val="22"/>
          <w:szCs w:val="22"/>
        </w:rPr>
      </w:pPr>
      <w:r>
        <w:rPr>
          <w:rFonts w:cs="Arial" w:ascii="Arial" w:hAnsi="Arial"/>
          <w:sz w:val="22"/>
          <w:szCs w:val="22"/>
        </w:rPr>
        <w:tab/>
        <w:t>25.2. O pagamento será efetuado em 10 (dez) dias após a aprovação do Setor Fiscal ou documento equivalente, devendo ser apresentado pela Contratada, até o 5º dia útil do mês subsequente da prestação dos serviços, ao relatório demonstrando os serviços executados, acompanhada da respectiva fatura, ficando assegurado o prazo máximo de até 05 (cinco) dias para aprovação.</w:t>
      </w:r>
    </w:p>
    <w:p>
      <w:pPr>
        <w:pStyle w:val="Normal"/>
        <w:spacing w:lineRule="auto" w:line="360"/>
        <w:jc w:val="both"/>
        <w:rPr>
          <w:rFonts w:ascii="Arial" w:hAnsi="Arial" w:cs="Arial"/>
          <w:sz w:val="22"/>
          <w:szCs w:val="22"/>
        </w:rPr>
      </w:pPr>
      <w:r>
        <w:rPr>
          <w:rFonts w:cs="Arial" w:ascii="Arial" w:hAnsi="Arial"/>
          <w:sz w:val="22"/>
          <w:szCs w:val="22"/>
        </w:rPr>
        <w:tab/>
        <w:t>25.3. Havendo erro na fatura ou documento equivalente ou descumprimento das condições pactuadas, a tramitação da fatura ou documento equivalente será suspensa para que a Contratada adote as providências necessárias a sua correção. Passará a ser considerada, para efeito de pagamento, a data do aceite da fatura ou documento equivalente.</w:t>
      </w:r>
    </w:p>
    <w:p>
      <w:pPr>
        <w:pStyle w:val="Normal"/>
        <w:spacing w:lineRule="auto" w:line="360"/>
        <w:jc w:val="both"/>
        <w:rPr>
          <w:rFonts w:ascii="Arial" w:hAnsi="Arial" w:cs="Arial"/>
          <w:sz w:val="22"/>
          <w:szCs w:val="22"/>
        </w:rPr>
      </w:pPr>
      <w:r>
        <w:rPr>
          <w:rFonts w:cs="Arial" w:ascii="Arial" w:hAnsi="Arial"/>
          <w:sz w:val="22"/>
          <w:szCs w:val="22"/>
        </w:rPr>
        <w:tab/>
        <w:t>25.4. Quaisquer pagamentos não isentarão a Contratada das responsabilidades contratuais.</w:t>
      </w:r>
    </w:p>
    <w:p>
      <w:pPr>
        <w:pStyle w:val="Normal"/>
        <w:spacing w:lineRule="auto" w:line="360"/>
        <w:jc w:val="both"/>
        <w:rPr>
          <w:rFonts w:ascii="Arial" w:hAnsi="Arial" w:cs="Arial"/>
          <w:sz w:val="22"/>
          <w:szCs w:val="22"/>
        </w:rPr>
      </w:pPr>
      <w:r>
        <w:rPr>
          <w:rFonts w:cs="Arial" w:ascii="Arial" w:hAnsi="Arial"/>
          <w:sz w:val="22"/>
          <w:szCs w:val="22"/>
        </w:rPr>
        <w:tab/>
        <w:t>25.5.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25.3.</w:t>
      </w:r>
    </w:p>
    <w:p>
      <w:pPr>
        <w:pStyle w:val="Normal"/>
        <w:spacing w:lineRule="auto" w:line="360"/>
        <w:jc w:val="both"/>
        <w:rPr>
          <w:rFonts w:ascii="Arial" w:hAnsi="Arial" w:cs="Arial"/>
          <w:sz w:val="22"/>
          <w:szCs w:val="22"/>
        </w:rPr>
      </w:pPr>
      <w:r>
        <w:rPr>
          <w:rFonts w:cs="Arial" w:ascii="Arial" w:hAnsi="Arial"/>
          <w:sz w:val="22"/>
          <w:szCs w:val="22"/>
        </w:rPr>
        <w:tab/>
        <w:t>25.6. Os pagamentos serão realizados conforme cronograma físico-financeiro estabelecido no presente termo, e de forma proporcional até a implantação total.</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u w:val="single"/>
        </w:rPr>
        <w:t>26. DAS RECEITAS TARIFÁRIAS DO USO DO ESTACIONAMENTO ROTATIVO</w:t>
      </w:r>
    </w:p>
    <w:p>
      <w:pPr>
        <w:pStyle w:val="Normal"/>
        <w:spacing w:lineRule="auto" w:line="360"/>
        <w:jc w:val="both"/>
        <w:rPr>
          <w:rFonts w:ascii="Arial" w:hAnsi="Arial" w:cs="Arial"/>
          <w:sz w:val="22"/>
          <w:szCs w:val="22"/>
        </w:rPr>
      </w:pPr>
      <w:r>
        <w:rPr>
          <w:rFonts w:cs="Arial" w:ascii="Arial" w:hAnsi="Arial"/>
          <w:sz w:val="22"/>
          <w:szCs w:val="22"/>
        </w:rPr>
        <w:tab/>
        <w:t>26.1. A contratada deverá abrir conta(s) específica(s) para recebimento de todas as receitas oriundas da execução da contratação, referentes ao pagamento das tarifas de uso do estacionamento rotativo pelos usuários.</w:t>
      </w:r>
    </w:p>
    <w:p>
      <w:pPr>
        <w:pStyle w:val="Normal"/>
        <w:spacing w:lineRule="auto" w:line="360"/>
        <w:jc w:val="both"/>
        <w:rPr>
          <w:rFonts w:ascii="Arial" w:hAnsi="Arial" w:cs="Arial"/>
          <w:sz w:val="22"/>
          <w:szCs w:val="22"/>
        </w:rPr>
      </w:pPr>
      <w:r>
        <w:rPr>
          <w:rFonts w:cs="Arial" w:ascii="Arial" w:hAnsi="Arial"/>
          <w:sz w:val="22"/>
          <w:szCs w:val="22"/>
        </w:rPr>
        <w:tab/>
        <w:t>26.2. Até o 5º dia útil do mês subsequente, a contratada deverá apresentar relatório circunstanciado dos valores recebidos através de todos os meios disponibilizados de recebimento de pagamento das tarifas do estacionamento rotativo, além dos dados de ocupação das vagas e notificações de irregularidades.</w:t>
      </w:r>
    </w:p>
    <w:p>
      <w:pPr>
        <w:pStyle w:val="Normal"/>
        <w:spacing w:lineRule="auto" w:line="360"/>
        <w:jc w:val="both"/>
        <w:rPr>
          <w:rFonts w:ascii="Arial" w:hAnsi="Arial" w:cs="Arial"/>
          <w:sz w:val="22"/>
          <w:szCs w:val="22"/>
        </w:rPr>
      </w:pPr>
      <w:r>
        <w:rPr>
          <w:rFonts w:cs="Arial" w:ascii="Arial" w:hAnsi="Arial"/>
          <w:sz w:val="22"/>
          <w:szCs w:val="22"/>
        </w:rPr>
        <w:tab/>
        <w:t>26.3. O Departamento de Mobilidade e Trânsito terá o prazo de 5 (cinco) dias úteis para análise e aprovação do relatório apresentado, notificando a contratada para repasse dos valores indicados no prazo de 3 (três) dias úteis.</w:t>
      </w:r>
    </w:p>
    <w:p>
      <w:pPr>
        <w:pStyle w:val="Normal"/>
        <w:spacing w:lineRule="auto" w:line="360"/>
        <w:jc w:val="both"/>
        <w:rPr>
          <w:rFonts w:ascii="Arial" w:hAnsi="Arial" w:cs="Arial"/>
          <w:sz w:val="22"/>
          <w:szCs w:val="22"/>
        </w:rPr>
      </w:pPr>
      <w:r>
        <w:rPr>
          <w:rFonts w:cs="Arial" w:ascii="Arial" w:hAnsi="Arial"/>
          <w:sz w:val="22"/>
          <w:szCs w:val="22"/>
        </w:rPr>
        <w:tab/>
        <w:t>26.4. Havendo inconsistência entre o relatório apresentado e as informações extraídas do sistema integrado de gestão, o Departamento de Mobilidade e Trânsito notificará a contratada acerca de tal situação para correção.</w:t>
      </w:r>
    </w:p>
    <w:p>
      <w:pPr>
        <w:pStyle w:val="Normal"/>
        <w:spacing w:lineRule="auto" w:line="360"/>
        <w:jc w:val="both"/>
        <w:rPr>
          <w:rFonts w:ascii="Arial" w:hAnsi="Arial" w:cs="Arial"/>
          <w:sz w:val="22"/>
          <w:szCs w:val="22"/>
        </w:rPr>
      </w:pPr>
      <w:r>
        <w:rPr>
          <w:rFonts w:cs="Arial" w:ascii="Arial" w:hAnsi="Arial"/>
          <w:sz w:val="22"/>
          <w:szCs w:val="22"/>
        </w:rPr>
        <w:tab/>
        <w:t>26.5. Em caso de atraso no repasse das tarifas arrecadas, a emissão da nota fiscal de pagamento da contratada no mês subsequente poderá ser suspensa pela Administração até que haja regularização.</w:t>
      </w:r>
    </w:p>
    <w:p>
      <w:pPr>
        <w:pStyle w:val="Normal"/>
        <w:spacing w:lineRule="auto" w:line="360"/>
        <w:jc w:val="both"/>
        <w:rPr>
          <w:rFonts w:ascii="Arial" w:hAnsi="Arial" w:cs="Arial"/>
          <w:sz w:val="22"/>
          <w:szCs w:val="22"/>
        </w:rPr>
      </w:pPr>
      <w:r>
        <w:rPr>
          <w:rFonts w:cs="Arial" w:ascii="Arial" w:hAnsi="Arial"/>
          <w:sz w:val="22"/>
          <w:szCs w:val="22"/>
        </w:rPr>
        <w:tab/>
        <w:t>26.6. Considerando que a geração de receita decorre essencialmente da compra de créditos de estacionamento pelos usuários através de cartões de crédito e débito, a contratada realizará o repasse descontando o percentual estabelecido no item 6.3.</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u w:val="single"/>
        </w:rPr>
        <w:t>27. OBRIGAÇÕES DA CONTRATADA</w:t>
      </w:r>
    </w:p>
    <w:p>
      <w:pPr>
        <w:pStyle w:val="Normal"/>
        <w:spacing w:lineRule="auto" w:line="360"/>
        <w:jc w:val="both"/>
        <w:rPr>
          <w:rFonts w:ascii="Arial" w:hAnsi="Arial" w:cs="Arial"/>
          <w:sz w:val="22"/>
          <w:szCs w:val="22"/>
        </w:rPr>
      </w:pPr>
      <w:r>
        <w:rPr>
          <w:rFonts w:cs="Arial" w:ascii="Arial" w:hAnsi="Arial"/>
          <w:sz w:val="22"/>
          <w:szCs w:val="22"/>
        </w:rPr>
        <w:t>1. Responsabilizar-se integralmente pela boa e eficiente execução dos serviços contratados de acordo com as normas estabelecidas no termo de referência, em conformidade com as suas propostas técnicas e de preços, utilizando os seus próprios recursos humanos e equipamentos.</w:t>
      </w:r>
    </w:p>
    <w:p>
      <w:pPr>
        <w:pStyle w:val="Normal"/>
        <w:spacing w:lineRule="auto" w:line="360"/>
        <w:jc w:val="both"/>
        <w:rPr>
          <w:rFonts w:ascii="Arial" w:hAnsi="Arial" w:cs="Arial"/>
          <w:sz w:val="22"/>
          <w:szCs w:val="22"/>
        </w:rPr>
      </w:pPr>
      <w:r>
        <w:rPr>
          <w:rFonts w:cs="Arial" w:ascii="Arial" w:hAnsi="Arial"/>
          <w:sz w:val="22"/>
          <w:szCs w:val="22"/>
        </w:rPr>
        <w:t>2. Instalar e prestar apoio técnico a toda infraestrutura, equipamentos, aplicativos e softwares que compõem o sistema, conforme orientação e determinação da Prefeitura de Itatiba.</w:t>
      </w:r>
    </w:p>
    <w:p>
      <w:pPr>
        <w:pStyle w:val="Normal"/>
        <w:spacing w:lineRule="auto" w:line="360"/>
        <w:jc w:val="both"/>
        <w:rPr>
          <w:rFonts w:ascii="Arial" w:hAnsi="Arial" w:cs="Arial"/>
          <w:sz w:val="22"/>
          <w:szCs w:val="22"/>
        </w:rPr>
      </w:pPr>
      <w:r>
        <w:rPr>
          <w:rFonts w:cs="Arial" w:ascii="Arial" w:hAnsi="Arial"/>
          <w:sz w:val="22"/>
          <w:szCs w:val="22"/>
        </w:rPr>
        <w:t>3. Prestar assistência técnica, mantendo disponível pessoal, dentro dos prazos estabelecidos neste edital após constatação do problema/defeito no equipamento.</w:t>
      </w:r>
    </w:p>
    <w:p>
      <w:pPr>
        <w:pStyle w:val="Normal"/>
        <w:spacing w:lineRule="auto" w:line="360"/>
        <w:jc w:val="both"/>
        <w:rPr>
          <w:rFonts w:ascii="Arial" w:hAnsi="Arial" w:cs="Arial"/>
          <w:sz w:val="22"/>
          <w:szCs w:val="22"/>
        </w:rPr>
      </w:pPr>
      <w:r>
        <w:rPr>
          <w:rFonts w:cs="Arial" w:ascii="Arial" w:hAnsi="Arial"/>
          <w:sz w:val="22"/>
          <w:szCs w:val="22"/>
        </w:rPr>
        <w:t>4. Garantir o perfeito funcionamento, constante e ininterruptamente, de todos os equipamentos aplicativos e softwares que constituem o sistema, de acordo com suas especificações técnicas.</w:t>
      </w:r>
    </w:p>
    <w:p>
      <w:pPr>
        <w:pStyle w:val="Normal"/>
        <w:spacing w:lineRule="auto" w:line="360"/>
        <w:jc w:val="both"/>
        <w:rPr>
          <w:rFonts w:ascii="Arial" w:hAnsi="Arial" w:cs="Arial"/>
          <w:sz w:val="22"/>
          <w:szCs w:val="22"/>
        </w:rPr>
      </w:pPr>
      <w:r>
        <w:rPr>
          <w:rFonts w:cs="Arial" w:ascii="Arial" w:hAnsi="Arial"/>
          <w:sz w:val="22"/>
          <w:szCs w:val="22"/>
        </w:rPr>
        <w:t>5. Cumprir todas as exigências das leis e normas de segurança e higiene de trabalho, segurança de trânsito, fornecendo equipamentos específicos e adequados de proteção a todos os que trabalham na instalação e manutenção do sistema do rotativo e equipamentos.</w:t>
      </w:r>
    </w:p>
    <w:p>
      <w:pPr>
        <w:pStyle w:val="Normal"/>
        <w:spacing w:lineRule="auto" w:line="360"/>
        <w:jc w:val="both"/>
        <w:rPr>
          <w:rFonts w:ascii="Arial" w:hAnsi="Arial" w:cs="Arial"/>
          <w:sz w:val="22"/>
          <w:szCs w:val="22"/>
        </w:rPr>
      </w:pPr>
      <w:r>
        <w:rPr>
          <w:rFonts w:cs="Arial" w:ascii="Arial" w:hAnsi="Arial"/>
          <w:sz w:val="22"/>
          <w:szCs w:val="22"/>
        </w:rPr>
        <w:t>6. Responder pelos danos causados diretamente à Prefeitura de Itatiba ou a terceiros, decorrentes de sua culpa ou dolo na execução do contrato.</w:t>
      </w:r>
    </w:p>
    <w:p>
      <w:pPr>
        <w:pStyle w:val="Normal"/>
        <w:spacing w:lineRule="auto" w:line="360"/>
        <w:jc w:val="both"/>
        <w:rPr>
          <w:rFonts w:ascii="Arial" w:hAnsi="Arial" w:cs="Arial"/>
          <w:sz w:val="22"/>
          <w:szCs w:val="22"/>
        </w:rPr>
      </w:pPr>
      <w:r>
        <w:rPr>
          <w:rFonts w:cs="Arial" w:ascii="Arial" w:hAnsi="Arial"/>
          <w:sz w:val="22"/>
          <w:szCs w:val="22"/>
        </w:rPr>
        <w:t>7. Responder pelos encargos trabalhistas, previdenciários, fiscais sindicais e comerciais resultantes da execução dos serviços prestados pela CONTRATADA, bem como por todas as despesas necessárias à realização e custos com fornecimento de equipamentos, materiais, mão de obra e demais despesas indiretas, além de responder pela sua inadimplência, caso ocorra, com relação aos encargos mencionados, e obrigando-se pelo pagamento dos débitos inadimplentes.</w:t>
      </w:r>
    </w:p>
    <w:p>
      <w:pPr>
        <w:pStyle w:val="Normal"/>
        <w:spacing w:lineRule="auto" w:line="360"/>
        <w:jc w:val="both"/>
        <w:rPr>
          <w:rFonts w:ascii="Arial" w:hAnsi="Arial" w:cs="Arial"/>
          <w:sz w:val="22"/>
          <w:szCs w:val="22"/>
        </w:rPr>
      </w:pPr>
      <w:r>
        <w:rPr>
          <w:rFonts w:cs="Arial" w:ascii="Arial" w:hAnsi="Arial"/>
          <w:sz w:val="22"/>
          <w:szCs w:val="22"/>
        </w:rPr>
        <w:t>8. Manter, por si e por seus profissionais, durante e após o encerramento do prazo contratual, completo sigilo sobre dados, informações e detalhes obtidos através do sistema instalado, bem como aqueles fornecidos pela Prefeitura de Itatiba, também não divulgando a terceiros, ou quaisquer meios de comunicação, informações relacionadas com o objeto do contrato e seus anexos, sem prévia e expressa autorização por escrito desta Prefeitura, respondendo civil e criminalmente pela inobservância dessas obrigações.</w:t>
      </w:r>
    </w:p>
    <w:p>
      <w:pPr>
        <w:pStyle w:val="Normal"/>
        <w:spacing w:lineRule="auto" w:line="360"/>
        <w:jc w:val="both"/>
        <w:rPr>
          <w:rFonts w:ascii="Arial" w:hAnsi="Arial" w:cs="Arial"/>
          <w:sz w:val="22"/>
          <w:szCs w:val="22"/>
        </w:rPr>
      </w:pPr>
      <w:r>
        <w:rPr>
          <w:rFonts w:cs="Arial" w:ascii="Arial" w:hAnsi="Arial"/>
          <w:sz w:val="22"/>
          <w:szCs w:val="22"/>
        </w:rPr>
        <w:t>9. Disponibilizar para a CONTRATANTE as licenças e softwares, hardwares e aplicativos necessários durante o prazo de prestação de serviços.</w:t>
      </w:r>
    </w:p>
    <w:p>
      <w:pPr>
        <w:pStyle w:val="Normal"/>
        <w:spacing w:lineRule="auto" w:line="360"/>
        <w:jc w:val="both"/>
        <w:rPr>
          <w:rFonts w:ascii="Arial" w:hAnsi="Arial" w:cs="Arial"/>
          <w:sz w:val="22"/>
          <w:szCs w:val="22"/>
        </w:rPr>
      </w:pPr>
      <w:r>
        <w:rPr>
          <w:rFonts w:cs="Arial" w:ascii="Arial" w:hAnsi="Arial"/>
          <w:sz w:val="22"/>
          <w:szCs w:val="22"/>
        </w:rPr>
        <w:t>10. Preservar o passeio público, as tubulações da CONTRATANTE, ou quaisquer outras interferências, com reparação de eventuais danos, ocasionados direta ou indiretamente, através do fornecimento de materiais e mão de obra habilitada para a execução dos trabalhos, sem ônus para a Municipalidade.</w:t>
      </w:r>
    </w:p>
    <w:p>
      <w:pPr>
        <w:pStyle w:val="Normal"/>
        <w:spacing w:lineRule="auto" w:line="360"/>
        <w:jc w:val="both"/>
        <w:rPr>
          <w:rFonts w:ascii="Arial" w:hAnsi="Arial" w:cs="Arial"/>
          <w:sz w:val="22"/>
          <w:szCs w:val="22"/>
        </w:rPr>
      </w:pPr>
      <w:r>
        <w:rPr>
          <w:rFonts w:cs="Arial" w:ascii="Arial" w:hAnsi="Arial"/>
          <w:sz w:val="22"/>
          <w:szCs w:val="22"/>
        </w:rPr>
        <w:t>11. Realizar o treinamento dos agentes públicos para a utilização e gestão do sistema do estacionamento, bem como para o setor responsável pela fiscalização.</w:t>
      </w:r>
    </w:p>
    <w:p>
      <w:pPr>
        <w:pStyle w:val="Normal"/>
        <w:spacing w:lineRule="auto" w:line="360"/>
        <w:jc w:val="both"/>
        <w:rPr>
          <w:rFonts w:ascii="Arial" w:hAnsi="Arial" w:cs="Arial"/>
          <w:sz w:val="22"/>
          <w:szCs w:val="22"/>
        </w:rPr>
      </w:pPr>
      <w:r>
        <w:rPr>
          <w:rFonts w:cs="Arial" w:ascii="Arial" w:hAnsi="Arial"/>
          <w:sz w:val="22"/>
          <w:szCs w:val="22"/>
        </w:rPr>
        <w:t>12. Manter as condições de habilitação e qualificação apresentadas na licitação, durante toda a execução do Contrato.</w:t>
      </w:r>
    </w:p>
    <w:p>
      <w:pPr>
        <w:pStyle w:val="Normal"/>
        <w:spacing w:lineRule="auto" w:line="360"/>
        <w:jc w:val="both"/>
        <w:rPr>
          <w:rFonts w:ascii="Arial" w:hAnsi="Arial" w:cs="Arial"/>
          <w:sz w:val="22"/>
          <w:szCs w:val="22"/>
        </w:rPr>
      </w:pPr>
      <w:r>
        <w:rPr>
          <w:rFonts w:cs="Arial" w:ascii="Arial" w:hAnsi="Arial"/>
          <w:sz w:val="22"/>
          <w:szCs w:val="22"/>
        </w:rPr>
        <w:t>13. Dar fiel execução ao objeto contratual, bem como, providenciar às suas expensas e a contento do CONTRATANTE, todas as substituições e correções que se fizerem necessárias.</w:t>
      </w:r>
    </w:p>
    <w:p>
      <w:pPr>
        <w:pStyle w:val="Normal"/>
        <w:spacing w:lineRule="auto" w:line="360"/>
        <w:jc w:val="both"/>
        <w:rPr>
          <w:rFonts w:ascii="Arial" w:hAnsi="Arial" w:cs="Arial"/>
          <w:sz w:val="22"/>
          <w:szCs w:val="22"/>
        </w:rPr>
      </w:pPr>
      <w:r>
        <w:rPr>
          <w:rFonts w:cs="Arial" w:ascii="Arial" w:hAnsi="Arial"/>
          <w:sz w:val="22"/>
          <w:szCs w:val="22"/>
        </w:rPr>
        <w:t>14. Arcar com todos os ônus e obrigações no que se referem a acidentes, danos e prejuízos que tenha causado ao CONTRATANTE e/ou a terceiros, em decorrência da execução do objeto contratual, respondendo por terceiros, seus empregados e preposto.</w:t>
      </w:r>
    </w:p>
    <w:p>
      <w:pPr>
        <w:pStyle w:val="Normal"/>
        <w:spacing w:lineRule="auto" w:line="360"/>
        <w:jc w:val="both"/>
        <w:rPr>
          <w:rFonts w:ascii="Arial" w:hAnsi="Arial" w:cs="Arial"/>
          <w:sz w:val="22"/>
          <w:szCs w:val="22"/>
        </w:rPr>
      </w:pPr>
      <w:r>
        <w:rPr>
          <w:rFonts w:cs="Arial" w:ascii="Arial" w:hAnsi="Arial"/>
          <w:sz w:val="22"/>
          <w:szCs w:val="22"/>
        </w:rPr>
        <w:t>15. Cumprir todas as leis e posturas Federais, Estaduais e Municipais, pertinentes e vigentes, sendo a única responsável por prejuízos decorrentes a que houver dado causa, especialmente relativas as obrigações fiscais, sociais, trabalhistas e encargos sociais.</w:t>
      </w:r>
    </w:p>
    <w:p>
      <w:pPr>
        <w:pStyle w:val="Normal"/>
        <w:spacing w:lineRule="auto" w:line="360"/>
        <w:jc w:val="both"/>
        <w:rPr>
          <w:rFonts w:ascii="Arial" w:hAnsi="Arial" w:cs="Arial"/>
          <w:sz w:val="22"/>
          <w:szCs w:val="22"/>
        </w:rPr>
      </w:pPr>
      <w:r>
        <w:rPr>
          <w:rFonts w:cs="Arial" w:ascii="Arial" w:hAnsi="Arial"/>
          <w:sz w:val="22"/>
          <w:szCs w:val="22"/>
        </w:rPr>
        <w:t>16. Arcar com as despesas de transporte dos materiais, custos sobre tributos (impostos, taxas, emolumentos, contribuições fiscais e parafiscais), leis sociais, administração e qualquer despesa, acessória e/ou necessária, não especificada no contrato.</w:t>
      </w:r>
    </w:p>
    <w:p>
      <w:pPr>
        <w:pStyle w:val="Normal"/>
        <w:spacing w:lineRule="auto" w:line="360"/>
        <w:jc w:val="both"/>
        <w:rPr>
          <w:rFonts w:ascii="Arial" w:hAnsi="Arial" w:cs="Arial"/>
          <w:sz w:val="22"/>
          <w:szCs w:val="22"/>
        </w:rPr>
      </w:pPr>
      <w:r>
        <w:rPr>
          <w:rFonts w:cs="Arial" w:ascii="Arial" w:hAnsi="Arial"/>
          <w:sz w:val="22"/>
          <w:szCs w:val="22"/>
        </w:rPr>
        <w:t>17. Comunicar por escrito ao CONTRATANTE, no prazo de 24 (vinte e quatro) horas, toda e qualquer anormalidade relacionada com a execução deste Contrato.</w:t>
      </w:r>
    </w:p>
    <w:p>
      <w:pPr>
        <w:pStyle w:val="Normal"/>
        <w:spacing w:lineRule="auto" w:line="360"/>
        <w:jc w:val="both"/>
        <w:rPr>
          <w:rFonts w:ascii="Arial" w:hAnsi="Arial" w:cs="Arial"/>
          <w:sz w:val="22"/>
          <w:szCs w:val="22"/>
        </w:rPr>
      </w:pPr>
      <w:r>
        <w:rPr>
          <w:rFonts w:cs="Arial" w:ascii="Arial" w:hAnsi="Arial"/>
          <w:sz w:val="22"/>
          <w:szCs w:val="22"/>
        </w:rPr>
        <w:t>18. Estruturar-se e estar apto a iniciar os serviços a partir da assinatura do contrato. As etapas obedecerão rigorosamente ao prazo máximo disposto no cronograma físico definido pela Prefeitura de Itatiba, e qualquer mudança do cronograma somente poderá ocorrer com a devida aprovação ou por solicitação da CONTRATANTE.</w:t>
      </w:r>
    </w:p>
    <w:p>
      <w:pPr>
        <w:pStyle w:val="Normal"/>
        <w:spacing w:lineRule="auto" w:line="360"/>
        <w:jc w:val="both"/>
        <w:rPr>
          <w:rFonts w:ascii="Arial" w:hAnsi="Arial" w:cs="Arial"/>
          <w:sz w:val="22"/>
          <w:szCs w:val="22"/>
        </w:rPr>
      </w:pPr>
      <w:r>
        <w:rPr>
          <w:rFonts w:cs="Arial" w:ascii="Arial" w:hAnsi="Arial"/>
          <w:sz w:val="22"/>
          <w:szCs w:val="22"/>
        </w:rPr>
        <w:t>19. Responsabilizar-se por quaisquer ônus decorrentes de omissões.</w:t>
      </w:r>
    </w:p>
    <w:p>
      <w:pPr>
        <w:pStyle w:val="Normal"/>
        <w:spacing w:lineRule="auto" w:line="360"/>
        <w:jc w:val="both"/>
        <w:rPr>
          <w:rFonts w:ascii="Arial" w:hAnsi="Arial" w:cs="Arial"/>
          <w:sz w:val="22"/>
          <w:szCs w:val="22"/>
        </w:rPr>
      </w:pPr>
      <w:r>
        <w:rPr>
          <w:rFonts w:cs="Arial" w:ascii="Arial" w:hAnsi="Arial"/>
          <w:sz w:val="22"/>
          <w:szCs w:val="22"/>
        </w:rPr>
        <w:t>20. Fornecer todos os dados contidos no Data Center ao final da contratação ou sempre que solicitado formalmente pela CONTRATANTE.</w:t>
      </w:r>
    </w:p>
    <w:p>
      <w:pPr>
        <w:pStyle w:val="Normal"/>
        <w:spacing w:lineRule="auto" w:line="360"/>
        <w:jc w:val="both"/>
        <w:rPr>
          <w:rFonts w:ascii="Arial" w:hAnsi="Arial" w:cs="Arial"/>
          <w:sz w:val="22"/>
          <w:szCs w:val="22"/>
        </w:rPr>
      </w:pPr>
      <w:r>
        <w:rPr>
          <w:rFonts w:cs="Arial" w:ascii="Arial" w:hAnsi="Arial"/>
          <w:sz w:val="22"/>
          <w:szCs w:val="22"/>
        </w:rPr>
        <w:t>21. Repasse dos valores arrecadados das tarifas de zona azul ao Município, no prazo estipulado no presente termo.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u w:val="single"/>
        </w:rPr>
        <w:t>28. OBRIGAÇÕES DA CONTRATANTE</w:t>
      </w:r>
    </w:p>
    <w:p>
      <w:pPr>
        <w:pStyle w:val="Normal"/>
        <w:spacing w:lineRule="auto" w:line="360"/>
        <w:jc w:val="both"/>
        <w:rPr>
          <w:rFonts w:ascii="Arial" w:hAnsi="Arial" w:cs="Arial"/>
          <w:sz w:val="22"/>
          <w:szCs w:val="22"/>
        </w:rPr>
      </w:pPr>
      <w:r>
        <w:rPr>
          <w:rFonts w:cs="Arial" w:ascii="Arial" w:hAnsi="Arial"/>
          <w:sz w:val="22"/>
          <w:szCs w:val="22"/>
        </w:rPr>
        <w:t>1. Operar o sistema de estacionamento rotativo com os equipamentos locados da CONTRATADA.</w:t>
      </w:r>
    </w:p>
    <w:p>
      <w:pPr>
        <w:pStyle w:val="Normal"/>
        <w:spacing w:lineRule="auto" w:line="360"/>
        <w:jc w:val="both"/>
        <w:rPr>
          <w:rFonts w:ascii="Arial" w:hAnsi="Arial" w:cs="Arial"/>
          <w:sz w:val="22"/>
          <w:szCs w:val="22"/>
        </w:rPr>
      </w:pPr>
      <w:r>
        <w:rPr>
          <w:rFonts w:cs="Arial" w:ascii="Arial" w:hAnsi="Arial"/>
          <w:sz w:val="22"/>
          <w:szCs w:val="22"/>
        </w:rPr>
        <w:t>2. Pagar à CONTRATADA o valor resultante da execução do fornecimento, após a efetiva prestação do serviço.</w:t>
      </w:r>
    </w:p>
    <w:p>
      <w:pPr>
        <w:pStyle w:val="Normal"/>
        <w:spacing w:lineRule="auto" w:line="360"/>
        <w:jc w:val="both"/>
        <w:rPr>
          <w:rFonts w:ascii="Arial" w:hAnsi="Arial" w:cs="Arial"/>
          <w:sz w:val="22"/>
          <w:szCs w:val="22"/>
        </w:rPr>
      </w:pPr>
      <w:r>
        <w:rPr>
          <w:rFonts w:cs="Arial" w:ascii="Arial" w:hAnsi="Arial"/>
          <w:sz w:val="22"/>
          <w:szCs w:val="22"/>
        </w:rPr>
        <w:t>3. Emitir as ordens de fornecimento nominais à CONTRATADA.</w:t>
      </w:r>
    </w:p>
    <w:p>
      <w:pPr>
        <w:pStyle w:val="Normal"/>
        <w:spacing w:lineRule="auto" w:line="360"/>
        <w:jc w:val="both"/>
        <w:rPr>
          <w:rFonts w:ascii="Arial" w:hAnsi="Arial" w:cs="Arial"/>
          <w:sz w:val="22"/>
          <w:szCs w:val="22"/>
        </w:rPr>
      </w:pPr>
      <w:r>
        <w:rPr>
          <w:rFonts w:cs="Arial" w:ascii="Arial" w:hAnsi="Arial"/>
          <w:sz w:val="22"/>
          <w:szCs w:val="22"/>
        </w:rPr>
        <w:t>4. Assegurar que o sistema de estacionamento rotativo seja respeitado pelos usuários de acordo com a legislação que o regulamenta.</w:t>
      </w:r>
    </w:p>
    <w:p>
      <w:pPr>
        <w:pStyle w:val="Normal"/>
        <w:spacing w:lineRule="auto" w:line="360"/>
        <w:jc w:val="both"/>
        <w:rPr>
          <w:rFonts w:ascii="Arial" w:hAnsi="Arial" w:cs="Arial"/>
          <w:sz w:val="22"/>
          <w:szCs w:val="22"/>
        </w:rPr>
      </w:pPr>
      <w:r>
        <w:rPr>
          <w:rFonts w:cs="Arial" w:ascii="Arial" w:hAnsi="Arial"/>
          <w:sz w:val="22"/>
          <w:szCs w:val="22"/>
        </w:rPr>
        <w:t>5. Acompanhar e fiscalizar a entrega dos objetos.</w:t>
      </w:r>
    </w:p>
    <w:p>
      <w:pPr>
        <w:pStyle w:val="Normal"/>
        <w:spacing w:lineRule="auto" w:line="360"/>
        <w:jc w:val="both"/>
        <w:rPr>
          <w:rFonts w:ascii="Arial" w:hAnsi="Arial" w:cs="Arial"/>
          <w:sz w:val="22"/>
          <w:szCs w:val="22"/>
        </w:rPr>
      </w:pPr>
      <w:r>
        <w:rPr>
          <w:rFonts w:cs="Arial" w:ascii="Arial" w:hAnsi="Arial"/>
          <w:sz w:val="22"/>
          <w:szCs w:val="22"/>
        </w:rPr>
        <w:t>6. Notificar a CONTRATADA por escrito, sobre quaisquer irregularidades que venham a ocorrer em função da execução dos serviços.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t>29. GARANTIA CONTRATUAL</w:t>
      </w:r>
    </w:p>
    <w:p>
      <w:pPr>
        <w:pStyle w:val="Normal"/>
        <w:spacing w:lineRule="auto" w:line="360"/>
        <w:jc w:val="both"/>
        <w:rPr>
          <w:rFonts w:ascii="Arial" w:hAnsi="Arial" w:cs="Arial"/>
          <w:sz w:val="22"/>
          <w:szCs w:val="22"/>
        </w:rPr>
      </w:pPr>
      <w:r>
        <w:rPr>
          <w:rFonts w:cs="Arial" w:ascii="Arial" w:hAnsi="Arial"/>
          <w:sz w:val="22"/>
          <w:szCs w:val="22"/>
        </w:rPr>
        <w:t>A contratação conta com garantia de execução, nos moldes do art. 96 da Lei nº 14.133, de 2021, em valor correspondente a 5% (cinco por cento) do valor inicial/total/anual do contrato.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t>30. SANÇÕES</w:t>
      </w:r>
    </w:p>
    <w:p>
      <w:pPr>
        <w:pStyle w:val="Normal"/>
        <w:spacing w:lineRule="auto" w:line="360"/>
        <w:jc w:val="both"/>
        <w:rPr>
          <w:rFonts w:ascii="Arial" w:hAnsi="Arial" w:cs="Arial"/>
          <w:sz w:val="22"/>
          <w:szCs w:val="22"/>
        </w:rPr>
      </w:pPr>
      <w:r>
        <w:rPr>
          <w:rFonts w:cs="Arial" w:ascii="Arial" w:hAnsi="Arial"/>
          <w:sz w:val="22"/>
          <w:szCs w:val="22"/>
        </w:rPr>
        <w:t>30.1 Comete infração administrativa, nos termos da Lei nº 14.133, de 2021, o contratado que:</w:t>
      </w:r>
    </w:p>
    <w:p>
      <w:pPr>
        <w:pStyle w:val="Normal"/>
        <w:spacing w:lineRule="auto" w:line="360"/>
        <w:jc w:val="both"/>
        <w:rPr>
          <w:rFonts w:ascii="Arial" w:hAnsi="Arial" w:cs="Arial"/>
          <w:sz w:val="22"/>
          <w:szCs w:val="22"/>
        </w:rPr>
      </w:pPr>
      <w:r>
        <w:rPr>
          <w:rFonts w:cs="Arial" w:ascii="Arial" w:hAnsi="Arial"/>
          <w:sz w:val="22"/>
          <w:szCs w:val="22"/>
        </w:rPr>
        <w:t>a) der causa à inexecução parcial do contrato;</w:t>
      </w:r>
    </w:p>
    <w:p>
      <w:pPr>
        <w:pStyle w:val="Normal"/>
        <w:spacing w:lineRule="auto" w:line="360"/>
        <w:jc w:val="both"/>
        <w:rPr>
          <w:rFonts w:ascii="Arial" w:hAnsi="Arial" w:cs="Arial"/>
          <w:sz w:val="22"/>
          <w:szCs w:val="22"/>
        </w:rPr>
      </w:pPr>
      <w:r>
        <w:rPr>
          <w:rFonts w:cs="Arial" w:ascii="Arial" w:hAnsi="Arial"/>
          <w:sz w:val="22"/>
          <w:szCs w:val="22"/>
        </w:rPr>
        <w:t>b) der causa à inexecução parcial do contrato que cause grave dano à Administração ou ao funcionamento dos serviços públicos ou ao interesse coletivo;</w:t>
      </w:r>
    </w:p>
    <w:p>
      <w:pPr>
        <w:pStyle w:val="Normal"/>
        <w:spacing w:lineRule="auto" w:line="360"/>
        <w:jc w:val="both"/>
        <w:rPr>
          <w:rFonts w:ascii="Arial" w:hAnsi="Arial" w:cs="Arial"/>
          <w:sz w:val="22"/>
          <w:szCs w:val="22"/>
        </w:rPr>
      </w:pPr>
      <w:r>
        <w:rPr>
          <w:rFonts w:cs="Arial" w:ascii="Arial" w:hAnsi="Arial"/>
          <w:sz w:val="22"/>
          <w:szCs w:val="22"/>
        </w:rPr>
        <w:t>c) der causa à inexecução total do contrato;</w:t>
      </w:r>
    </w:p>
    <w:p>
      <w:pPr>
        <w:pStyle w:val="Normal"/>
        <w:spacing w:lineRule="auto" w:line="360"/>
        <w:jc w:val="both"/>
        <w:rPr>
          <w:rFonts w:ascii="Arial" w:hAnsi="Arial" w:cs="Arial"/>
          <w:sz w:val="22"/>
          <w:szCs w:val="22"/>
        </w:rPr>
      </w:pPr>
      <w:r>
        <w:rPr>
          <w:rFonts w:cs="Arial" w:ascii="Arial" w:hAnsi="Arial"/>
          <w:sz w:val="22"/>
          <w:szCs w:val="22"/>
        </w:rPr>
        <w:t>d) ensejar o retardamento da execução ou da entrega do objeto da contratação sem motivo justificado;</w:t>
      </w:r>
    </w:p>
    <w:p>
      <w:pPr>
        <w:pStyle w:val="Normal"/>
        <w:spacing w:lineRule="auto" w:line="360"/>
        <w:jc w:val="both"/>
        <w:rPr>
          <w:rFonts w:ascii="Arial" w:hAnsi="Arial" w:cs="Arial"/>
          <w:sz w:val="22"/>
          <w:szCs w:val="22"/>
        </w:rPr>
      </w:pPr>
      <w:r>
        <w:rPr>
          <w:rFonts w:cs="Arial" w:ascii="Arial" w:hAnsi="Arial"/>
          <w:sz w:val="22"/>
          <w:szCs w:val="22"/>
        </w:rPr>
        <w:t>e) apresentar documentação falsa ou prestar declaração falsa durante a execução do contrato;</w:t>
      </w:r>
    </w:p>
    <w:p>
      <w:pPr>
        <w:pStyle w:val="Normal"/>
        <w:spacing w:lineRule="auto" w:line="360"/>
        <w:jc w:val="both"/>
        <w:rPr>
          <w:rFonts w:ascii="Arial" w:hAnsi="Arial" w:cs="Arial"/>
          <w:sz w:val="22"/>
          <w:szCs w:val="22"/>
        </w:rPr>
      </w:pPr>
      <w:r>
        <w:rPr>
          <w:rFonts w:cs="Arial" w:ascii="Arial" w:hAnsi="Arial"/>
          <w:sz w:val="22"/>
          <w:szCs w:val="22"/>
        </w:rPr>
        <w:t>f) praticar ato fraudulento na execução do contrato;</w:t>
      </w:r>
    </w:p>
    <w:p>
      <w:pPr>
        <w:pStyle w:val="Normal"/>
        <w:spacing w:lineRule="auto" w:line="360"/>
        <w:jc w:val="both"/>
        <w:rPr>
          <w:rFonts w:ascii="Arial" w:hAnsi="Arial" w:cs="Arial"/>
          <w:sz w:val="22"/>
          <w:szCs w:val="22"/>
        </w:rPr>
      </w:pPr>
      <w:r>
        <w:rPr>
          <w:rFonts w:cs="Arial" w:ascii="Arial" w:hAnsi="Arial"/>
          <w:sz w:val="22"/>
          <w:szCs w:val="22"/>
        </w:rPr>
        <w:t>g) comportar-se de modo inidôneo ou cometer fraude de qualquer natureza;</w:t>
      </w:r>
    </w:p>
    <w:p>
      <w:pPr>
        <w:pStyle w:val="Normal"/>
        <w:spacing w:lineRule="auto" w:line="360"/>
        <w:jc w:val="both"/>
        <w:rPr>
          <w:rFonts w:ascii="Arial" w:hAnsi="Arial" w:cs="Arial"/>
          <w:sz w:val="22"/>
          <w:szCs w:val="22"/>
        </w:rPr>
      </w:pPr>
      <w:r>
        <w:rPr>
          <w:rFonts w:cs="Arial" w:ascii="Arial" w:hAnsi="Arial"/>
          <w:sz w:val="22"/>
          <w:szCs w:val="22"/>
        </w:rPr>
        <w:t>h) praticar ato lesivo previsto no art. 5º da Lei nº 12.846, de 1º de agosto de 2013.</w:t>
      </w:r>
    </w:p>
    <w:p>
      <w:pPr>
        <w:pStyle w:val="Normal"/>
        <w:spacing w:lineRule="auto" w:line="360"/>
        <w:jc w:val="both"/>
        <w:rPr>
          <w:rFonts w:ascii="Arial" w:hAnsi="Arial" w:cs="Arial"/>
          <w:sz w:val="22"/>
          <w:szCs w:val="22"/>
        </w:rPr>
      </w:pPr>
      <w:r>
        <w:rPr>
          <w:rFonts w:cs="Arial" w:ascii="Arial" w:hAnsi="Arial"/>
          <w:sz w:val="22"/>
          <w:szCs w:val="22"/>
        </w:rPr>
        <w:t>30.2 Serão aplicadas ao contratado que incorrer nas infrações acima descritas as seguintes sanções:</w:t>
      </w:r>
    </w:p>
    <w:p>
      <w:pPr>
        <w:pStyle w:val="Normal"/>
        <w:spacing w:lineRule="auto" w:line="360"/>
        <w:jc w:val="both"/>
        <w:rPr>
          <w:rFonts w:ascii="Arial" w:hAnsi="Arial" w:cs="Arial"/>
          <w:sz w:val="22"/>
          <w:szCs w:val="22"/>
        </w:rPr>
      </w:pPr>
      <w:r>
        <w:rPr>
          <w:rFonts w:cs="Arial" w:ascii="Arial" w:hAnsi="Arial"/>
          <w:sz w:val="22"/>
          <w:szCs w:val="22"/>
        </w:rPr>
        <w:t>i. Advertência, quando o contratado der causa à inexecução parcial do contrato, sempre que não se justificar a imposição de penalidade mais grave (art. 156, §2º, da Lei nº 14.133, de 2021);</w:t>
      </w:r>
    </w:p>
    <w:p>
      <w:pPr>
        <w:pStyle w:val="Normal"/>
        <w:spacing w:lineRule="auto" w:line="360"/>
        <w:jc w:val="both"/>
        <w:rPr>
          <w:rFonts w:ascii="Arial" w:hAnsi="Arial" w:cs="Arial"/>
          <w:sz w:val="22"/>
          <w:szCs w:val="22"/>
        </w:rPr>
      </w:pPr>
      <w:r>
        <w:rPr>
          <w:rFonts w:cs="Arial" w:ascii="Arial" w:hAnsi="Arial"/>
          <w:sz w:val="22"/>
          <w:szCs w:val="22"/>
        </w:rPr>
        <w:t>ii. Impedimento de licitar e contratar, quando praticadas as condutas descritas nas alíneas “b”, “c” e “d” do subitem acima deste Contrato, sempre que não se justificar a imposição de penalidade mais grave (art. 156, § 4º, da Lei nº 14.133, de 2021);</w:t>
      </w:r>
    </w:p>
    <w:p>
      <w:pPr>
        <w:pStyle w:val="Normal"/>
        <w:spacing w:lineRule="auto" w:line="360"/>
        <w:jc w:val="both"/>
        <w:rPr>
          <w:rFonts w:ascii="Arial" w:hAnsi="Arial" w:cs="Arial"/>
          <w:sz w:val="22"/>
          <w:szCs w:val="22"/>
        </w:rPr>
      </w:pPr>
      <w:r>
        <w:rPr>
          <w:rFonts w:cs="Arial" w:ascii="Arial" w:hAnsi="Arial"/>
          <w:sz w:val="22"/>
          <w:szCs w:val="22"/>
        </w:rPr>
        <w:t>iii.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pPr>
        <w:pStyle w:val="Normal"/>
        <w:spacing w:lineRule="auto" w:line="360"/>
        <w:jc w:val="both"/>
        <w:rPr>
          <w:rFonts w:ascii="Arial" w:hAnsi="Arial" w:cs="Arial"/>
          <w:sz w:val="22"/>
          <w:szCs w:val="22"/>
        </w:rPr>
      </w:pPr>
      <w:r>
        <w:rPr>
          <w:rFonts w:cs="Arial" w:ascii="Arial" w:hAnsi="Arial"/>
          <w:sz w:val="22"/>
          <w:szCs w:val="22"/>
        </w:rPr>
        <w:t>iv. Multa:</w:t>
      </w:r>
    </w:p>
    <w:p>
      <w:pPr>
        <w:pStyle w:val="Normal"/>
        <w:spacing w:lineRule="auto" w:line="360"/>
        <w:jc w:val="both"/>
        <w:rPr>
          <w:rFonts w:ascii="Arial" w:hAnsi="Arial" w:cs="Arial"/>
          <w:sz w:val="22"/>
          <w:szCs w:val="22"/>
        </w:rPr>
      </w:pPr>
      <w:r>
        <w:rPr>
          <w:rFonts w:cs="Arial" w:ascii="Arial" w:hAnsi="Arial"/>
          <w:sz w:val="22"/>
          <w:szCs w:val="22"/>
        </w:rPr>
        <w:t>1. Moratória:</w:t>
      </w:r>
    </w:p>
    <w:p>
      <w:pPr>
        <w:pStyle w:val="Normal"/>
        <w:spacing w:lineRule="auto" w:line="360"/>
        <w:jc w:val="both"/>
        <w:rPr>
          <w:rFonts w:ascii="Arial" w:hAnsi="Arial" w:cs="Arial"/>
          <w:sz w:val="22"/>
          <w:szCs w:val="22"/>
        </w:rPr>
      </w:pPr>
      <w:r>
        <w:rPr>
          <w:rFonts w:cs="Arial" w:ascii="Arial" w:hAnsi="Arial"/>
          <w:sz w:val="22"/>
          <w:szCs w:val="22"/>
        </w:rPr>
        <w:tab/>
        <w:t>a) de 5% (cinco por cento) por dia de atraso injustificado, sobre o valor proporcional da etapa, nos prazos de implantação;</w:t>
      </w:r>
    </w:p>
    <w:p>
      <w:pPr>
        <w:pStyle w:val="Normal"/>
        <w:spacing w:lineRule="auto" w:line="360"/>
        <w:jc w:val="both"/>
        <w:rPr>
          <w:rFonts w:ascii="Arial" w:hAnsi="Arial" w:cs="Arial"/>
          <w:sz w:val="22"/>
          <w:szCs w:val="22"/>
        </w:rPr>
      </w:pPr>
      <w:r>
        <w:rPr>
          <w:rFonts w:cs="Arial" w:ascii="Arial" w:hAnsi="Arial"/>
          <w:sz w:val="22"/>
          <w:szCs w:val="22"/>
        </w:rPr>
        <w:tab/>
        <w:t>b) de 5% (cinco por cento) por dia de atraso no repasse das receitas oriundas dos pagamentos das tarifas do estacionamento rotativo, calculado sobre o valor do repasse;</w:t>
      </w:r>
    </w:p>
    <w:p>
      <w:pPr>
        <w:pStyle w:val="Normal"/>
        <w:spacing w:lineRule="auto" w:line="360"/>
        <w:jc w:val="both"/>
        <w:rPr>
          <w:rFonts w:ascii="Arial" w:hAnsi="Arial" w:cs="Arial"/>
          <w:sz w:val="22"/>
          <w:szCs w:val="22"/>
        </w:rPr>
      </w:pPr>
      <w:r>
        <w:rPr>
          <w:rFonts w:cs="Arial" w:ascii="Arial" w:hAnsi="Arial"/>
          <w:sz w:val="22"/>
          <w:szCs w:val="22"/>
        </w:rPr>
        <w:tab/>
        <w:t>c) de 10% (dez por cento) por dia de atraso injustificado sobre o valor total do contrato, até o máximo de 50% (cinquenta por cento), pela inobservância do prazo fixado para apresentação, suplementação ou reposição da garantia;</w:t>
      </w:r>
    </w:p>
    <w:p>
      <w:pPr>
        <w:pStyle w:val="Normal"/>
        <w:spacing w:lineRule="auto" w:line="360"/>
        <w:jc w:val="both"/>
        <w:rPr>
          <w:rFonts w:ascii="Arial" w:hAnsi="Arial" w:cs="Arial"/>
          <w:sz w:val="22"/>
          <w:szCs w:val="22"/>
        </w:rPr>
      </w:pPr>
      <w:r>
        <w:rPr>
          <w:rFonts w:cs="Arial" w:ascii="Arial" w:hAnsi="Arial"/>
          <w:sz w:val="22"/>
          <w:szCs w:val="22"/>
        </w:rPr>
        <w:tab/>
        <w:t>d) de 10% (dez por cento) por dia de atraso injustificado sobre o valor total do contrato, pelo atraso no atendimento de chamados de suporte e manutenção de equipamentos, sistemas e substituição de mão de obra;</w:t>
      </w:r>
    </w:p>
    <w:p>
      <w:pPr>
        <w:pStyle w:val="Normal"/>
        <w:spacing w:lineRule="auto" w:line="360"/>
        <w:jc w:val="both"/>
        <w:rPr>
          <w:rFonts w:ascii="Arial" w:hAnsi="Arial" w:cs="Arial"/>
          <w:sz w:val="22"/>
          <w:szCs w:val="22"/>
        </w:rPr>
      </w:pPr>
      <w:r>
        <w:rPr>
          <w:rFonts w:cs="Arial" w:ascii="Arial" w:hAnsi="Arial"/>
          <w:sz w:val="22"/>
          <w:szCs w:val="22"/>
        </w:rPr>
        <w:tab/>
        <w:t>e) de 5% (cinco por cento) por dia de atraso injustificado sobre o valor total do contrato, nos casos de não atendimento às demais obrigações contratuais.</w:t>
      </w:r>
    </w:p>
    <w:p>
      <w:pPr>
        <w:pStyle w:val="Normal"/>
        <w:spacing w:lineRule="auto" w:line="360"/>
        <w:jc w:val="both"/>
        <w:rPr>
          <w:rFonts w:ascii="Arial" w:hAnsi="Arial" w:cs="Arial"/>
          <w:sz w:val="22"/>
          <w:szCs w:val="22"/>
        </w:rPr>
      </w:pPr>
      <w:r>
        <w:rPr>
          <w:rFonts w:cs="Arial" w:ascii="Arial" w:hAnsi="Arial"/>
          <w:sz w:val="22"/>
          <w:szCs w:val="22"/>
        </w:rPr>
        <w:t xml:space="preserve">i. O atraso superior a 30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cs="Arial"/>
          <w:sz w:val="22"/>
          <w:szCs w:val="22"/>
        </w:rPr>
      </w:pPr>
      <w:r>
        <w:rPr>
          <w:rFonts w:cs="Arial" w:ascii="Arial" w:hAnsi="Arial"/>
          <w:sz w:val="22"/>
          <w:szCs w:val="22"/>
        </w:rPr>
        <w:t>3. compensatória de 15% (quinze por cento) sobre o valor total do contrato, no caso de inexecução total do objeto.</w:t>
      </w:r>
    </w:p>
    <w:p>
      <w:pPr>
        <w:pStyle w:val="Normal"/>
        <w:spacing w:lineRule="auto" w:line="360"/>
        <w:jc w:val="both"/>
        <w:rPr>
          <w:rFonts w:ascii="Arial" w:hAnsi="Arial" w:cs="Arial"/>
          <w:sz w:val="22"/>
          <w:szCs w:val="22"/>
        </w:rPr>
      </w:pPr>
      <w:r>
        <w:rPr>
          <w:rFonts w:cs="Arial" w:ascii="Arial" w:hAnsi="Arial"/>
          <w:sz w:val="22"/>
          <w:szCs w:val="22"/>
        </w:rPr>
        <w:t>j) A aplicação das sanções previstas neste Contrato não exclui, em hipótese alguma, a obrigação de reparação integral do dano causado ao Contratante (art. 156, §9º, da Lei nº 14.133, de 2021)</w:t>
      </w:r>
    </w:p>
    <w:p>
      <w:pPr>
        <w:pStyle w:val="Normal"/>
        <w:spacing w:lineRule="auto" w:line="360"/>
        <w:jc w:val="both"/>
        <w:rPr>
          <w:rFonts w:ascii="Arial" w:hAnsi="Arial" w:cs="Arial"/>
          <w:sz w:val="22"/>
          <w:szCs w:val="22"/>
        </w:rPr>
      </w:pPr>
      <w:r>
        <w:rPr>
          <w:rFonts w:cs="Arial" w:ascii="Arial" w:hAnsi="Arial"/>
          <w:sz w:val="22"/>
          <w:szCs w:val="22"/>
        </w:rPr>
        <w:t>k) Todas as sanções previstas neste Contrato poderão ser aplicadas cumulativamente com a multa (art. 156, §7º, da Lei nº 14.133, de 2021).</w:t>
      </w:r>
    </w:p>
    <w:p>
      <w:pPr>
        <w:pStyle w:val="Normal"/>
        <w:spacing w:lineRule="auto" w:line="360"/>
        <w:jc w:val="both"/>
        <w:rPr>
          <w:rFonts w:ascii="Arial" w:hAnsi="Arial" w:cs="Arial"/>
          <w:sz w:val="22"/>
          <w:szCs w:val="22"/>
        </w:rPr>
      </w:pPr>
      <w:r>
        <w:rPr>
          <w:rFonts w:cs="Arial" w:ascii="Arial" w:hAnsi="Arial"/>
          <w:sz w:val="22"/>
          <w:szCs w:val="22"/>
        </w:rPr>
        <w:t>l) Antes da aplicação da multa será facultada a defesa do interessado no prazo de 15 (quinze) dias úteis, contado da data de sua intimação (art. 157, da Lei nº 14.133, de 2021)</w:t>
      </w:r>
    </w:p>
    <w:p>
      <w:pPr>
        <w:pStyle w:val="Normal"/>
        <w:spacing w:lineRule="auto" w:line="360"/>
        <w:jc w:val="both"/>
        <w:rPr>
          <w:rFonts w:ascii="Arial" w:hAnsi="Arial" w:cs="Arial"/>
          <w:sz w:val="22"/>
          <w:szCs w:val="22"/>
        </w:rPr>
      </w:pPr>
      <w:r>
        <w:rPr>
          <w:rFonts w:cs="Arial" w:ascii="Arial" w:hAnsi="Arial"/>
          <w:sz w:val="22"/>
          <w:szCs w:val="22"/>
        </w:rPr>
        <w:t>m)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pPr>
        <w:pStyle w:val="Normal"/>
        <w:spacing w:lineRule="auto" w:line="360"/>
        <w:jc w:val="both"/>
        <w:rPr>
          <w:rFonts w:ascii="Arial" w:hAnsi="Arial" w:cs="Arial"/>
          <w:sz w:val="22"/>
          <w:szCs w:val="22"/>
        </w:rPr>
      </w:pPr>
      <w:r>
        <w:rPr>
          <w:rFonts w:cs="Arial" w:ascii="Arial" w:hAnsi="Arial"/>
          <w:sz w:val="22"/>
          <w:szCs w:val="22"/>
        </w:rPr>
        <w:t>n) Previamente ao encaminhamento à cobrança judicial, a multa poderá ser recolhida administrativamente no prazo máximo de 30 (trinta) dias, a contar da data do recebimento da comunicação enviada pela autoridade competente.</w:t>
      </w:r>
    </w:p>
    <w:p>
      <w:pPr>
        <w:pStyle w:val="Normal"/>
        <w:spacing w:lineRule="auto" w:line="360"/>
        <w:jc w:val="both"/>
        <w:rPr>
          <w:rFonts w:ascii="Arial" w:hAnsi="Arial" w:cs="Arial"/>
          <w:sz w:val="22"/>
          <w:szCs w:val="22"/>
        </w:rPr>
      </w:pPr>
      <w:r>
        <w:rPr>
          <w:rFonts w:cs="Arial" w:ascii="Arial" w:hAnsi="Arial"/>
          <w:sz w:val="22"/>
          <w:szCs w:val="22"/>
        </w:rPr>
        <w:t>o)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pPr>
        <w:pStyle w:val="Normal"/>
        <w:spacing w:lineRule="auto" w:line="360"/>
        <w:jc w:val="both"/>
        <w:rPr>
          <w:rFonts w:ascii="Arial" w:hAnsi="Arial" w:cs="Arial"/>
          <w:sz w:val="22"/>
          <w:szCs w:val="22"/>
        </w:rPr>
      </w:pPr>
      <w:r>
        <w:rPr>
          <w:rFonts w:cs="Arial" w:ascii="Arial" w:hAnsi="Arial"/>
          <w:sz w:val="22"/>
          <w:szCs w:val="22"/>
        </w:rPr>
        <w:t>30.3 Na aplicação das sanções serão considerados (art. 156, §1º, da Lei nº 14.133, de 2021):</w:t>
      </w:r>
    </w:p>
    <w:p>
      <w:pPr>
        <w:pStyle w:val="Normal"/>
        <w:spacing w:lineRule="auto" w:line="360"/>
        <w:jc w:val="both"/>
        <w:rPr>
          <w:rFonts w:ascii="Arial" w:hAnsi="Arial" w:cs="Arial"/>
          <w:sz w:val="22"/>
          <w:szCs w:val="22"/>
        </w:rPr>
      </w:pPr>
      <w:r>
        <w:rPr>
          <w:rFonts w:cs="Arial" w:ascii="Arial" w:hAnsi="Arial"/>
          <w:sz w:val="22"/>
          <w:szCs w:val="22"/>
        </w:rPr>
        <w:tab/>
        <w:t>a) a natureza e a gravidade da infração cometida;</w:t>
      </w:r>
    </w:p>
    <w:p>
      <w:pPr>
        <w:pStyle w:val="Normal"/>
        <w:spacing w:lineRule="auto" w:line="360"/>
        <w:jc w:val="both"/>
        <w:rPr>
          <w:rFonts w:ascii="Arial" w:hAnsi="Arial" w:cs="Arial"/>
          <w:sz w:val="22"/>
          <w:szCs w:val="22"/>
        </w:rPr>
      </w:pPr>
      <w:r>
        <w:rPr>
          <w:rFonts w:cs="Arial" w:ascii="Arial" w:hAnsi="Arial"/>
          <w:sz w:val="22"/>
          <w:szCs w:val="22"/>
        </w:rPr>
        <w:tab/>
        <w:t>b) as peculiaridades do caso concreto;</w:t>
      </w:r>
    </w:p>
    <w:p>
      <w:pPr>
        <w:pStyle w:val="Normal"/>
        <w:spacing w:lineRule="auto" w:line="360"/>
        <w:jc w:val="both"/>
        <w:rPr>
          <w:rFonts w:ascii="Arial" w:hAnsi="Arial" w:cs="Arial"/>
          <w:sz w:val="22"/>
          <w:szCs w:val="22"/>
        </w:rPr>
      </w:pPr>
      <w:r>
        <w:rPr>
          <w:rFonts w:cs="Arial" w:ascii="Arial" w:hAnsi="Arial"/>
          <w:sz w:val="22"/>
          <w:szCs w:val="22"/>
        </w:rPr>
        <w:tab/>
        <w:t>c) as circunstâncias agravantes ou atenuantes;</w:t>
      </w:r>
    </w:p>
    <w:p>
      <w:pPr>
        <w:pStyle w:val="Normal"/>
        <w:spacing w:lineRule="auto" w:line="360"/>
        <w:jc w:val="both"/>
        <w:rPr>
          <w:rFonts w:ascii="Arial" w:hAnsi="Arial" w:cs="Arial"/>
          <w:sz w:val="22"/>
          <w:szCs w:val="22"/>
        </w:rPr>
      </w:pPr>
      <w:r>
        <w:rPr>
          <w:rFonts w:cs="Arial" w:ascii="Arial" w:hAnsi="Arial"/>
          <w:sz w:val="22"/>
          <w:szCs w:val="22"/>
        </w:rPr>
        <w:tab/>
        <w:t>d) os danos que dela provierem para o Contratante;</w:t>
      </w:r>
    </w:p>
    <w:p>
      <w:pPr>
        <w:pStyle w:val="Normal"/>
        <w:spacing w:lineRule="auto" w:line="360"/>
        <w:jc w:val="both"/>
        <w:rPr>
          <w:rFonts w:ascii="Arial" w:hAnsi="Arial" w:cs="Arial"/>
          <w:sz w:val="22"/>
          <w:szCs w:val="22"/>
        </w:rPr>
      </w:pPr>
      <w:r>
        <w:rPr>
          <w:rFonts w:cs="Arial" w:ascii="Arial" w:hAnsi="Arial"/>
          <w:sz w:val="22"/>
          <w:szCs w:val="22"/>
        </w:rPr>
        <w:tab/>
        <w:t>e) a implantação ou o aperfeiçoamento de programa de integridade, conforme normas e orientações dos órgãos de controle.</w:t>
      </w:r>
    </w:p>
    <w:p>
      <w:pPr>
        <w:pStyle w:val="Normal"/>
        <w:spacing w:lineRule="auto" w:line="360"/>
        <w:jc w:val="both"/>
        <w:rPr>
          <w:rFonts w:ascii="Arial" w:hAnsi="Arial" w:cs="Arial"/>
          <w:sz w:val="22"/>
          <w:szCs w:val="22"/>
        </w:rPr>
      </w:pPr>
      <w:r>
        <w:rPr>
          <w:rFonts w:cs="Arial" w:ascii="Arial" w:hAnsi="Arial"/>
          <w:sz w:val="22"/>
          <w:szCs w:val="22"/>
        </w:rPr>
        <w:t>p)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Normal"/>
        <w:spacing w:lineRule="auto" w:line="360"/>
        <w:jc w:val="both"/>
        <w:rPr>
          <w:rFonts w:ascii="Arial" w:hAnsi="Arial" w:cs="Arial"/>
          <w:sz w:val="22"/>
          <w:szCs w:val="22"/>
        </w:rPr>
      </w:pPr>
      <w:r>
        <w:rPr>
          <w:rFonts w:cs="Arial" w:ascii="Arial" w:hAnsi="Arial"/>
          <w:sz w:val="22"/>
          <w:szCs w:val="22"/>
        </w:rPr>
        <w:t>q)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pPr>
        <w:pStyle w:val="Normal"/>
        <w:spacing w:lineRule="auto" w:line="360"/>
        <w:jc w:val="both"/>
        <w:rPr>
          <w:rFonts w:ascii="Arial" w:hAnsi="Arial" w:cs="Arial"/>
          <w:sz w:val="22"/>
          <w:szCs w:val="22"/>
        </w:rPr>
      </w:pPr>
      <w:r>
        <w:rPr>
          <w:rFonts w:cs="Arial" w:ascii="Arial" w:hAnsi="Arial"/>
          <w:sz w:val="22"/>
          <w:szCs w:val="22"/>
        </w:rPr>
        <w:t>r)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Normal"/>
        <w:spacing w:lineRule="auto" w:line="360"/>
        <w:jc w:val="both"/>
        <w:rPr>
          <w:rFonts w:ascii="Arial" w:hAnsi="Arial" w:cs="Arial"/>
          <w:sz w:val="22"/>
          <w:szCs w:val="22"/>
        </w:rPr>
      </w:pPr>
      <w:r>
        <w:rPr>
          <w:rFonts w:cs="Arial" w:ascii="Arial" w:hAnsi="Arial"/>
          <w:sz w:val="22"/>
          <w:szCs w:val="22"/>
        </w:rPr>
        <w:t>s) As sanções de impedimento de licitar e contratar e declaração de inidoneidade para licitar ou contratar são passíveis de reabilitação na forma do art. 163 da Lei nº 14.133/21.</w:t>
      </w:r>
    </w:p>
    <w:p>
      <w:pPr>
        <w:pStyle w:val="Normal"/>
        <w:spacing w:lineRule="auto" w:line="360"/>
        <w:jc w:val="both"/>
        <w:rPr>
          <w:rFonts w:ascii="Arial" w:hAnsi="Arial" w:cs="Arial"/>
          <w:sz w:val="22"/>
          <w:szCs w:val="22"/>
        </w:rPr>
      </w:pPr>
      <w:r>
        <w:rPr>
          <w:rFonts w:cs="Arial" w:ascii="Arial" w:hAnsi="Arial"/>
          <w:sz w:val="22"/>
          <w:szCs w:val="22"/>
        </w:rPr>
        <w:t xml:space="preserve">t)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t>31. PROVA CONCEITO</w:t>
      </w:r>
    </w:p>
    <w:p>
      <w:pPr>
        <w:pStyle w:val="Normal"/>
        <w:spacing w:lineRule="auto" w:line="360"/>
        <w:ind w:right="-54"/>
        <w:jc w:val="both"/>
        <w:rPr>
          <w:rFonts w:ascii="Arial" w:hAnsi="Arial" w:cs="Arial"/>
          <w:sz w:val="22"/>
          <w:szCs w:val="22"/>
        </w:rPr>
      </w:pPr>
      <w:r>
        <w:rPr>
          <w:rFonts w:cs="Arial" w:ascii="Arial" w:hAnsi="Arial"/>
          <w:sz w:val="22"/>
          <w:szCs w:val="22"/>
        </w:rPr>
        <w:tab/>
        <w:t xml:space="preserve">O licitante declarado provisoriamente vencedor deverá ser aprovado em Prova Conceito que será realizada conforme diretrizes constantes no </w:t>
      </w:r>
      <w:r>
        <w:rPr>
          <w:rFonts w:cs="Arial" w:ascii="Arial" w:hAnsi="Arial"/>
          <w:b/>
          <w:bCs/>
          <w:sz w:val="22"/>
          <w:szCs w:val="22"/>
        </w:rPr>
        <w:t>anexo I.I, no prazo máximo de até 07 (sete) dias úteis contados da sessão de processamento da licitação.</w:t>
      </w:r>
    </w:p>
    <w:p>
      <w:pPr>
        <w:pStyle w:val="Normal"/>
        <w:spacing w:lineRule="auto" w:line="360"/>
        <w:ind w:right="-54"/>
        <w:jc w:val="both"/>
        <w:rPr>
          <w:rFonts w:ascii="Arial" w:hAnsi="Arial" w:cs="Arial"/>
          <w:sz w:val="22"/>
          <w:szCs w:val="22"/>
        </w:rPr>
      </w:pPr>
      <w:r>
        <w:rPr>
          <w:rFonts w:cs="Arial" w:ascii="Arial" w:hAnsi="Arial"/>
          <w:sz w:val="22"/>
          <w:szCs w:val="22"/>
        </w:rPr>
        <w:t>1. O licitante deverá apresentar todos os certificados de homologação da ANATEL referentes aos produtos que utilizam comunicação sem fio, tais como modems GPRS, roteadores Wi-Fi, dispositivos Bluetooth, entre outros.</w:t>
      </w:r>
    </w:p>
    <w:p>
      <w:pPr>
        <w:pStyle w:val="Normal"/>
        <w:spacing w:lineRule="auto" w:line="360"/>
        <w:ind w:right="-54"/>
        <w:jc w:val="both"/>
        <w:rPr>
          <w:rFonts w:ascii="Arial" w:hAnsi="Arial" w:cs="Arial"/>
          <w:sz w:val="22"/>
          <w:szCs w:val="22"/>
        </w:rPr>
      </w:pPr>
      <w:r>
        <w:rPr>
          <w:rFonts w:cs="Arial" w:ascii="Arial" w:hAnsi="Arial"/>
          <w:sz w:val="22"/>
          <w:szCs w:val="22"/>
        </w:rPr>
        <w:tab/>
        <w:t xml:space="preserve">Caso qualquer equipamento exigido para a demonstração esteja com o certificado de homologação suspenso ou cancelado, ou ainda que não seja apresentado no local, os testes serão automaticamente cancelados, implicando a imediata desclassificação da licitante. </w:t>
      </w:r>
    </w:p>
    <w:p>
      <w:pPr>
        <w:pStyle w:val="Normal"/>
        <w:spacing w:lineRule="auto" w:line="360"/>
        <w:ind w:right="-54"/>
        <w:jc w:val="both"/>
        <w:rPr>
          <w:rFonts w:ascii="Arial" w:hAnsi="Arial" w:cs="Arial"/>
          <w:sz w:val="22"/>
          <w:szCs w:val="22"/>
        </w:rPr>
      </w:pPr>
      <w:r>
        <w:rPr>
          <w:rFonts w:cs="Arial" w:ascii="Arial" w:hAnsi="Arial"/>
          <w:sz w:val="22"/>
          <w:szCs w:val="22"/>
        </w:rPr>
        <w:tab/>
        <w:t>Esta exigência visa comprovar o atendimento à Resolução nº 715, de 23 de outubro de 2019, da Agência Nacional de Telecomunicações (ANATEL), que em seu Anexo prevê penalidades para qualquer usuário de produtos não homologados, incluindo advertência, multa e apreensão dos equipamentos. A exigência de homologação é obrigatória para garantir a segurança e conformidade dos dispositivos de telecomunicações em território nacional.</w:t>
      </w:r>
    </w:p>
    <w:p>
      <w:pPr>
        <w:pStyle w:val="Normal"/>
        <w:spacing w:lineRule="auto" w:line="360"/>
        <w:ind w:right="-54"/>
        <w:jc w:val="both"/>
        <w:rPr>
          <w:rFonts w:ascii="Arial" w:hAnsi="Arial" w:cs="Arial"/>
          <w:sz w:val="22"/>
          <w:szCs w:val="22"/>
        </w:rPr>
      </w:pPr>
      <w:r>
        <w:rPr>
          <w:rFonts w:cs="Arial" w:ascii="Arial" w:hAnsi="Arial"/>
          <w:sz w:val="22"/>
          <w:szCs w:val="22"/>
        </w:rPr>
        <w:t>2. A empresa licitante deverá apresentar documento por escrito na qual se compromete a armazenar e disponibilizar pelo tempo do contrato os dados e as imagens geradas no decorrer da prestação do serviço.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u w:val="single"/>
        </w:rPr>
        <w:t>32. DA VISITA TÉCNICA FACULTATIVA</w:t>
      </w:r>
    </w:p>
    <w:p>
      <w:pPr>
        <w:pStyle w:val="Normal"/>
        <w:spacing w:lineRule="auto" w:line="360"/>
        <w:ind w:right="-54"/>
        <w:jc w:val="both"/>
        <w:rPr>
          <w:rFonts w:ascii="Arial" w:hAnsi="Arial" w:cs="Arial"/>
          <w:sz w:val="22"/>
          <w:szCs w:val="22"/>
        </w:rPr>
      </w:pPr>
      <w:r>
        <w:rPr>
          <w:rFonts w:cs="Arial" w:ascii="Arial" w:hAnsi="Arial"/>
          <w:b/>
          <w:bCs/>
          <w:sz w:val="22"/>
          <w:szCs w:val="22"/>
        </w:rPr>
        <w:tab/>
      </w:r>
      <w:r>
        <w:rPr>
          <w:rFonts w:cs="Arial" w:ascii="Arial" w:hAnsi="Arial"/>
          <w:sz w:val="22"/>
          <w:szCs w:val="22"/>
        </w:rPr>
        <w:t>O licitante que optar por realizar vistoria prévia terá disponibilizado pela Administração data e horário exclusivos, a ser agendado, através do (11) 3183-0760, diretamente no Departamento de Trânsito, de modo que seu agendamento não coincida com o agendamento de outros licitantes.</w:t>
      </w:r>
    </w:p>
    <w:p>
      <w:pPr>
        <w:pStyle w:val="Normal"/>
        <w:spacing w:lineRule="auto" w:line="360"/>
        <w:ind w:right="-54"/>
        <w:jc w:val="both"/>
        <w:rPr>
          <w:rFonts w:ascii="Arial" w:hAnsi="Arial" w:cs="Arial"/>
          <w:sz w:val="22"/>
          <w:szCs w:val="22"/>
        </w:rPr>
      </w:pPr>
      <w:r>
        <w:rPr>
          <w:rFonts w:cs="Arial" w:ascii="Arial" w:hAnsi="Arial"/>
          <w:sz w:val="22"/>
          <w:szCs w:val="22"/>
        </w:rPr>
        <w:tab/>
        <w:t>Caso o licitante opte por não realizar vistoria, poderá substituir a declaração exigida no presente item por declaração formal assinada pelo seu responsável técnico acerca do conhecimento pleno das condições e peculiaridades da contratação.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t>33. DA INTEROPERABILIDADE E INTEGRAÇÃO</w:t>
      </w:r>
    </w:p>
    <w:p>
      <w:pPr>
        <w:pStyle w:val="Normal"/>
        <w:spacing w:lineRule="auto" w:line="360"/>
        <w:ind w:right="-54"/>
        <w:jc w:val="both"/>
        <w:rPr>
          <w:rFonts w:ascii="Arial" w:hAnsi="Arial" w:cs="Arial"/>
          <w:sz w:val="22"/>
          <w:szCs w:val="22"/>
        </w:rPr>
      </w:pPr>
      <w:r>
        <w:rPr>
          <w:rFonts w:cs="Arial" w:ascii="Arial" w:hAnsi="Arial"/>
          <w:sz w:val="22"/>
          <w:szCs w:val="22"/>
        </w:rPr>
        <w:t>Os sistemas a serem implantados pela Contratada devem atender às exigências previstas no edital, e devem sempre:</w:t>
      </w:r>
    </w:p>
    <w:p>
      <w:pPr>
        <w:pStyle w:val="Normal"/>
        <w:spacing w:lineRule="auto" w:line="360"/>
        <w:ind w:right="-54"/>
        <w:jc w:val="both"/>
        <w:rPr>
          <w:rFonts w:ascii="Arial" w:hAnsi="Arial" w:cs="Arial"/>
          <w:sz w:val="22"/>
          <w:szCs w:val="22"/>
        </w:rPr>
      </w:pPr>
      <w:r>
        <w:rPr>
          <w:rFonts w:cs="Arial" w:ascii="Arial" w:hAnsi="Arial"/>
          <w:sz w:val="22"/>
          <w:szCs w:val="22"/>
        </w:rPr>
        <w:t>1. Se comunicar com o sistema em vigor do Dep. de Mobilidade e Trânsito, mesmo que esse altere ao decorrer da vigência do contrato;</w:t>
      </w:r>
    </w:p>
    <w:p>
      <w:pPr>
        <w:pStyle w:val="Normal"/>
        <w:spacing w:lineRule="auto" w:line="360"/>
        <w:ind w:right="-54"/>
        <w:jc w:val="both"/>
        <w:rPr>
          <w:rFonts w:ascii="Arial" w:hAnsi="Arial" w:cs="Arial"/>
          <w:sz w:val="22"/>
          <w:szCs w:val="22"/>
        </w:rPr>
      </w:pPr>
      <w:r>
        <w:rPr>
          <w:rFonts w:cs="Arial" w:ascii="Arial" w:hAnsi="Arial"/>
          <w:sz w:val="22"/>
          <w:szCs w:val="22"/>
        </w:rPr>
        <w:t>2. Ser vinculado ao sistema da PRODESP;</w:t>
      </w:r>
    </w:p>
    <w:p>
      <w:pPr>
        <w:pStyle w:val="Normal"/>
        <w:spacing w:lineRule="auto" w:line="360"/>
        <w:ind w:right="-54"/>
        <w:jc w:val="both"/>
        <w:rPr>
          <w:rFonts w:ascii="Arial" w:hAnsi="Arial" w:cs="Arial"/>
          <w:sz w:val="22"/>
          <w:szCs w:val="22"/>
        </w:rPr>
      </w:pPr>
      <w:r>
        <w:rPr>
          <w:rFonts w:cs="Arial" w:ascii="Arial" w:hAnsi="Arial"/>
          <w:sz w:val="22"/>
          <w:szCs w:val="22"/>
        </w:rPr>
        <w:t>3. Apresentar as informações dos veículos fiscalizados de acordo com a base de dados nacional vigente;</w:t>
      </w:r>
    </w:p>
    <w:p>
      <w:pPr>
        <w:pStyle w:val="Normal"/>
        <w:spacing w:lineRule="auto" w:line="360"/>
        <w:ind w:right="-54"/>
        <w:jc w:val="both"/>
        <w:rPr>
          <w:rFonts w:ascii="Arial" w:hAnsi="Arial" w:cs="Arial"/>
          <w:sz w:val="22"/>
          <w:szCs w:val="22"/>
        </w:rPr>
      </w:pPr>
      <w:r>
        <w:rPr>
          <w:rFonts w:cs="Arial" w:ascii="Arial" w:hAnsi="Arial"/>
          <w:sz w:val="22"/>
          <w:szCs w:val="22"/>
        </w:rPr>
        <w:t>4. Ser compatível com os sistemas de processamento de multas utilizados pelo Departamento de Trânsito.</w:t>
      </w:r>
    </w:p>
    <w:p>
      <w:pPr>
        <w:pStyle w:val="Normal"/>
        <w:spacing w:lineRule="auto" w:line="360"/>
        <w:ind w:right="-54"/>
        <w:jc w:val="both"/>
        <w:rPr>
          <w:rFonts w:ascii="Arial" w:hAnsi="Arial" w:cs="Arial"/>
          <w:sz w:val="22"/>
          <w:szCs w:val="22"/>
        </w:rPr>
      </w:pPr>
      <w:r>
        <w:rPr>
          <w:rFonts w:cs="Arial" w:ascii="Arial" w:hAnsi="Arial"/>
          <w:sz w:val="22"/>
          <w:szCs w:val="22"/>
        </w:rPr>
        <w:t xml:space="preserve">A solução deverá ser plenamente integrada ao sistema de processamento de multas da Prefeitura de Itatiba, conforme </w:t>
      </w:r>
      <w:r>
        <w:rPr>
          <w:rFonts w:cs="Arial" w:ascii="Arial" w:hAnsi="Arial"/>
          <w:b/>
          <w:bCs/>
          <w:sz w:val="22"/>
          <w:szCs w:val="22"/>
        </w:rPr>
        <w:t>anexo II</w:t>
      </w:r>
      <w:r>
        <w:rPr>
          <w:rFonts w:cs="Arial" w:ascii="Arial" w:hAnsi="Arial"/>
          <w:sz w:val="22"/>
          <w:szCs w:val="22"/>
        </w:rPr>
        <w:t xml:space="preserve"> do presente. Essa integração é essencial para assegurar a conformidade das autuações, a rastreabilidade das informações e o adequado tratamento legal das infrações registradas.</w:t>
      </w:r>
    </w:p>
    <w:p>
      <w:pPr>
        <w:pStyle w:val="Normal"/>
        <w:spacing w:lineRule="auto" w:line="360"/>
        <w:ind w:right="-54"/>
        <w:jc w:val="both"/>
        <w:rPr>
          <w:rFonts w:ascii="Arial" w:hAnsi="Arial" w:cs="Arial"/>
          <w:sz w:val="22"/>
          <w:szCs w:val="22"/>
        </w:rPr>
      </w:pPr>
      <w:r>
        <w:rPr>
          <w:rFonts w:cs="Arial" w:ascii="Arial" w:hAnsi="Arial"/>
          <w:sz w:val="22"/>
          <w:szCs w:val="22"/>
        </w:rPr>
        <w:t>O sistema deverá enviar automaticamente todos os registros de irregularidades, acompanhados de suas respectivas imagens comprobatórias, conforme os padrões definidos.</w:t>
      </w:r>
    </w:p>
    <w:p>
      <w:pPr>
        <w:pStyle w:val="Normal"/>
        <w:spacing w:lineRule="auto" w:line="360"/>
        <w:ind w:right="-54"/>
        <w:jc w:val="both"/>
        <w:rPr>
          <w:rFonts w:ascii="Arial" w:hAnsi="Arial" w:cs="Arial"/>
          <w:sz w:val="22"/>
          <w:szCs w:val="22"/>
        </w:rPr>
      </w:pPr>
      <w:r>
        <w:rPr>
          <w:rFonts w:cs="Arial" w:ascii="Arial" w:hAnsi="Arial"/>
          <w:sz w:val="22"/>
          <w:szCs w:val="22"/>
        </w:rPr>
        <w:t>A empresa deverá prever flexibilidade na arquitetura do sistema para viabilizar futuras integrações que venham a ser solicitadas pela Administração Municipal, especialmente no que se refere a: Controle e gestão de usuários do sistema, Dados de utilização das vagas, Informações de monitoramento em tempo real, informações financeiras e Funcionalidades de apoio à fiscalização eletrônica ou manual.</w:t>
      </w:r>
    </w:p>
    <w:p>
      <w:pPr>
        <w:pStyle w:val="Normal"/>
        <w:spacing w:lineRule="auto" w:line="360"/>
        <w:ind w:right="-54"/>
        <w:jc w:val="both"/>
        <w:rPr>
          <w:rFonts w:ascii="Arial" w:hAnsi="Arial" w:cs="Arial"/>
          <w:sz w:val="22"/>
          <w:szCs w:val="22"/>
        </w:rPr>
      </w:pPr>
      <w:r>
        <w:rPr>
          <w:rFonts w:cs="Arial" w:ascii="Arial" w:hAnsi="Arial"/>
          <w:sz w:val="22"/>
          <w:szCs w:val="22"/>
        </w:rPr>
        <w:t xml:space="preserve">A PREFEITURA poderá solicitar, à CONTRATADA, atualizações que atendam as leis vigentes de qualquer esfera governamental e as modernizações tecnológicas de novas integrações. </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u w:val="single"/>
        </w:rPr>
        <w:t>34. PARTICIPAÇÃO EM CONSÓRCIO E SUBCONTRATAÇÃO</w:t>
      </w:r>
    </w:p>
    <w:p>
      <w:pPr>
        <w:pStyle w:val="Normal"/>
        <w:spacing w:lineRule="auto" w:line="360"/>
        <w:ind w:right="-54"/>
        <w:jc w:val="both"/>
        <w:rPr>
          <w:rFonts w:ascii="Arial" w:hAnsi="Arial" w:cs="Arial"/>
          <w:sz w:val="22"/>
          <w:szCs w:val="22"/>
        </w:rPr>
      </w:pPr>
      <w:r>
        <w:rPr>
          <w:rFonts w:cs="Arial" w:ascii="Arial" w:hAnsi="Arial"/>
          <w:sz w:val="22"/>
          <w:szCs w:val="22"/>
        </w:rPr>
        <w:t>Considerando a complexidade da contratação, fica autoriza a participação de empresas em consórcio, bem como a subcontratação do serviço de instalação de placas de sinalização vertical, georreferenciamento e divulgação do sistema.</w:t>
      </w:r>
    </w:p>
    <w:p>
      <w:pPr>
        <w:pStyle w:val="Nivel01"/>
        <w:numPr>
          <w:ilvl w:val="0"/>
          <w:numId w:val="0"/>
        </w:numPr>
        <w:spacing w:lineRule="auto" w:line="360"/>
        <w:ind w:hanging="360" w:left="360"/>
        <w:rPr>
          <w:color w:val="auto"/>
          <w:sz w:val="22"/>
          <w:szCs w:val="22"/>
          <w:u w:val="single"/>
        </w:rPr>
      </w:pPr>
      <w:r>
        <w:rPr>
          <w:color w:val="auto"/>
          <w:sz w:val="22"/>
          <w:szCs w:val="22"/>
          <w:u w:val="single"/>
        </w:rPr>
        <w:t>35 - DA CONTRATAÇÃO</w:t>
      </w:r>
    </w:p>
    <w:p>
      <w:pPr>
        <w:pStyle w:val="ListParagraphdescritivo"/>
        <w:spacing w:lineRule="auto" w:line="360" w:before="0" w:after="0"/>
        <w:ind w:hanging="0" w:left="0"/>
        <w:rPr>
          <w:rFonts w:ascii="Arial" w:hAnsi="Arial" w:cs="Arial"/>
          <w:color w:val="auto"/>
        </w:rPr>
      </w:pPr>
      <w:r>
        <w:rPr>
          <w:rFonts w:cs="Arial" w:ascii="Arial" w:hAnsi="Arial"/>
          <w:color w:val="auto"/>
        </w:rPr>
        <w:t>35.1 -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ListParagraphdescritivo"/>
        <w:numPr>
          <w:ilvl w:val="0"/>
          <w:numId w:val="5"/>
        </w:numPr>
        <w:spacing w:lineRule="auto" w:line="360" w:before="0" w:after="0"/>
        <w:rPr>
          <w:rFonts w:ascii="Arial" w:hAnsi="Arial" w:cs="Arial"/>
          <w:color w:val="auto"/>
        </w:rPr>
      </w:pPr>
      <w:r>
        <w:rPr>
          <w:rFonts w:cs="Arial" w:ascii="Arial" w:hAnsi="Arial"/>
          <w:color w:val="auto"/>
        </w:rPr>
        <w:t>Indicação, por escrito, de preposto que a representará a CONTRATADA;</w:t>
      </w:r>
    </w:p>
    <w:p>
      <w:pPr>
        <w:pStyle w:val="ListParagraphdescritivo"/>
        <w:numPr>
          <w:ilvl w:val="0"/>
          <w:numId w:val="5"/>
        </w:numPr>
        <w:spacing w:lineRule="auto" w:line="360" w:before="0" w:after="0"/>
        <w:rPr>
          <w:rFonts w:ascii="Arial" w:hAnsi="Arial" w:cs="Arial"/>
          <w:color w:val="auto"/>
        </w:rPr>
      </w:pPr>
      <w:r>
        <w:rPr>
          <w:rFonts w:cs="Arial" w:ascii="Arial" w:hAnsi="Arial"/>
          <w:color w:val="auto"/>
        </w:rPr>
        <w:t>Indicação, por escrito, de endereço de e-mail para a realização de quaisquer comunicações sobre a execução do contrato;</w:t>
      </w:r>
    </w:p>
    <w:p>
      <w:pPr>
        <w:pStyle w:val="ListParagraphdescritivo"/>
        <w:numPr>
          <w:ilvl w:val="0"/>
          <w:numId w:val="5"/>
        </w:numPr>
        <w:spacing w:lineRule="auto" w:line="360" w:before="0" w:after="0"/>
        <w:rPr>
          <w:rFonts w:ascii="Arial" w:hAnsi="Arial" w:cs="Arial"/>
          <w:color w:val="auto"/>
        </w:rPr>
      </w:pPr>
      <w:r>
        <w:rPr>
          <w:rFonts w:cs="Arial" w:ascii="Arial" w:hAnsi="Arial"/>
          <w:color w:val="auto"/>
        </w:rPr>
        <w:t>Comprovante de depósito da garantia</w:t>
      </w:r>
    </w:p>
    <w:p>
      <w:pPr>
        <w:pStyle w:val="ListParagraphdescritivo"/>
        <w:numPr>
          <w:ilvl w:val="0"/>
          <w:numId w:val="5"/>
        </w:numPr>
        <w:spacing w:lineRule="auto" w:line="360" w:before="0" w:after="0"/>
        <w:rPr>
          <w:rFonts w:ascii="Arial" w:hAnsi="Arial" w:cs="Arial"/>
          <w:color w:val="auto"/>
        </w:rPr>
      </w:pPr>
      <w:r>
        <w:rPr>
          <w:rFonts w:cs="Arial" w:ascii="Arial" w:hAnsi="Arial"/>
          <w:color w:val="auto"/>
        </w:rPr>
        <w:t>Apresentar o(s) documento(s) de identidade, R.G. e CPF, do(s) sócio(s) ou procurador(es) que assinará(ao) o contrato com a Prefeitura do Município de Itatiba;</w:t>
      </w:r>
    </w:p>
    <w:p>
      <w:pPr>
        <w:pStyle w:val="ListParagraphdescritivo"/>
        <w:numPr>
          <w:ilvl w:val="0"/>
          <w:numId w:val="5"/>
        </w:numPr>
        <w:spacing w:lineRule="auto" w:line="360" w:before="0" w:after="0"/>
        <w:rPr>
          <w:rFonts w:ascii="Arial" w:hAnsi="Arial" w:cs="Arial"/>
          <w:color w:val="auto"/>
        </w:rPr>
      </w:pPr>
      <w:r>
        <w:rPr>
          <w:rFonts w:cs="Arial" w:ascii="Arial" w:hAnsi="Arial"/>
          <w:color w:val="auto"/>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ivel01"/>
        <w:numPr>
          <w:ilvl w:val="0"/>
          <w:numId w:val="0"/>
        </w:numPr>
        <w:tabs>
          <w:tab w:val="clear" w:pos="567"/>
        </w:tabs>
        <w:spacing w:lineRule="auto" w:line="360" w:before="0" w:after="0"/>
        <w:ind w:hanging="0" w:left="0"/>
        <w:rPr>
          <w:color w:val="auto"/>
          <w:sz w:val="22"/>
          <w:szCs w:val="22"/>
        </w:rPr>
      </w:pPr>
      <w:r>
        <w:rPr>
          <w:color w:val="auto"/>
          <w:sz w:val="22"/>
          <w:szCs w:val="22"/>
        </w:rPr>
        <w:t>36 - ADEQUAÇÃO ORÇAMENTÁRIA</w:t>
      </w:r>
    </w:p>
    <w:p>
      <w:pPr>
        <w:pStyle w:val="Normal"/>
        <w:spacing w:lineRule="auto" w:line="360"/>
        <w:jc w:val="both"/>
        <w:rPr>
          <w:rFonts w:ascii="Arial" w:hAnsi="Arial" w:cs="Arial"/>
          <w:sz w:val="22"/>
          <w:szCs w:val="22"/>
        </w:rPr>
      </w:pPr>
      <w:bookmarkStart w:id="41" w:name="_Hlk173504056"/>
      <w:r>
        <w:rPr>
          <w:rFonts w:cs="Arial" w:ascii="Arial" w:hAnsi="Arial"/>
          <w:sz w:val="22"/>
          <w:szCs w:val="22"/>
        </w:rPr>
        <w:t>36.1 - Para fazer frente às despesas do ajuste, existem recursos orçamentários reservados, onerando as dotações classificadas nas Naturezas das Despesas</w:t>
      </w:r>
      <w:bookmarkStart w:id="42" w:name="_Hlk40868929"/>
      <w:r>
        <w:rPr>
          <w:rFonts w:cs="Arial" w:ascii="Arial" w:hAnsi="Arial"/>
          <w:sz w:val="22"/>
          <w:szCs w:val="22"/>
        </w:rPr>
        <w:t>: nº 3.3.90.39.00 – Outros serviços de terceiros – Pessoa Jurídica; Unidades Orçamentárias: 02.19.04 – Secretaria Municipal de Obras/Departamento de Mobilidade e Trânsito. Classificações Funcionais:</w:t>
      </w:r>
      <w:bookmarkEnd w:id="42"/>
      <w:r>
        <w:rPr>
          <w:rFonts w:cs="Arial" w:ascii="Arial" w:hAnsi="Arial"/>
          <w:sz w:val="22"/>
          <w:szCs w:val="22"/>
        </w:rPr>
        <w:t xml:space="preserve"> </w:t>
      </w:r>
      <w:bookmarkEnd w:id="41"/>
      <w:r>
        <w:rPr>
          <w:rFonts w:cs="Arial" w:ascii="Arial" w:hAnsi="Arial"/>
          <w:sz w:val="22"/>
          <w:szCs w:val="22"/>
        </w:rPr>
        <w:t>15.452.0003.2.117 – Manutenção da Secretaria de Obras/Mobilidade Urbana</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8"/>
          <w:tab w:val="left" w:pos="735" w:leader="none"/>
        </w:tabs>
        <w:spacing w:lineRule="auto" w:line="276" w:before="0" w:after="0"/>
        <w:contextualSpacing/>
        <w:jc w:val="both"/>
        <w:rPr>
          <w:rFonts w:ascii="Arial" w:hAnsi="Arial" w:cs="Arial"/>
          <w:b/>
          <w:bCs/>
          <w:sz w:val="24"/>
          <w:szCs w:val="24"/>
          <w:u w:val="single"/>
        </w:rPr>
      </w:pPr>
      <w:r>
        <w:rPr>
          <w:rFonts w:cs="Arial" w:ascii="Arial" w:hAnsi="Arial"/>
          <w:b/>
          <w:bCs/>
          <w:sz w:val="24"/>
          <w:szCs w:val="24"/>
          <w:u w:val="single"/>
        </w:rPr>
        <w:t>Anexo I.I</w:t>
      </w:r>
    </w:p>
    <w:p>
      <w:pPr>
        <w:pStyle w:val="Normal"/>
        <w:tabs>
          <w:tab w:val="clear" w:pos="708"/>
          <w:tab w:val="left" w:pos="735" w:leader="none"/>
        </w:tabs>
        <w:spacing w:lineRule="auto" w:line="276" w:before="0" w:after="0"/>
        <w:contextualSpacing/>
        <w:jc w:val="both"/>
        <w:rPr>
          <w:rFonts w:ascii="Arial" w:hAnsi="Arial" w:cs="Arial"/>
          <w:sz w:val="24"/>
          <w:szCs w:val="24"/>
        </w:rPr>
      </w:pPr>
      <w:r>
        <w:rPr>
          <w:rFonts w:cs="Arial" w:ascii="Arial" w:hAnsi="Arial"/>
          <w:b/>
          <w:bCs/>
          <w:sz w:val="24"/>
          <w:szCs w:val="24"/>
          <w:u w:val="single"/>
        </w:rPr>
        <w:t>PROVA DE CONCEITO</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 licitante classificada em primeiro lugar na fase de julgamento da licitação deverá comprovar, por meio de prova de conceito (demonstração prática), que os equipamentos e sistemas ofertados atendem integralmente às especificações deste Termo de Referência, quanto aos requisitos de funcionalidade, qualidade, durabilidade e desempenho</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 demonstração será conduzida exclusivamente com base nos itens descritos neste instrumento, sendo utilizados como critérios objetivos de verificação de conformidade durante a avaliação técnica da proposta.</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O planejamento da demonstração observará o disposto neste edital e terá duração suficiente para que a Comissão Técnica Avaliadora verifique adequadamente o funcionamento e atendimento das especificações exigidas.</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Para cada item avaliado, os membros da Comissão Técnica registrarão o resultado em campo específico, indicando se foi Aprovado (A) ou Não Aprovado (NA).</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Os testes deverão ser realizados com todos os equipamentos, sistemas e componentes solicitados, devidamente configurados conforme as regras e parâmetros estabelecidos neste Edital.</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Não serão admitidos testes em ambientes simulados (homologação ou offline), sendo obrigatória a demonstração em ambiente real, que permita verificar o funcionamento pleno da solução ofertada.</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As transações financeiras realizadas durante os testes (débito e PIX) deverão ser comprovadas mediante apresentação de extrato bancário, para validação dos pagamentos.</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 Comissão Técnica observará a sequência dos itens estabelecidos neste Roteiro de Prova de Conceito, podendo solicitar, de forma individualizada, a demonstração de cada funcionalidade ou equipamento.</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Todos os equipamentos apresentados deverão estar identificados por etiquetas contendo sua denominação e serão analisados pela Comissão Técnica quanto à conformidade com os itens exigidos no edital.</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 empresa poderá repetir qualquer teste malsucedido, desde que dentro do período agendado para a avaliação. Caso não obtenha resultado satisfatório em qualquer item ou não cumpra integralmente as exigências dentro do prazo, será desclassificada. Nesse caso, será convocada a licitante subsequente, respeitando a ordem de classificação.</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No início das sessões de testes, a licitante deverá apresentar todos os certificados de homologação da ANATEL referentes aos produtos que utilizam comunicação sem fio, tais como modems GPRS, roteadores Wi-Fi, dispositivos Bluetooth, entre outros. Caso qualquer equipamento exigido para a demonstração esteja com o certificado de homologação suspenso ou cancelado, ou ainda que não seja apresentado no local, os testes serão automaticamente cancelados, implicando a imediata desclassificação da licitante. Esta exigência visa comprovar o atendimento à Resolução nº 715, de 23 de outubro de 2019, da Agência Nacional de Telecomunicações (ANATEL), que em seu Anexo prevê penalidades para qualquer usuário de produtos não homologados, incluindo advertência, multa e apreensão dos equipamentos. A exigência de homologação é obrigatória para garantir a segurança e conformidade dos dispositivos de telecomunicações em território nacional.</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Antes do início dos testes, será realizada a verificação preliminar das especificações técnicas nos manuais e certificações entregues. Havendo desconformidade com os requisitos previstos no edital, os testes não serão realizados, e a empresa será desclassificada. Essa medida visa garantir a isonomia entre os licitantes e dar celeridade e transparência ao processo.</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b/>
          <w:bCs/>
          <w:sz w:val="18"/>
          <w:szCs w:val="18"/>
          <w:u w:val="single"/>
        </w:rPr>
        <w:t xml:space="preserve">ROTEIRO BÁSICO DE TESTES DA AMOSTRA: </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O roteiro de testes descrito a seguir representa o conjunto mínimo de avaliações a serem realizadas. A Comissão Técnica poderá, a seu critério, solicitar a demonstração de qualquer item previsto nas especificações técnicas do Termo de Referência.</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 não comprovação de qualquer funcionalidade exigida implicará a desclassificação da proponente.</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numPr>
          <w:ilvl w:val="1"/>
          <w:numId w:val="23"/>
        </w:numPr>
        <w:tabs>
          <w:tab w:val="clear" w:pos="708"/>
          <w:tab w:val="left" w:pos="735" w:leader="none"/>
        </w:tabs>
        <w:spacing w:lineRule="auto" w:line="276" w:before="0" w:after="0"/>
        <w:ind w:hanging="0" w:left="0"/>
        <w:contextualSpacing/>
        <w:jc w:val="both"/>
        <w:rPr>
          <w:rFonts w:ascii="Arial" w:hAnsi="Arial" w:cs="Arial"/>
          <w:sz w:val="18"/>
          <w:szCs w:val="18"/>
        </w:rPr>
      </w:pPr>
      <w:r>
        <w:rPr>
          <w:rFonts w:cs="Arial" w:ascii="Arial" w:hAnsi="Arial"/>
          <w:sz w:val="18"/>
          <w:szCs w:val="18"/>
        </w:rPr>
        <w:t>A licitante deverá providenciar, por sua conta, todos os equipamentos e recursos necessários para realização dos testes, incluindo conexão própria à internet (3G/4G/5G, etc.), não sendo permitida a utilização da infraestrutura da Prefeitura.</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 xml:space="preserve">FASE 1 – DOCUMENTAÇÃO </w:t>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r>
    </w:p>
    <w:tbl>
      <w:tblPr>
        <w:tblW w:w="9617"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167"/>
        <w:gridCol w:w="1649"/>
        <w:gridCol w:w="1801"/>
      </w:tblGrid>
      <w:tr>
        <w:trPr/>
        <w:tc>
          <w:tcPr>
            <w:tcW w:w="61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1.1 – Entrega de Documentação Técnica</w:t>
            </w:r>
          </w:p>
          <w:p>
            <w:pPr>
              <w:pStyle w:val="Normal"/>
              <w:spacing w:lineRule="auto" w:line="276" w:before="0" w:after="0"/>
              <w:contextualSpacing/>
              <w:jc w:val="both"/>
              <w:rPr>
                <w:rFonts w:ascii="Arial" w:hAnsi="Arial" w:cs="Arial"/>
                <w:sz w:val="18"/>
                <w:szCs w:val="18"/>
              </w:rPr>
            </w:pPr>
            <w:r>
              <w:rPr>
                <w:rFonts w:cs="Arial" w:ascii="Arial" w:hAnsi="Arial"/>
                <w:sz w:val="18"/>
                <w:szCs w:val="18"/>
              </w:rPr>
              <w:t>A licitante classificada em primeiro lugar deverá apresentar, em envelope/pasta lacrada, os documentos listados abaixo, que serão utilizados para verificação da conformidade técnica dos produtos e serviços ofertados, conforme as exigências deste Edital.</w:t>
            </w:r>
          </w:p>
        </w:tc>
        <w:tc>
          <w:tcPr>
            <w:tcW w:w="1649"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01"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r>
              <w:rPr>
                <w:rFonts w:cs="Arial" w:ascii="Arial" w:hAnsi="Arial"/>
                <w:sz w:val="18"/>
                <w:szCs w:val="18"/>
              </w:rPr>
              <w:t>Catálogos técnicos contendo a descrição dos produtos, com clara demonstração do atendimento às especificações constantes neste edital.</w:t>
            </w:r>
          </w:p>
        </w:tc>
        <w:tc>
          <w:tcPr>
            <w:tcW w:w="16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Deverão ser apresentados certificados de homologação, válidos e emitidos pela ANATEL (Agência Nacional de Telecomunicações), para todos os equipamentos que utilizem tecnologia de comunicação por radiofrequência e que integrem o sistema proposto, tais como modems GPRS, dispositivos Bluetooth, roteadores Wi-Fi, entre outros que façam uso de espectro de radiofrequência, conforme previsto na Resolução nº 715, de 23 de outubro de 2019. </w:t>
            </w:r>
          </w:p>
        </w:tc>
        <w:tc>
          <w:tcPr>
            <w:tcW w:w="16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r>
              <w:rPr>
                <w:rFonts w:cs="Arial" w:ascii="Arial" w:hAnsi="Arial"/>
                <w:sz w:val="18"/>
                <w:szCs w:val="18"/>
              </w:rPr>
              <w:t>Deverão ser apresentados documentos que comprovem a acurácia e a linearidade dos receptores GPS/GNSS integrados aos equipamentos ofertados, demonstrando a capacidade do sistema em fornecer coordenadas geográficas com precisão mínima aceitável para os fins propostos neste edital. A exigência justifica-se pela natureza da solução contratada, a qual demanda a identificação precisa de posições geográficas, especialmente para delimitação de vagas de estacionamento rotativo, registro de fiscalizações e identificação de ocorrências que envolvam localização espacial. Tais informações impactam diretamente a responsabilização de usuários e a validade jurídica de eventuais autos de infração ou registros de uso indevido. Serão aceitas como comprovação, certificações do fabricante, laudos técnicos, relatórios de desempenho emitidos por laboratórios especializados ou órgãos competentes, desde que demonstrem de forma clara os parâmetros de desempenho relacionados à precisão horizontal (CEP), taxa de atualização e margem de erro dos equipamentos.</w:t>
            </w:r>
          </w:p>
        </w:tc>
        <w:tc>
          <w:tcPr>
            <w:tcW w:w="16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r>
              <w:rPr>
                <w:rFonts w:cs="Arial" w:ascii="Arial" w:hAnsi="Arial"/>
                <w:sz w:val="18"/>
                <w:szCs w:val="18"/>
              </w:rPr>
              <w:t>Contrato com a empresa responsável pela infraestrutura de datacenter.</w:t>
            </w:r>
          </w:p>
        </w:tc>
        <w:tc>
          <w:tcPr>
            <w:tcW w:w="16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r>
              <w:rPr>
                <w:rFonts w:cs="Arial" w:ascii="Arial" w:hAnsi="Arial"/>
                <w:sz w:val="18"/>
                <w:szCs w:val="18"/>
              </w:rPr>
              <w:t>A comprovação de conformidade com a LGPD poderá ser feita por meio da apresentação da certificação ISO 27001 (preferencial), ou, alternativamente, por um conjunto de documentos que demonstrem, de forma objetiva e suficiente, a adoção de práticas compatíveis com os princípios e exigências da LGPD, tais como: nomeação formal de DPO, política de privacidade, relatório de impacto à proteção de dados, plano de resposta a incidentes, entre outros. A Comissão Técnica avaliará a suficiência da documentação apresentada com base na sua consistência, atualidade e aderência à legislação.</w:t>
            </w:r>
          </w:p>
        </w:tc>
        <w:tc>
          <w:tcPr>
            <w:tcW w:w="16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bookmarkStart w:id="43" w:name="OLE_LINK1"/>
            <w:r>
              <w:rPr>
                <w:rFonts w:cs="Arial" w:ascii="Arial" w:hAnsi="Arial"/>
                <w:sz w:val="18"/>
                <w:szCs w:val="18"/>
              </w:rPr>
              <w:t>Por tratar-se de uma operação que envolve dados sensíveis financeiros, a empresa contratada comprovou possuir certificação PCI DSS em seu nome ou em nome da empresa responsável pelo software apresentando nos manuais? O certificado PCI DSS é crucial para garantir a segurança das transações com cartão de crédito e débito, protegendo os dados do titular do cartão e reduzindo o risco de fraudes e violações de dados. Ele estabelece um padrão de segurança para empresas que lidam com informações de pagamento, ajudando a construir confiança com os clientes e evitando prejuízos financeiros.</w:t>
            </w:r>
            <w:bookmarkEnd w:id="43"/>
          </w:p>
        </w:tc>
        <w:tc>
          <w:tcPr>
            <w:tcW w:w="164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rHeight w:val="1438" w:hRule="atLeast"/>
        </w:trPr>
        <w:tc>
          <w:tcPr>
            <w:tcW w:w="6167" w:type="dxa"/>
            <w:tcBorders>
              <w:left w:val="single" w:sz="4" w:space="0" w:color="000000"/>
              <w:bottom w:val="single" w:sz="4" w:space="0" w:color="000000"/>
              <w:right w:val="single" w:sz="4" w:space="0" w:color="000000"/>
            </w:tcBorders>
          </w:tcPr>
          <w:p>
            <w:pPr>
              <w:pStyle w:val="Normal"/>
              <w:numPr>
                <w:ilvl w:val="0"/>
                <w:numId w:val="11"/>
              </w:numPr>
              <w:spacing w:lineRule="auto" w:line="276" w:before="0" w:after="0"/>
              <w:ind w:hanging="360" w:left="0"/>
              <w:contextualSpacing/>
              <w:jc w:val="both"/>
              <w:rPr>
                <w:rFonts w:ascii="Arial" w:hAnsi="Arial" w:cs="Arial"/>
                <w:sz w:val="18"/>
                <w:szCs w:val="18"/>
              </w:rPr>
            </w:pPr>
            <w:r>
              <w:rPr>
                <w:rFonts w:cs="Arial" w:ascii="Arial" w:hAnsi="Arial"/>
                <w:sz w:val="18"/>
                <w:szCs w:val="18"/>
              </w:rPr>
              <w:t>A empresa licitante deverá apresentar documento por escrito na qual se compromete a armazenar e disponibilizar pelo tempo do contrato os dados e as imagens geradas no decorrer da prestação do serviço. O documento foi apresentado?</w:t>
            </w:r>
          </w:p>
        </w:tc>
        <w:tc>
          <w:tcPr>
            <w:tcW w:w="1649" w:type="dxa"/>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01" w:type="dxa"/>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bl>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 xml:space="preserve">FASE 2 – ENTREGA DE EQUIPAMENTOS </w:t>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r>
    </w:p>
    <w:tbl>
      <w:tblPr>
        <w:tblW w:w="963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167"/>
        <w:gridCol w:w="1650"/>
        <w:gridCol w:w="1816"/>
      </w:tblGrid>
      <w:tr>
        <w:trPr/>
        <w:tc>
          <w:tcPr>
            <w:tcW w:w="61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 xml:space="preserve">Fase 2.1 – Entrega de equipamentos </w:t>
            </w:r>
          </w:p>
          <w:p>
            <w:pPr>
              <w:pStyle w:val="Normal"/>
              <w:spacing w:lineRule="auto" w:line="276" w:before="0" w:after="0"/>
              <w:contextualSpacing/>
              <w:jc w:val="both"/>
              <w:rPr>
                <w:rFonts w:ascii="Arial" w:hAnsi="Arial" w:cs="Arial"/>
                <w:sz w:val="18"/>
                <w:szCs w:val="18"/>
              </w:rPr>
            </w:pPr>
            <w:r>
              <w:rPr>
                <w:rFonts w:cs="Arial" w:ascii="Arial" w:hAnsi="Arial"/>
                <w:sz w:val="18"/>
                <w:szCs w:val="18"/>
              </w:rPr>
              <w:t>Deverão ser apresentados fisicamente os equipamentos abaixo relacionados, devidamente identificados com as etiquetas indicadas, prontos para uso e com os sistemas previamente instalados, conforme aplicável. Os equipamentos serão verificados quanto à conformidade com as exigências técnicas previstas no edital e seus anexos.</w:t>
            </w:r>
          </w:p>
        </w:tc>
        <w:tc>
          <w:tcPr>
            <w:tcW w:w="1650"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16"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01 computador ou notebook com todos os sistemas necessários instalados </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01 leitor biométrico – Etiqueta BIOMETRIA</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01 terminal de vendas tipo POS para PDV </w:t>
            </w:r>
            <w:r>
              <w:rPr>
                <w:rFonts w:cs="Arial" w:ascii="Arial" w:hAnsi="Arial"/>
                <w:color w:val="000000"/>
                <w:sz w:val="18"/>
                <w:szCs w:val="18"/>
              </w:rPr>
              <w:t>e Agentes de Apoio</w:t>
            </w:r>
            <w:r>
              <w:rPr>
                <w:rFonts w:cs="Arial" w:ascii="Arial" w:hAnsi="Arial"/>
                <w:sz w:val="18"/>
                <w:szCs w:val="18"/>
              </w:rPr>
              <w:t xml:space="preserve"> – Etiqueta POS</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color w:val="000000"/>
                <w:sz w:val="18"/>
                <w:szCs w:val="18"/>
              </w:rPr>
              <w:t>01 terminal de fiscalização tipo DPMF para agentes de apoio e agentes de trânsito – Etiqueta DPMF</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rPr>
            </w:pPr>
            <w:r>
              <w:rPr>
                <w:rFonts w:cs="Arial" w:ascii="Arial" w:hAnsi="Arial"/>
                <w:color w:val="EE0000"/>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rPr>
            </w:pPr>
            <w:r>
              <w:rPr>
                <w:rFonts w:cs="Arial" w:ascii="Arial" w:hAnsi="Arial"/>
                <w:color w:val="EE0000"/>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Cartões de crédito e cartões de débito necessários para a realização da prova – Deverão ser apresentados apenas no momento da prova, não sendo necessário entregar antecipadamente;</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01 telefone celular com Sistema Operacional Android – Etiqueta APP ANDROID;</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01 telefone celular com Sistema Operacional iOS – Etiqueta APP iOS;</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76" w:before="0" w:after="0"/>
              <w:ind w:hanging="360" w:left="0"/>
              <w:contextualSpacing/>
              <w:jc w:val="both"/>
              <w:rPr>
                <w:rFonts w:ascii="Arial" w:hAnsi="Arial" w:cs="Arial"/>
                <w:sz w:val="18"/>
                <w:szCs w:val="18"/>
              </w:rPr>
            </w:pPr>
            <w:r>
              <w:rPr>
                <w:rFonts w:cs="Arial" w:ascii="Arial" w:hAnsi="Arial"/>
                <w:sz w:val="18"/>
                <w:szCs w:val="18"/>
              </w:rPr>
              <w:t>01 carro OCR preparado com todos os itens descritos neste edital e para realização desta prova – Etiqueta CARRO OCR;</w:t>
            </w:r>
          </w:p>
        </w:tc>
        <w:tc>
          <w:tcPr>
            <w:tcW w:w="16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bl>
    <w:p>
      <w:pPr>
        <w:pStyle w:val="Normal"/>
        <w:spacing w:lineRule="auto" w:line="276" w:before="0" w:after="0"/>
        <w:contextualSpacing/>
        <w:jc w:val="both"/>
        <w:rPr>
          <w:rFonts w:ascii="Arial" w:hAnsi="Arial" w:cs="Arial"/>
          <w:color w:val="EE0000"/>
          <w:sz w:val="18"/>
          <w:szCs w:val="18"/>
        </w:rPr>
      </w:pPr>
      <w:r>
        <w:rPr>
          <w:rFonts w:cs="Arial" w:ascii="Arial" w:hAnsi="Arial"/>
          <w:color w:val="000000"/>
          <w:sz w:val="18"/>
          <w:szCs w:val="18"/>
        </w:rPr>
        <w:t>* Os itens 3 e 4, conforme estipulado no Termo de Referência, poderão ser um mesmo equipamento, entretanto que efetua ambas as funções. Desta forma, deverá ser etiquetado com ambas as referências.</w:t>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FASE 3 – SERVIDORES PARA PLATAFORMA TECNOLÓGICA COMPUTACIONAL</w:t>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r>
    </w:p>
    <w:tbl>
      <w:tblPr>
        <w:tblW w:w="970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216"/>
        <w:gridCol w:w="1667"/>
        <w:gridCol w:w="1817"/>
      </w:tblGrid>
      <w:tr>
        <w:trPr/>
        <w:tc>
          <w:tcPr>
            <w:tcW w:w="6216"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3.1 – Servidores Para Plataforma Tecnológica Computacional</w:t>
            </w:r>
          </w:p>
          <w:p>
            <w:pPr>
              <w:pStyle w:val="Normal"/>
              <w:spacing w:lineRule="auto" w:line="276" w:before="0" w:after="0"/>
              <w:contextualSpacing/>
              <w:jc w:val="both"/>
              <w:rPr>
                <w:rFonts w:ascii="Arial" w:hAnsi="Arial" w:cs="Arial"/>
                <w:sz w:val="18"/>
                <w:szCs w:val="18"/>
              </w:rPr>
            </w:pPr>
            <w:r>
              <w:rPr>
                <w:rFonts w:cs="Arial" w:ascii="Arial" w:hAnsi="Arial"/>
                <w:sz w:val="18"/>
                <w:szCs w:val="18"/>
              </w:rPr>
              <w:t>Nesta etapa, a empresa deverá apresentar a infraestrutura computacional e realizar o teste de carga previsto, conforme as especificações técnicas do edital. A finalidade desta fase é avaliar a robustez, escalabilidade, segurança e capacidade de resposta da solução em situações de alta demanda, garantindo a adequada prestação dos serviços contratados.</w:t>
            </w:r>
          </w:p>
        </w:tc>
        <w:tc>
          <w:tcPr>
            <w:tcW w:w="16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1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contextualSpacing/>
              <w:jc w:val="both"/>
              <w:rPr>
                <w:rFonts w:ascii="Arial" w:hAnsi="Arial" w:cs="Arial"/>
                <w:sz w:val="18"/>
                <w:szCs w:val="18"/>
              </w:rPr>
            </w:pPr>
            <w:r>
              <w:rPr>
                <w:rFonts w:cs="Arial" w:ascii="Arial" w:hAnsi="Arial"/>
                <w:sz w:val="18"/>
                <w:szCs w:val="18"/>
              </w:rPr>
              <w:t>Inicialmente, será realizado o TESTE DE CARGA com a finalidade de simular as condições de operação mais agudas e verificar a capacidade de responder às demandas dos usuários;</w:t>
            </w:r>
          </w:p>
          <w:p>
            <w:pPr>
              <w:pStyle w:val="Normal"/>
              <w:spacing w:lineRule="auto" w:line="276" w:before="0" w:after="0"/>
              <w:contextualSpacing/>
              <w:jc w:val="both"/>
              <w:rPr>
                <w:rFonts w:ascii="Arial" w:hAnsi="Arial" w:cs="Arial"/>
                <w:sz w:val="18"/>
                <w:szCs w:val="18"/>
              </w:rPr>
            </w:pPr>
            <w:r>
              <w:rPr>
                <w:rFonts w:cs="Arial" w:ascii="Arial" w:hAnsi="Arial"/>
                <w:sz w:val="18"/>
                <w:szCs w:val="18"/>
              </w:rPr>
              <w:t>Para o TESTE DE CARGA deverá ser utilizada uma ferramenta de simulação – o jmeter (https://jmeter.apache.org/), cabendo à licitante a preparação dos scripts necessários para o uso desta ferramenta durante o teste;</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p>
            <w:pPr>
              <w:pStyle w:val="Normal"/>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O teste de carga simulou, com êxito, as seguintes condições: 1.000 transações de ativações de estacionamento e 1.000 consultas de placas, todas realizadas em até 10 minutos, utilizando aplicação simulada?</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rPr>
            </w:pPr>
            <w:r>
              <w:rPr>
                <w:rFonts w:cs="Arial" w:ascii="Arial" w:hAnsi="Arial"/>
                <w:color w:val="EE0000"/>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rPr>
            </w:pPr>
            <w:r>
              <w:rPr>
                <w:rFonts w:cs="Arial" w:ascii="Arial" w:hAnsi="Arial"/>
                <w:color w:val="EE0000"/>
                <w:sz w:val="18"/>
                <w:szCs w:val="18"/>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ambiente com métricas e KPIs a fim de monitorar a capacidade e o desempenho da solução proposta?</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apresentada documentação comprobatória de aderência do Datacenter onde se hospeda a solução no modelo SaaS para a classificação Tier3?</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4. Foi apresentado Dashboard com o monitoramento de segurança “Firewall” onde fique evidente a ação das regras de segurança e Cyber Ataques?</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dashboard de monitoramento das rotinas de backup, evidenciando execução e integridade dos dados de acordo com o requirido no Termo de Referência?</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Dashboard com o monitoramento de servidores web publicados, sendo necessário WAF em todas as aplicações publicadas por questões de segurança?</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Dashboard com o checklist dos incidentes e resoluções?</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r>
        <w:trPr/>
        <w:tc>
          <w:tcPr>
            <w:tcW w:w="6216"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Dashboard com status de conectividade dos links de internet?</w:t>
            </w:r>
          </w:p>
        </w:tc>
        <w:tc>
          <w:tcPr>
            <w:tcW w:w="166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highlight w:val="cyan"/>
              </w:rPr>
            </w:pPr>
            <w:r>
              <w:rPr>
                <w:rFonts w:cs="Arial" w:ascii="Arial" w:hAnsi="Arial"/>
                <w:sz w:val="18"/>
                <w:szCs w:val="18"/>
                <w:highlight w:val="cyan"/>
              </w:rPr>
            </w:r>
          </w:p>
        </w:tc>
      </w:tr>
    </w:tbl>
    <w:p>
      <w:pPr>
        <w:pStyle w:val="Normal"/>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FASE 4 – CADASTROS E PARAMETRIZAÇÕES DO SISTEMA</w:t>
      </w:r>
    </w:p>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tbl>
      <w:tblPr>
        <w:tblW w:w="9617"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167"/>
        <w:gridCol w:w="1633"/>
        <w:gridCol w:w="1817"/>
      </w:tblGrid>
      <w:tr>
        <w:trPr/>
        <w:tc>
          <w:tcPr>
            <w:tcW w:w="61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Esta fase tem como objetivo principal verificar a correta implementação dos cadastros e parametrizações essenciais para o funcionamento no sistema de gestão e dos aplicativos móveis que compõem a solução ofertada. Serão avaliadas as funcionalidades relacionadas à gestão de usuários, segurança dos acessos, geração, bem como o cadastro e associação dos equipamentos aos pontos de venda.</w:t>
            </w:r>
          </w:p>
        </w:tc>
        <w:tc>
          <w:tcPr>
            <w:tcW w:w="1633"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1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1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color w:val="000000"/>
                <w:sz w:val="18"/>
                <w:szCs w:val="18"/>
              </w:rPr>
            </w:pPr>
            <w:r>
              <w:rPr>
                <w:rFonts w:cs="Arial" w:ascii="Arial" w:hAnsi="Arial"/>
                <w:b/>
                <w:bCs/>
                <w:color w:val="000000"/>
                <w:sz w:val="18"/>
                <w:szCs w:val="18"/>
              </w:rPr>
              <w:t>Fase 4.1 – Cadastros E Parametrizações No Sistema de Gestão</w:t>
            </w:r>
          </w:p>
          <w:p>
            <w:pPr>
              <w:pStyle w:val="Normal"/>
              <w:spacing w:lineRule="auto" w:line="276" w:before="0" w:after="0"/>
              <w:contextualSpacing/>
              <w:jc w:val="both"/>
              <w:rPr>
                <w:rFonts w:ascii="Arial" w:hAnsi="Arial" w:cs="Arial"/>
                <w:b/>
                <w:bCs/>
                <w:color w:val="EE0000"/>
                <w:sz w:val="18"/>
                <w:szCs w:val="18"/>
              </w:rPr>
            </w:pPr>
            <w:r>
              <w:rPr>
                <w:rFonts w:cs="Arial" w:ascii="Arial" w:hAnsi="Arial"/>
                <w:color w:val="000000"/>
                <w:sz w:val="18"/>
                <w:szCs w:val="18"/>
              </w:rPr>
              <w:t>será exigida a configuração detalhada do sistema de gestão, incluindo a criação de perfis de usuários com diferentes níveis de acesso, cadastro dos agentes de fiscalização e biometria, garantindo a segurança e transparência dos registros financeiros.</w:t>
            </w:r>
          </w:p>
          <w:p>
            <w:pPr>
              <w:pStyle w:val="Normal"/>
              <w:spacing w:lineRule="auto" w:line="276" w:before="0" w:after="0"/>
              <w:contextualSpacing/>
              <w:jc w:val="both"/>
              <w:rPr>
                <w:rFonts w:ascii="Arial" w:hAnsi="Arial" w:cs="Arial"/>
                <w:b/>
                <w:bCs/>
                <w:color w:val="EE0000"/>
                <w:sz w:val="18"/>
                <w:szCs w:val="18"/>
              </w:rPr>
            </w:pPr>
            <w:r>
              <w:rPr>
                <w:rFonts w:cs="Arial" w:ascii="Arial" w:hAnsi="Arial"/>
                <w:b/>
                <w:bCs/>
                <w:color w:val="EE0000"/>
                <w:sz w:val="18"/>
                <w:szCs w:val="18"/>
              </w:rPr>
            </w:r>
          </w:p>
        </w:tc>
        <w:tc>
          <w:tcPr>
            <w:tcW w:w="1633" w:type="dxa"/>
            <w:tcBorders>
              <w:top w:val="single" w:sz="4" w:space="0" w:color="000000"/>
              <w:left w:val="single" w:sz="4" w:space="0" w:color="000000"/>
              <w:bottom w:val="single" w:sz="4" w:space="0" w:color="000000"/>
              <w:right w:val="single" w:sz="4" w:space="0" w:color="000000"/>
            </w:tcBorders>
            <w:shd w:color="auto" w:fill="FFFFA6" w:val="clear"/>
          </w:tcPr>
          <w:p>
            <w:pPr>
              <w:pStyle w:val="Normal"/>
              <w:snapToGrid w:val="false"/>
              <w:spacing w:lineRule="auto" w:line="276" w:before="0" w:after="0"/>
              <w:contextualSpacing/>
              <w:jc w:val="both"/>
              <w:rPr>
                <w:rFonts w:ascii="Arial" w:hAnsi="Arial" w:cs="Arial"/>
                <w:b/>
                <w:bCs/>
                <w:color w:val="EE0000"/>
                <w:sz w:val="18"/>
                <w:szCs w:val="18"/>
              </w:rPr>
            </w:pPr>
            <w:r>
              <w:rPr>
                <w:rFonts w:cs="Arial" w:ascii="Arial" w:hAnsi="Arial"/>
                <w:b/>
                <w:bCs/>
                <w:color w:val="EE0000"/>
                <w:sz w:val="18"/>
                <w:szCs w:val="18"/>
              </w:rPr>
            </w:r>
          </w:p>
        </w:tc>
        <w:tc>
          <w:tcPr>
            <w:tcW w:w="181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napToGrid w:val="false"/>
              <w:spacing w:lineRule="auto" w:line="276" w:before="0" w:after="0"/>
              <w:contextualSpacing/>
              <w:jc w:val="both"/>
              <w:rPr>
                <w:rFonts w:ascii="Arial" w:hAnsi="Arial" w:cs="Arial"/>
                <w:b/>
                <w:bCs/>
                <w:color w:val="EE0000"/>
                <w:sz w:val="18"/>
                <w:szCs w:val="18"/>
              </w:rPr>
            </w:pPr>
            <w:r>
              <w:rPr>
                <w:rFonts w:cs="Arial" w:ascii="Arial" w:hAnsi="Arial"/>
                <w:b/>
                <w:bCs/>
                <w:color w:val="EE0000"/>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4"/>
              </w:numPr>
              <w:spacing w:lineRule="auto" w:line="276" w:before="0" w:after="0"/>
              <w:ind w:hanging="360" w:left="0"/>
              <w:contextualSpacing/>
              <w:jc w:val="both"/>
              <w:rPr>
                <w:rFonts w:ascii="Arial" w:hAnsi="Arial" w:cs="Arial"/>
                <w:sz w:val="18"/>
                <w:szCs w:val="18"/>
              </w:rPr>
            </w:pPr>
            <w:r>
              <w:rPr>
                <w:rFonts w:cs="Arial" w:ascii="Arial" w:hAnsi="Arial"/>
                <w:sz w:val="18"/>
                <w:szCs w:val="18"/>
              </w:rPr>
              <w:t>Cadastros de Usuários no sistema de gestão por nível de acesso. Cadastrar um Gestor “MASTER DA CONTRATANTE” com acesso a todas as áreas do sistema;</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4"/>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Cadastro Agentes de </w:t>
            </w:r>
            <w:r>
              <w:rPr>
                <w:rFonts w:cs="Arial" w:ascii="Arial" w:hAnsi="Arial"/>
                <w:color w:val="000000"/>
                <w:sz w:val="18"/>
                <w:szCs w:val="18"/>
              </w:rPr>
              <w:t>Apoio</w:t>
            </w:r>
            <w:r>
              <w:rPr>
                <w:rFonts w:cs="Arial" w:ascii="Arial" w:hAnsi="Arial"/>
                <w:sz w:val="18"/>
                <w:szCs w:val="18"/>
              </w:rPr>
              <w:t>;</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4"/>
              </w:numPr>
              <w:spacing w:lineRule="auto" w:line="276" w:before="0" w:after="0"/>
              <w:ind w:hanging="360" w:left="0"/>
              <w:contextualSpacing/>
              <w:jc w:val="both"/>
              <w:rPr>
                <w:rFonts w:ascii="Arial" w:hAnsi="Arial" w:cs="Arial"/>
                <w:sz w:val="18"/>
                <w:szCs w:val="18"/>
              </w:rPr>
            </w:pPr>
            <w:r>
              <w:rPr>
                <w:rFonts w:cs="Arial" w:ascii="Arial" w:hAnsi="Arial"/>
                <w:sz w:val="18"/>
                <w:szCs w:val="18"/>
              </w:rPr>
              <w:t>Cadastro de biometria dos Agentes de Trânsito;</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ListParagraph"/>
              <w:numPr>
                <w:ilvl w:val="0"/>
                <w:numId w:val="14"/>
              </w:numPr>
              <w:overflowPunct w:val="true"/>
              <w:spacing w:lineRule="auto" w:line="276"/>
              <w:ind w:hanging="360" w:left="0"/>
              <w:jc w:val="both"/>
              <w:rPr>
                <w:rFonts w:ascii="Arial" w:hAnsi="Arial" w:cs="Arial"/>
                <w:sz w:val="18"/>
                <w:szCs w:val="18"/>
              </w:rPr>
            </w:pPr>
            <w:r>
              <w:rPr>
                <w:rFonts w:cs="Arial" w:ascii="Arial" w:hAnsi="Arial"/>
                <w:sz w:val="18"/>
                <w:szCs w:val="18"/>
              </w:rPr>
              <w:t>Cadastro dos Postos de Venda no sistema de gestão, com o nome de “PDV TESTE” associando o número de série do equipamento “POS-PDV";</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rHeight w:val="1290" w:hRule="atLeast"/>
        </w:trPr>
        <w:tc>
          <w:tcPr>
            <w:tcW w:w="61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color w:val="000000"/>
                <w:sz w:val="18"/>
                <w:szCs w:val="18"/>
              </w:rPr>
            </w:pPr>
            <w:r>
              <w:rPr>
                <w:rFonts w:cs="Arial" w:ascii="Arial" w:hAnsi="Arial"/>
                <w:b/>
                <w:bCs/>
                <w:sz w:val="18"/>
                <w:szCs w:val="18"/>
              </w:rPr>
              <w:t>Fase 4.2 – Cadastros Nos Aplicativos</w:t>
            </w:r>
          </w:p>
          <w:p>
            <w:pPr>
              <w:pStyle w:val="Normal"/>
              <w:spacing w:lineRule="auto" w:line="276" w:before="0" w:after="0"/>
              <w:contextualSpacing/>
              <w:jc w:val="both"/>
              <w:rPr>
                <w:rFonts w:ascii="Arial" w:hAnsi="Arial" w:cs="Arial"/>
                <w:sz w:val="18"/>
                <w:szCs w:val="18"/>
              </w:rPr>
            </w:pPr>
            <w:r>
              <w:rPr>
                <w:rFonts w:cs="Arial" w:ascii="Arial" w:hAnsi="Arial"/>
                <w:color w:val="000000"/>
                <w:sz w:val="18"/>
                <w:szCs w:val="18"/>
              </w:rPr>
              <w:t>Será avaliada a disponibilidade dos aplicativos para usuários finais nas plataformas Android e iOS, bem como a capacidade de cadastro de usuários via aplicativos e website, assegurando que os canais de interação estejam devidamente parametrizados para a operação do estacionamento regulamentado.</w:t>
            </w:r>
          </w:p>
        </w:tc>
        <w:tc>
          <w:tcPr>
            <w:tcW w:w="1633"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Aprovado(A)</w:t>
            </w:r>
          </w:p>
        </w:tc>
        <w:tc>
          <w:tcPr>
            <w:tcW w:w="181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pacing w:lineRule="auto" w:line="276" w:before="0" w:after="0"/>
              <w:ind w:hanging="360" w:left="0"/>
              <w:contextualSpacing/>
              <w:jc w:val="both"/>
              <w:rPr>
                <w:rFonts w:ascii="Arial" w:hAnsi="Arial" w:cs="Arial"/>
                <w:sz w:val="18"/>
                <w:szCs w:val="18"/>
              </w:rPr>
            </w:pPr>
            <w:r>
              <w:rPr>
                <w:rFonts w:cs="Arial" w:ascii="Arial" w:hAnsi="Arial"/>
                <w:sz w:val="18"/>
                <w:szCs w:val="18"/>
              </w:rPr>
              <w:t>Baixar Aplicativo de Usuário versão Android na loja Google Play;</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pacing w:lineRule="auto" w:line="276" w:before="0" w:after="0"/>
              <w:ind w:hanging="360" w:left="0"/>
              <w:contextualSpacing/>
              <w:jc w:val="both"/>
              <w:rPr>
                <w:rFonts w:ascii="Arial" w:hAnsi="Arial" w:cs="Arial"/>
                <w:sz w:val="18"/>
                <w:szCs w:val="18"/>
              </w:rPr>
            </w:pPr>
            <w:r>
              <w:rPr>
                <w:rFonts w:cs="Arial" w:ascii="Arial" w:hAnsi="Arial"/>
                <w:sz w:val="18"/>
                <w:szCs w:val="18"/>
              </w:rPr>
              <w:t>Baixar Aplicativo de Usuário versão IOS na loja Apple Store;</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pacing w:lineRule="auto" w:line="276" w:before="0" w:after="0"/>
              <w:ind w:hanging="360" w:left="0"/>
              <w:contextualSpacing/>
              <w:jc w:val="both"/>
              <w:rPr>
                <w:rFonts w:ascii="Arial" w:hAnsi="Arial" w:cs="Arial"/>
                <w:sz w:val="18"/>
                <w:szCs w:val="18"/>
              </w:rPr>
            </w:pPr>
            <w:r>
              <w:rPr>
                <w:rFonts w:cs="Arial" w:ascii="Arial" w:hAnsi="Arial"/>
                <w:sz w:val="18"/>
                <w:szCs w:val="18"/>
              </w:rPr>
              <w:t>Cadastro de Usuários de conta pré-paga nos Aplicativos versão Android e IOS;</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pacing w:lineRule="auto" w:line="276" w:before="0" w:after="0"/>
              <w:ind w:hanging="360" w:left="0"/>
              <w:contextualSpacing/>
              <w:jc w:val="both"/>
              <w:rPr>
                <w:rFonts w:ascii="Arial" w:hAnsi="Arial" w:cs="Arial"/>
                <w:sz w:val="18"/>
                <w:szCs w:val="18"/>
              </w:rPr>
            </w:pPr>
            <w:r>
              <w:rPr>
                <w:rFonts w:cs="Arial" w:ascii="Arial" w:hAnsi="Arial"/>
                <w:sz w:val="18"/>
                <w:szCs w:val="18"/>
              </w:rPr>
              <w:t>Cadastro de Usuário através do site;</w:t>
            </w:r>
          </w:p>
        </w:tc>
        <w:tc>
          <w:tcPr>
            <w:tcW w:w="16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bl>
    <w:p>
      <w:pPr>
        <w:pStyle w:val="Normal"/>
        <w:spacing w:lineRule="auto" w:line="276" w:before="0" w:after="0"/>
        <w:contextualSpacing/>
        <w:jc w:val="both"/>
        <w:rPr>
          <w:rFonts w:ascii="Arial" w:hAnsi="Arial" w:cs="Arial"/>
          <w:sz w:val="18"/>
          <w:szCs w:val="18"/>
        </w:rPr>
      </w:pPr>
      <w:r>
        <w:rPr>
          <w:rFonts w:cs="Arial" w:ascii="Arial" w:hAnsi="Arial"/>
          <w:sz w:val="18"/>
          <w:szCs w:val="18"/>
        </w:rPr>
      </w:r>
    </w:p>
    <w:p>
      <w:pPr>
        <w:pStyle w:val="Normal"/>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FASE 5 – COMPRA DE CRÉDITOS E ATIVAÇÃO DE ESTACIONAMENTO</w:t>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r>
    </w:p>
    <w:tbl>
      <w:tblPr>
        <w:tblW w:w="966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
        <w:gridCol w:w="6067"/>
        <w:gridCol w:w="1634"/>
        <w:gridCol w:w="50"/>
        <w:gridCol w:w="1816"/>
        <w:gridCol w:w="17"/>
        <w:gridCol w:w="15"/>
        <w:gridCol w:w="17"/>
      </w:tblGrid>
      <w:tr>
        <w:trPr/>
        <w:tc>
          <w:tcPr>
            <w:tcW w:w="6117"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bookmarkStart w:id="44" w:name="_Hlk197446117"/>
            <w:bookmarkStart w:id="45" w:name="_Hlk195552664"/>
            <w:bookmarkEnd w:id="44"/>
            <w:bookmarkEnd w:id="45"/>
            <w:r>
              <w:rPr>
                <w:rFonts w:cs="Arial" w:ascii="Arial" w:hAnsi="Arial"/>
                <w:b/>
                <w:bCs/>
                <w:sz w:val="18"/>
                <w:szCs w:val="18"/>
              </w:rPr>
              <w:t>Fase 5.1 –</w:t>
            </w:r>
            <w:r>
              <w:rPr>
                <w:rFonts w:cs="Arial" w:ascii="Arial" w:hAnsi="Arial"/>
                <w:b/>
                <w:bCs/>
                <w:color w:val="808080"/>
                <w:sz w:val="18"/>
                <w:szCs w:val="18"/>
              </w:rPr>
              <w:t xml:space="preserve"> </w:t>
            </w:r>
            <w:r>
              <w:rPr>
                <w:rFonts w:cs="Arial" w:ascii="Arial" w:hAnsi="Arial"/>
                <w:b/>
                <w:bCs/>
                <w:color w:val="000000"/>
                <w:sz w:val="18"/>
                <w:szCs w:val="18"/>
              </w:rPr>
              <w:t>Terminal de Vendas tipo POS</w:t>
            </w:r>
          </w:p>
          <w:p>
            <w:pPr>
              <w:pStyle w:val="Normal"/>
              <w:spacing w:lineRule="auto" w:line="276" w:before="0" w:after="0"/>
              <w:contextualSpacing/>
              <w:jc w:val="both"/>
              <w:rPr>
                <w:rFonts w:ascii="Arial" w:hAnsi="Arial" w:cs="Arial"/>
                <w:sz w:val="18"/>
                <w:szCs w:val="18"/>
              </w:rPr>
            </w:pPr>
            <w:r>
              <w:rPr>
                <w:rFonts w:cs="Arial" w:ascii="Arial" w:hAnsi="Arial"/>
                <w:sz w:val="18"/>
                <w:szCs w:val="18"/>
              </w:rPr>
              <w:t xml:space="preserve">Terminal de vendas tipo POS para PDV </w:t>
            </w:r>
            <w:r>
              <w:rPr>
                <w:rFonts w:cs="Arial" w:ascii="Arial" w:hAnsi="Arial"/>
                <w:color w:val="000000"/>
                <w:sz w:val="18"/>
                <w:szCs w:val="18"/>
              </w:rPr>
              <w:t>e Agentes de Apoio</w:t>
            </w:r>
            <w:r>
              <w:rPr>
                <w:rFonts w:cs="Arial" w:ascii="Arial" w:hAnsi="Arial"/>
                <w:sz w:val="18"/>
                <w:szCs w:val="18"/>
              </w:rPr>
              <w:t xml:space="preserve"> – Etiqueta POS</w:t>
            </w:r>
          </w:p>
          <w:p>
            <w:pPr>
              <w:pStyle w:val="Normal"/>
              <w:spacing w:lineRule="auto" w:line="276" w:before="0" w:after="0"/>
              <w:contextualSpacing/>
              <w:jc w:val="both"/>
              <w:rPr>
                <w:rFonts w:ascii="Arial" w:hAnsi="Arial" w:cs="Arial"/>
                <w:sz w:val="18"/>
                <w:szCs w:val="18"/>
              </w:rPr>
            </w:pPr>
            <w:r>
              <w:rPr>
                <w:rFonts w:cs="Arial" w:ascii="Arial" w:hAnsi="Arial"/>
                <w:sz w:val="18"/>
                <w:szCs w:val="18"/>
              </w:rPr>
              <w:t>Com o equipamento identificado com a etiqueta</w:t>
            </w:r>
            <w:r>
              <w:rPr>
                <w:rFonts w:cs="Arial" w:ascii="Arial" w:hAnsi="Arial"/>
                <w:color w:val="000000"/>
                <w:sz w:val="18"/>
                <w:szCs w:val="18"/>
              </w:rPr>
              <w:t xml:space="preserve"> “POS”</w:t>
            </w:r>
            <w:r>
              <w:rPr>
                <w:rFonts w:cs="Arial" w:ascii="Arial" w:hAnsi="Arial"/>
                <w:sz w:val="18"/>
                <w:szCs w:val="18"/>
              </w:rPr>
              <w:t xml:space="preserve"> deverão ser feitos os procedimentos abaixo e na ordem informada</w:t>
            </w:r>
          </w:p>
        </w:tc>
        <w:tc>
          <w:tcPr>
            <w:tcW w:w="1684"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16"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Acesso ao sistema instalado no POS realizado sem falhas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Emissão de tíquete de estacionamento de 90 minutos para uma placa aleatória com pagamento via PIX (Chave QRCODE) – com verificação em extrato bancário e contendo todas as informações determinadas neste edital.</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Emissão de tíquete de estacionamento de 1 h para uma placa aleatória com pagamento através de cartão de débito </w:t>
            </w:r>
            <w:r>
              <w:rPr>
                <w:rFonts w:cs="Arial" w:ascii="Arial" w:hAnsi="Arial"/>
                <w:color w:val="000000"/>
                <w:sz w:val="18"/>
                <w:szCs w:val="18"/>
              </w:rPr>
              <w:t>e crédito</w:t>
            </w:r>
            <w:r>
              <w:rPr>
                <w:rFonts w:cs="Arial" w:ascii="Arial" w:hAnsi="Arial"/>
                <w:sz w:val="18"/>
                <w:szCs w:val="18"/>
              </w:rPr>
              <w:t>, (mínimo duas bandeiras) por aproximação (contactless) com verificação em extrato bancário e contendo todas as informações determinadas neste edital.</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Emissão de tíquete de estacionamento de 1 h para uma placa aleatória com pagamento via cartão de </w:t>
            </w:r>
            <w:r>
              <w:rPr>
                <w:rFonts w:cs="Arial" w:ascii="Arial" w:hAnsi="Arial"/>
                <w:color w:val="000000"/>
                <w:sz w:val="18"/>
                <w:szCs w:val="18"/>
              </w:rPr>
              <w:t>débito e</w:t>
            </w:r>
            <w:r>
              <w:rPr>
                <w:rFonts w:cs="Arial" w:ascii="Arial" w:hAnsi="Arial"/>
                <w:sz w:val="18"/>
                <w:szCs w:val="18"/>
              </w:rPr>
              <w:t xml:space="preserve"> crédito, (mínimo duas bandeiras) por inserção e contendo todas as informações determinadas neste edital.</w:t>
            </w:r>
          </w:p>
        </w:tc>
        <w:tc>
          <w:tcPr>
            <w:tcW w:w="1684" w:type="dxa"/>
            <w:gridSpan w:val="2"/>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Impressão de comprovante da transação acima, contendo todas as informações determinadas neste edital.</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Recarga no valor de R$30,00 de créditos eletrônicos na conta do usuário, com pagamento em dinheiro, informando o CPF já cadastrado em contra pré-paga.</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Impressão de comprovante da transação acima, contendo o IMEI do equipamento que realizou a transação, CPF do usuário, valor da recarga, saldo atual e modalidade de pagamento.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Verificação da atualização do saldo no sistema de gestão, com desconto referente às transações realizadas.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color w:val="000000"/>
                <w:sz w:val="18"/>
                <w:szCs w:val="18"/>
              </w:rPr>
              <w:t>E possível realizar a compra de um tíquete de 60 minutos em uma placa que tenha um ADCT aberto na tolerância, utilizando como forma de pagamento cartão de débito por aproximação?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highlight w:val="yellow"/>
              </w:rPr>
            </w:pPr>
            <w:r>
              <w:rPr>
                <w:rFonts w:cs="Arial" w:ascii="Arial" w:hAnsi="Arial"/>
                <w:color w:val="EE0000"/>
                <w:sz w:val="18"/>
                <w:szCs w:val="18"/>
                <w:highlight w:val="yellow"/>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highlight w:val="yellow"/>
              </w:rPr>
            </w:pPr>
            <w:r>
              <w:rPr>
                <w:rFonts w:cs="Arial" w:ascii="Arial" w:hAnsi="Arial"/>
                <w:color w:val="EE0000"/>
                <w:sz w:val="18"/>
                <w:szCs w:val="18"/>
                <w:highlight w:val="yellow"/>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color w:val="000000"/>
                <w:sz w:val="18"/>
                <w:szCs w:val="18"/>
              </w:rPr>
            </w:pPr>
            <w:r>
              <w:rPr>
                <w:rFonts w:cs="Arial" w:ascii="Arial" w:hAnsi="Arial"/>
                <w:color w:val="000000"/>
                <w:sz w:val="18"/>
                <w:szCs w:val="18"/>
              </w:rPr>
              <w:t xml:space="preserve">Foi impresso emitido um tíquete de estacionamento contendo todas as Informações solicitadas abaixo? </w:t>
            </w:r>
          </w:p>
          <w:p>
            <w:pPr>
              <w:pStyle w:val="Normal"/>
              <w:spacing w:lineRule="auto" w:line="276" w:before="0" w:after="0"/>
              <w:contextualSpacing/>
              <w:jc w:val="both"/>
              <w:rPr>
                <w:rFonts w:ascii="Arial" w:hAnsi="Arial" w:cs="Arial"/>
                <w:color w:val="000000"/>
                <w:sz w:val="18"/>
                <w:szCs w:val="18"/>
              </w:rPr>
            </w:pPr>
            <w:r>
              <w:rPr>
                <w:rFonts w:cs="Arial" w:ascii="Arial" w:hAnsi="Arial"/>
                <w:color w:val="000000"/>
                <w:sz w:val="18"/>
                <w:szCs w:val="18"/>
              </w:rPr>
              <w:t>Número de controle próprio da CONTRATADA;</w:t>
            </w:r>
          </w:p>
          <w:p>
            <w:pPr>
              <w:pStyle w:val="Normal"/>
              <w:spacing w:lineRule="auto" w:line="276" w:before="0" w:after="0"/>
              <w:contextualSpacing/>
              <w:jc w:val="both"/>
              <w:rPr>
                <w:rFonts w:ascii="Arial" w:hAnsi="Arial" w:cs="Arial"/>
                <w:color w:val="000000"/>
                <w:sz w:val="18"/>
                <w:szCs w:val="18"/>
              </w:rPr>
            </w:pPr>
            <w:r>
              <w:rPr>
                <w:rFonts w:cs="Arial" w:ascii="Arial" w:hAnsi="Arial"/>
                <w:color w:val="000000"/>
                <w:sz w:val="18"/>
                <w:szCs w:val="18"/>
              </w:rPr>
              <w:t xml:space="preserve">Data e hora da validade do tíquete de estacionamento; </w:t>
            </w:r>
          </w:p>
          <w:p>
            <w:pPr>
              <w:pStyle w:val="Normal"/>
              <w:spacing w:lineRule="auto" w:line="276" w:before="0" w:after="0"/>
              <w:contextualSpacing/>
              <w:jc w:val="both"/>
              <w:rPr>
                <w:rFonts w:ascii="Arial" w:hAnsi="Arial" w:cs="Arial"/>
                <w:color w:val="000000"/>
                <w:sz w:val="18"/>
                <w:szCs w:val="18"/>
              </w:rPr>
            </w:pPr>
            <w:r>
              <w:rPr>
                <w:rFonts w:cs="Arial" w:ascii="Arial" w:hAnsi="Arial"/>
                <w:color w:val="000000"/>
                <w:sz w:val="18"/>
                <w:szCs w:val="18"/>
              </w:rPr>
              <w:t xml:space="preserve">Dia do ano para a validade do tíquete de estacionamento; </w:t>
            </w:r>
          </w:p>
          <w:p>
            <w:pPr>
              <w:pStyle w:val="Normal"/>
              <w:spacing w:lineRule="auto" w:line="276" w:before="0" w:after="0"/>
              <w:contextualSpacing/>
              <w:jc w:val="both"/>
              <w:rPr>
                <w:rFonts w:ascii="Arial" w:hAnsi="Arial" w:cs="Arial"/>
                <w:color w:val="000000"/>
                <w:sz w:val="18"/>
                <w:szCs w:val="18"/>
              </w:rPr>
            </w:pPr>
            <w:r>
              <w:rPr>
                <w:rFonts w:cs="Arial" w:ascii="Arial" w:hAnsi="Arial"/>
                <w:color w:val="000000"/>
                <w:sz w:val="18"/>
                <w:szCs w:val="18"/>
              </w:rPr>
              <w:t xml:space="preserve">Placa do veículo que adquiriu o tíquete de estacionamento; </w:t>
            </w:r>
          </w:p>
          <w:p>
            <w:pPr>
              <w:pStyle w:val="Normal"/>
              <w:spacing w:lineRule="auto" w:line="276" w:before="0" w:after="0"/>
              <w:contextualSpacing/>
              <w:jc w:val="both"/>
              <w:rPr>
                <w:rFonts w:ascii="Arial" w:hAnsi="Arial" w:cs="Arial"/>
                <w:color w:val="000000"/>
                <w:sz w:val="18"/>
                <w:szCs w:val="18"/>
              </w:rPr>
            </w:pPr>
            <w:r>
              <w:rPr>
                <w:rFonts w:cs="Arial" w:ascii="Arial" w:hAnsi="Arial"/>
                <w:color w:val="000000"/>
                <w:sz w:val="18"/>
                <w:szCs w:val="18"/>
              </w:rPr>
              <w:t xml:space="preserve">Data e hora da emissão do tíquete de estacionamento, as quais deverão ser obtidas automaticamente pelo sistema, não sendo permitida a sua alteração; </w:t>
            </w:r>
          </w:p>
          <w:p>
            <w:pPr>
              <w:pStyle w:val="Normal"/>
              <w:spacing w:lineRule="auto" w:line="276" w:before="0" w:after="0"/>
              <w:contextualSpacing/>
              <w:jc w:val="both"/>
              <w:rPr>
                <w:rFonts w:ascii="Arial" w:hAnsi="Arial" w:cs="Arial"/>
                <w:sz w:val="18"/>
                <w:szCs w:val="18"/>
              </w:rPr>
            </w:pPr>
            <w:r>
              <w:rPr>
                <w:rFonts w:cs="Arial" w:ascii="Arial" w:hAnsi="Arial"/>
                <w:color w:val="000000"/>
                <w:sz w:val="18"/>
                <w:szCs w:val="18"/>
              </w:rPr>
              <w:t>Meio de pagamento utilizado.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trike/>
                <w:color w:val="EE0000"/>
                <w:sz w:val="18"/>
                <w:szCs w:val="18"/>
                <w:highlight w:val="yellow"/>
              </w:rPr>
            </w:pPr>
            <w:r>
              <w:rPr>
                <w:rFonts w:cs="Arial" w:ascii="Arial" w:hAnsi="Arial"/>
                <w:strike/>
                <w:color w:val="EE0000"/>
                <w:sz w:val="18"/>
                <w:szCs w:val="18"/>
                <w:highlight w:val="yellow"/>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trike/>
                <w:color w:val="EE0000"/>
                <w:sz w:val="18"/>
                <w:szCs w:val="18"/>
                <w:highlight w:val="yellow"/>
              </w:rPr>
            </w:pPr>
            <w:r>
              <w:rPr>
                <w:rFonts w:cs="Arial" w:ascii="Arial" w:hAnsi="Arial"/>
                <w:strike/>
                <w:color w:val="EE0000"/>
                <w:sz w:val="18"/>
                <w:szCs w:val="18"/>
                <w:highlight w:val="yellow"/>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color w:val="000000"/>
                <w:sz w:val="18"/>
                <w:szCs w:val="18"/>
              </w:rPr>
              <w:t>Foi impresso comprovante da regularização do ADCT, contendo as informações do número do ADCT, data e hora da regularização?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highlight w:val="yellow"/>
              </w:rPr>
            </w:pPr>
            <w:r>
              <w:rPr>
                <w:rFonts w:cs="Arial" w:ascii="Arial" w:hAnsi="Arial"/>
                <w:color w:val="EE0000"/>
                <w:sz w:val="18"/>
                <w:szCs w:val="18"/>
                <w:highlight w:val="yellow"/>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highlight w:val="yellow"/>
              </w:rPr>
            </w:pPr>
            <w:r>
              <w:rPr>
                <w:rFonts w:cs="Arial" w:ascii="Arial" w:hAnsi="Arial"/>
                <w:color w:val="EE0000"/>
                <w:sz w:val="18"/>
                <w:szCs w:val="18"/>
                <w:highlight w:val="yellow"/>
              </w:rPr>
            </w:r>
          </w:p>
        </w:tc>
        <w:tc>
          <w:tcPr>
            <w:tcW w:w="49" w:type="dxa"/>
            <w:gridSpan w:val="3"/>
            <w:tcBorders/>
            <w:tcMar>
              <w:left w:w="5" w:type="dxa"/>
              <w:right w:w="5" w:type="dxa"/>
            </w:tcMar>
          </w:tcPr>
          <w:p>
            <w:pPr>
              <w:pStyle w:val="Normal"/>
              <w:snapToGrid w:val="false"/>
              <w:rPr>
                <w:rFonts w:ascii="Arial" w:hAnsi="Arial" w:cs="Arial"/>
                <w:color w:val="EE0000"/>
                <w:sz w:val="18"/>
                <w:szCs w:val="18"/>
                <w:highlight w:val="yellow"/>
              </w:rPr>
            </w:pPr>
            <w:r>
              <w:rPr>
                <w:rFonts w:cs="Arial" w:ascii="Arial" w:hAnsi="Arial"/>
                <w:color w:val="EE0000"/>
                <w:sz w:val="18"/>
                <w:szCs w:val="18"/>
                <w:highlight w:val="yellow"/>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6"/>
              </w:numPr>
              <w:spacing w:lineRule="auto" w:line="276" w:before="0" w:after="0"/>
              <w:ind w:hanging="360" w:left="0"/>
              <w:contextualSpacing/>
              <w:jc w:val="both"/>
              <w:rPr>
                <w:rFonts w:ascii="Arial" w:hAnsi="Arial" w:cs="Arial"/>
                <w:sz w:val="18"/>
                <w:szCs w:val="18"/>
              </w:rPr>
            </w:pPr>
            <w:r>
              <w:rPr>
                <w:rFonts w:cs="Arial" w:ascii="Arial" w:hAnsi="Arial"/>
                <w:sz w:val="18"/>
                <w:szCs w:val="18"/>
              </w:rPr>
              <w:t>Visualização de todas as transações no sistema de gestão em tempo real.</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49" w:type="dxa"/>
            <w:gridSpan w:val="3"/>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5.2 – Sítio Na Internet</w:t>
            </w:r>
          </w:p>
          <w:p>
            <w:pPr>
              <w:pStyle w:val="Normal"/>
              <w:spacing w:lineRule="auto" w:line="276" w:before="0" w:after="0"/>
              <w:contextualSpacing/>
              <w:jc w:val="both"/>
              <w:rPr>
                <w:rFonts w:ascii="Arial" w:hAnsi="Arial" w:cs="Arial"/>
                <w:sz w:val="18"/>
                <w:szCs w:val="18"/>
              </w:rPr>
            </w:pPr>
            <w:r>
              <w:rPr>
                <w:rFonts w:cs="Arial" w:ascii="Arial" w:hAnsi="Arial"/>
                <w:sz w:val="18"/>
                <w:szCs w:val="18"/>
              </w:rPr>
              <w:t>Com o equipamento (computador), deverão ser feitos os procedimentos abaixo e na ordem informada</w:t>
            </w:r>
          </w:p>
        </w:tc>
        <w:tc>
          <w:tcPr>
            <w:tcW w:w="1634"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66"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Acesso ao site da internet sem falhas.</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O site possui certificação SSL de no mínimo 128 bits?</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Permite acesso aos dados de Usuário cadastrados, placas dos veículos e telefone e permite alterações? </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Compra de créditos no valor de R$10,00 utilizando os cartões de créditos (mínimo duas bandeiras).</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Compra de créditos no valor de R$10,00 utilizando cartão de débito (necessário confirmação desta operação em extrato bancário).</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Compra de créditos no valor de R$10,00 através de chave PIX (necessário confirmação desta operação em extrato bancário).</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Visualização de créditos, transações de compra, ativação no sítio.</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Emitir um tíquete de estacionamento de 2(duas) horas para uma placa aleatória utilizando saldo em conta pré-paga.</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verificar no sistema de gestão as operações realizadas com o sítio na internet (dados cadastrais, extrato de utilização e créditos adquiridos)?</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Em conformidade com a Lei n° 13.709/2018 o sítio oferece mecanismo de solicitação de exclusão dos dados do sistema?</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7"/>
              </w:numPr>
              <w:spacing w:lineRule="auto" w:line="276" w:before="0" w:after="0"/>
              <w:ind w:hanging="360" w:left="0"/>
              <w:contextualSpacing/>
              <w:jc w:val="both"/>
              <w:rPr>
                <w:rFonts w:ascii="Arial" w:hAnsi="Arial" w:cs="Arial"/>
                <w:sz w:val="18"/>
                <w:szCs w:val="18"/>
              </w:rPr>
            </w:pPr>
            <w:r>
              <w:rPr>
                <w:rFonts w:cs="Arial" w:ascii="Arial" w:hAnsi="Arial"/>
                <w:sz w:val="18"/>
                <w:szCs w:val="18"/>
              </w:rPr>
              <w:t>O site permite visualizar as placas que receberam notificações possibilitando a regularização através de pagamento?</w:t>
            </w:r>
          </w:p>
        </w:tc>
        <w:tc>
          <w:tcPr>
            <w:tcW w:w="16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c>
          <w:tcPr>
            <w:tcW w:w="17" w:type="dxa"/>
            <w:tcBorders/>
            <w:tcMar>
              <w:left w:w="5" w:type="dxa"/>
              <w:right w:w="5" w:type="dxa"/>
            </w:tcMar>
          </w:tcPr>
          <w:p>
            <w:pPr>
              <w:pStyle w:val="Normal"/>
              <w:rPr/>
            </w:pPr>
            <w:r>
              <w:rPr/>
            </w:r>
          </w:p>
        </w:tc>
      </w:tr>
      <w:tr>
        <w:trPr/>
        <w:tc>
          <w:tcPr>
            <w:tcW w:w="6117"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5.3 – Aplicativos Disponibilizados Gratuitamente Nas Lojas Virtuais</w:t>
            </w:r>
          </w:p>
          <w:p>
            <w:pPr>
              <w:pStyle w:val="Normal"/>
              <w:spacing w:lineRule="auto" w:line="276" w:before="0" w:after="0"/>
              <w:contextualSpacing/>
              <w:jc w:val="both"/>
              <w:rPr>
                <w:rFonts w:ascii="Arial" w:hAnsi="Arial" w:cs="Arial"/>
                <w:sz w:val="18"/>
                <w:szCs w:val="18"/>
              </w:rPr>
            </w:pPr>
            <w:r>
              <w:rPr>
                <w:rFonts w:cs="Arial" w:ascii="Arial" w:hAnsi="Arial"/>
                <w:sz w:val="18"/>
                <w:szCs w:val="18"/>
              </w:rPr>
              <w:t>Os testes deverão ser feitos com as amostras “ANDROID” e “iOS”</w:t>
            </w:r>
          </w:p>
        </w:tc>
        <w:tc>
          <w:tcPr>
            <w:tcW w:w="1684"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33"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Acesso sem problemas do aplicativo nas amostras (IOS e ANDROID)?</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Solicita ao usuário autorização para acessar sua posição (latitude e longitude)? Deverá ser autorizado para uso das amostras.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Permite cadastro na plataforma?</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Solicita o CPF e a senha para acesso?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O aplicativo possui opção ativa de acesso via contas de terceiros (Apple ou Google)?</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Após o acesso é possível escolher a placa do veículo que deseja estacionar? Deverá ser informada uma placa aleatória para cada amostra “ANDROID” e “IOS”.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São apresentadas as opções de compra de horas de estacionamento de acordo com as tarifas do sistema?</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Compra de créditos no valor de R$5,00, através de transação PIX para cada amostra “ANDROID” e “IOS” (necessário confirmação desta operação em extrato bancário).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Compra de créditos através de Cartão de débito no valor de R$5,00 para cada amostra “ANDROID” e “IOS” (necessário confirmação desta operação em extrato bancário).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Compra de créditos através de Cartões de crédito no valor de R$5,00  (mínimo duas bandeiras) para cada amostra “ANDROID” e “IOS”.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Ativação de um tíquete de estacionamento de 120 minutos para uma placa aleatória no “IOS”.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Ativação de um tíquete de estacionamento de 60 minutos com placa diferente do item acima no “ANDROID”?</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Após a compra é informado de forma clara ao usuário o sucesso da transação e o tempo final de término do estacionamento nos dispositivos (ANDROID e IOS)?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O saldo utilizado nesta transação foi abatido do valor do saldo disponível no módulo de gerenciamento do usuário no aplicativo?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localizar as transações acima no extrato disponível no módulo de gerenciamento do usuário no aplicativo?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Uma vez escolhido o tempo, o aplicativo informou através de notificação o término do tempo de estacionamento?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Visualizar no APP, mapa das vagas do estacionamento rotativo por tipo de vaga (deficiente, idoso e vagas normais).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Verificar no próprio APP as vagas disponíveis para estacionamento em mapa? </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na tela inicial do aplicativo opção de estacionamento avulso sem necessidade de cadastro e login?</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selecionar o tipo de veículo para ativação do estacionamento sem necessidade de cadastro prévio?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inserir uma placa aleatória sem necessidade de cadastro prévio?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escolher a tarifa de estacionamento?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o pagamento pela utilização do estacionamento avulso através de chave PIX (esta transação deverá ser comprovada através de extrato bancário).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enviado e-mail de comprovante de estacionamento para cada ativação realizada?</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verificar no software de gestão as operações de ativação de estacionamento realizadas?</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O aplicativo permite apresentar as pendências de estacionamento para placas previamente cadastradas, contendo a data e hora da notificação, o valor a ser pago e permitir a regularização no próprio aplicativo? A empresa deverá simular a aplicação de um A</w:t>
            </w:r>
            <w:r>
              <w:rPr>
                <w:rFonts w:cs="Arial" w:ascii="Arial" w:hAnsi="Arial"/>
                <w:color w:val="000000"/>
                <w:sz w:val="18"/>
                <w:szCs w:val="18"/>
              </w:rPr>
              <w:t>D</w:t>
            </w:r>
            <w:r>
              <w:rPr>
                <w:rFonts w:cs="Arial" w:ascii="Arial" w:hAnsi="Arial"/>
                <w:sz w:val="18"/>
                <w:szCs w:val="18"/>
              </w:rPr>
              <w:t>CT (Aviso de Cobrança de Tarifa), verificar a pendência no APP (ANDROID e IOS) e realizar o pagamento da TPU.</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disponibiliza canal de atendimento ao usuário?</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6117"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18"/>
              </w:numPr>
              <w:spacing w:lineRule="auto" w:line="276" w:before="0" w:after="0"/>
              <w:ind w:hanging="360" w:left="0"/>
              <w:contextualSpacing/>
              <w:jc w:val="both"/>
              <w:rPr>
                <w:rFonts w:ascii="Arial" w:hAnsi="Arial" w:cs="Arial"/>
                <w:sz w:val="18"/>
                <w:szCs w:val="18"/>
              </w:rPr>
            </w:pPr>
            <w:r>
              <w:rPr>
                <w:rFonts w:cs="Arial" w:ascii="Arial" w:hAnsi="Arial"/>
                <w:sz w:val="18"/>
                <w:szCs w:val="18"/>
              </w:rPr>
              <w:t>Em conformidade com a Lei n° 13.709/2018 o APP oferece mecanismo de solicitação de exclusão dos dados do sistema?</w:t>
            </w:r>
          </w:p>
        </w:tc>
        <w:tc>
          <w:tcPr>
            <w:tcW w:w="16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32" w:type="dxa"/>
            <w:gridSpan w:val="2"/>
            <w:tcBorders/>
            <w:tcMar>
              <w:left w:w="5" w:type="dxa"/>
              <w:right w:w="5" w:type="dxa"/>
            </w:tcMar>
          </w:tcPr>
          <w:p>
            <w:pPr>
              <w:pStyle w:val="Normal"/>
              <w:snapToGrid w:val="false"/>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shd w:color="auto" w:fill="FFFFA6" w:val="clear"/>
            <w:tcMar>
              <w:left w:w="5" w:type="dxa"/>
              <w:right w:w="5" w:type="dxa"/>
            </w:tcM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5.4 – Compra De Tiquete Digital Avulso</w:t>
            </w:r>
          </w:p>
          <w:p>
            <w:pPr>
              <w:pStyle w:val="Normal"/>
              <w:spacing w:lineRule="auto" w:line="276" w:before="0" w:after="0"/>
              <w:contextualSpacing/>
              <w:jc w:val="both"/>
              <w:rPr>
                <w:rFonts w:ascii="Arial" w:hAnsi="Arial" w:cs="Arial"/>
                <w:sz w:val="18"/>
                <w:szCs w:val="18"/>
              </w:rPr>
            </w:pPr>
            <w:r>
              <w:rPr>
                <w:rFonts w:cs="Arial" w:ascii="Arial" w:hAnsi="Arial"/>
                <w:sz w:val="18"/>
                <w:szCs w:val="18"/>
              </w:rPr>
              <w:t>Os testes deverão ser feitos em apenas uma das amostras “ANDROID” ou “iOS”</w:t>
            </w:r>
          </w:p>
          <w:p>
            <w:pPr>
              <w:pStyle w:val="Normal"/>
              <w:spacing w:lineRule="auto" w:line="276" w:before="0" w:after="0"/>
              <w:contextualSpacing/>
              <w:jc w:val="both"/>
              <w:rPr>
                <w:rFonts w:ascii="Arial" w:hAnsi="Arial" w:cs="Arial"/>
                <w:sz w:val="18"/>
                <w:szCs w:val="18"/>
              </w:rPr>
            </w:pPr>
            <w:r>
              <w:rPr>
                <w:rFonts w:cs="Arial" w:ascii="Arial" w:hAnsi="Arial"/>
                <w:sz w:val="18"/>
                <w:szCs w:val="18"/>
              </w:rPr>
              <w:t>PAGAMENTO AVULSO ATRAVÉS DE SITE RESPONSIVO</w:t>
            </w:r>
          </w:p>
        </w:tc>
        <w:tc>
          <w:tcPr>
            <w:tcW w:w="1684" w:type="dxa"/>
            <w:gridSpan w:val="2"/>
            <w:tcBorders>
              <w:top w:val="single" w:sz="4" w:space="0" w:color="000000"/>
              <w:left w:val="single" w:sz="4" w:space="0" w:color="000000"/>
              <w:bottom w:val="single" w:sz="4" w:space="0" w:color="000000"/>
              <w:right w:val="single" w:sz="4" w:space="0" w:color="000000"/>
            </w:tcBorders>
            <w:shd w:color="auto" w:fill="FFFFA6" w:val="clear"/>
            <w:tcMar>
              <w:left w:w="5" w:type="dxa"/>
              <w:right w:w="5" w:type="dxa"/>
            </w:tcM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865" w:type="dxa"/>
            <w:gridSpan w:val="4"/>
            <w:tcBorders>
              <w:top w:val="single" w:sz="4" w:space="0" w:color="000000"/>
              <w:left w:val="single" w:sz="4" w:space="0" w:color="000000"/>
              <w:bottom w:val="single" w:sz="4" w:space="0" w:color="000000"/>
              <w:right w:val="single" w:sz="4" w:space="0" w:color="000000"/>
            </w:tcBorders>
            <w:shd w:color="auto" w:fill="FFFFA6" w:val="clear"/>
            <w:tcMar>
              <w:left w:w="5" w:type="dxa"/>
              <w:right w:w="5" w:type="dxa"/>
            </w:tcM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Ao acessar o QRCODE disponibilizado há opção de compra via website?</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Ao acessar o site é possível selecionar o tipo de veículo para ativação do estacionamento?</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Permite inserir uma placa aleatória sem necessidade de cadastro prévio?</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Permite escolher tempo de estacionamento?</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Permite informar e-mail para o recebimento de comprovante de estacionamento?</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Apresenta uma tela de confirmação, informando os dados escolhidos pelo usuário (placa, e-mail, tempo e valor)?</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Foi gerada a chave PIX para pagamento do estacionamento? </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Após realizar o pagamento, é possível confirmar esta transação em extrato de conta bancária?</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informa a ativação do tíquete com o nome da cidade, tempo, valor, data de início e término, placa e número de autentificação?</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Verificar no software de gestão as operações realizadas?</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50" w:type="dxa"/>
            <w:tcBorders/>
            <w:tcMar>
              <w:left w:w="0" w:type="dxa"/>
              <w:right w:w="0" w:type="dxa"/>
            </w:tcMar>
          </w:tcPr>
          <w:p>
            <w:pPr>
              <w:pStyle w:val="Normal"/>
              <w:snapToGrid w:val="false"/>
              <w:rPr>
                <w:rFonts w:ascii="Arial" w:hAnsi="Arial" w:cs="Arial"/>
                <w:sz w:val="18"/>
                <w:szCs w:val="18"/>
              </w:rPr>
            </w:pPr>
            <w:r>
              <w:rPr>
                <w:rFonts w:cs="Arial" w:ascii="Arial" w:hAnsi="Arial"/>
                <w:sz w:val="18"/>
                <w:szCs w:val="18"/>
              </w:rPr>
            </w:r>
          </w:p>
        </w:tc>
        <w:tc>
          <w:tcPr>
            <w:tcW w:w="6067"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numPr>
                <w:ilvl w:val="0"/>
                <w:numId w:val="19"/>
              </w:numPr>
              <w:spacing w:lineRule="auto" w:line="276" w:before="0" w:after="0"/>
              <w:ind w:hanging="360" w:left="0"/>
              <w:contextualSpacing/>
              <w:jc w:val="both"/>
              <w:rPr>
                <w:rFonts w:ascii="Arial" w:hAnsi="Arial" w:cs="Arial"/>
                <w:sz w:val="18"/>
                <w:szCs w:val="18"/>
              </w:rPr>
            </w:pPr>
            <w:r>
              <w:rPr>
                <w:rFonts w:cs="Arial" w:ascii="Arial" w:hAnsi="Arial"/>
                <w:sz w:val="18"/>
                <w:szCs w:val="18"/>
              </w:rPr>
              <w:t>A solução utiliza tecnologia de segurança tipo reCaptcha?</w:t>
            </w:r>
          </w:p>
        </w:tc>
        <w:tc>
          <w:tcPr>
            <w:tcW w:w="168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865" w:type="dxa"/>
            <w:gridSpan w:val="4"/>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bl>
    <w:p>
      <w:pPr>
        <w:pStyle w:val="Normal"/>
        <w:tabs>
          <w:tab w:val="clear" w:pos="708"/>
          <w:tab w:val="left" w:pos="735" w:leader="none"/>
        </w:tabs>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FASE 6 – FISCALIZAÇÃO</w:t>
      </w:r>
    </w:p>
    <w:tbl>
      <w:tblPr>
        <w:tblW w:w="966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167"/>
        <w:gridCol w:w="33"/>
        <w:gridCol w:w="1532"/>
        <w:gridCol w:w="18"/>
        <w:gridCol w:w="1915"/>
      </w:tblGrid>
      <w:tr>
        <w:trPr/>
        <w:tc>
          <w:tcPr>
            <w:tcW w:w="616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b/>
                <w:bCs/>
                <w:color w:val="000000"/>
                <w:sz w:val="18"/>
                <w:szCs w:val="18"/>
              </w:rPr>
            </w:pPr>
            <w:r>
              <w:rPr>
                <w:rFonts w:cs="Arial" w:ascii="Arial" w:hAnsi="Arial"/>
                <w:b/>
                <w:bCs/>
                <w:sz w:val="18"/>
                <w:szCs w:val="18"/>
              </w:rPr>
              <w:t>Fase 6.1 – Fiscalização</w:t>
            </w:r>
          </w:p>
          <w:p>
            <w:pPr>
              <w:pStyle w:val="Normal"/>
              <w:spacing w:lineRule="auto" w:line="276" w:before="0" w:after="0"/>
              <w:contextualSpacing/>
              <w:jc w:val="both"/>
              <w:rPr>
                <w:rFonts w:ascii="Arial" w:hAnsi="Arial" w:cs="Arial"/>
                <w:color w:val="000000"/>
                <w:sz w:val="18"/>
                <w:szCs w:val="18"/>
              </w:rPr>
            </w:pPr>
            <w:r>
              <w:rPr>
                <w:rFonts w:cs="Arial" w:ascii="Arial" w:hAnsi="Arial"/>
                <w:b/>
                <w:bCs/>
                <w:color w:val="000000"/>
                <w:sz w:val="18"/>
                <w:szCs w:val="18"/>
              </w:rPr>
              <w:t>Terminal de fiscalização tipo DPMF</w:t>
            </w:r>
            <w:r>
              <w:rPr>
                <w:rFonts w:cs="Arial" w:ascii="Arial" w:hAnsi="Arial"/>
                <w:color w:val="000000"/>
                <w:sz w:val="18"/>
                <w:szCs w:val="18"/>
              </w:rPr>
              <w:t xml:space="preserve"> </w:t>
            </w:r>
          </w:p>
          <w:p>
            <w:pPr>
              <w:pStyle w:val="Normal"/>
              <w:spacing w:lineRule="auto" w:line="276" w:before="0" w:after="0"/>
              <w:contextualSpacing/>
              <w:jc w:val="both"/>
              <w:rPr>
                <w:rFonts w:ascii="Arial" w:hAnsi="Arial" w:cs="Arial"/>
                <w:color w:val="000000"/>
                <w:sz w:val="18"/>
                <w:szCs w:val="18"/>
              </w:rPr>
            </w:pPr>
            <w:r>
              <w:rPr>
                <w:rFonts w:cs="Arial" w:ascii="Arial" w:hAnsi="Arial"/>
                <w:color w:val="000000"/>
                <w:sz w:val="18"/>
                <w:szCs w:val="18"/>
              </w:rPr>
              <w:t>Terminal de fiscalização tipo DPMF para agentes de apoio e agentes de trânsito – Etiqueta DPMF</w:t>
            </w:r>
          </w:p>
          <w:p>
            <w:pPr>
              <w:pStyle w:val="Normal"/>
              <w:spacing w:lineRule="auto" w:line="276" w:before="0" w:after="0"/>
              <w:contextualSpacing/>
              <w:jc w:val="both"/>
              <w:rPr>
                <w:rFonts w:ascii="Arial" w:hAnsi="Arial" w:cs="Arial"/>
                <w:sz w:val="18"/>
                <w:szCs w:val="18"/>
              </w:rPr>
            </w:pPr>
            <w:r>
              <w:rPr>
                <w:rFonts w:cs="Arial" w:ascii="Arial" w:hAnsi="Arial"/>
                <w:color w:val="000000"/>
                <w:sz w:val="18"/>
                <w:szCs w:val="18"/>
              </w:rPr>
              <w:t>Com o equipamento identificado com a etiqueta DPMF deverão ser feitos os procedimentos abaixo e na ordem informada</w:t>
            </w:r>
          </w:p>
        </w:tc>
        <w:tc>
          <w:tcPr>
            <w:tcW w:w="1583" w:type="dxa"/>
            <w:gridSpan w:val="3"/>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915"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Necessário realizar cadastro via sistema de gestão de 02 veículos estacionados na área definida para os testes, simulando que são placas de veículos com alertas gerados pelo município;</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Necessário realizar cadastro via sistema de gestão de 02 veículos estacionados na área definida para os testes, simulando que são placas de veículos isentos de pagamento. Deverá demonstrar a inclusão de documento que autorizou a isenção de pagamento;</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Necessário realizar a ativação de estacionamento, por qualquer um dos meios de pagamento, para 3 veículos estacionados na rua. Uma placa com 30 minutos, uma com 60 minutos e uma com 120 minutos.</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Acesso ao sistema instalado no equipamento. Foi solicitado que sejam informados usuário e senha para acesso ao sistema e o acesso foi realizado sem problemas?</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Caso seja informado um usuário e senha não cadastrado no sistema o acesso não é permitido? </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Ao realizar a fiscalização o sistema reconheceu de forma correta os caracteres da placa fiscalizada, em caso de erro possibilitou nova pesquisa ou a inserção manual da placa?</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Para uma das placas cujo estacionamento foi ativado, o sistema indicou que o veículo estava com estacionamento regular?</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Para uma placa aleatória cujo estacionamento não foi ativado, o sistema retornou à informação que não existe tíquete válido para esta placa? </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O sistema retornou com os dados do veículo, marca, modelo, espécie e/ou possibilita o preenchimento destes dados? </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É possível o registro de pelo menos 3 fotos para registrar a notificação? </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o registro de vídeo para registrar a notificação?</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gerou o registro do A</w:t>
            </w:r>
            <w:r>
              <w:rPr>
                <w:rFonts w:cs="Arial" w:ascii="Arial" w:hAnsi="Arial"/>
                <w:color w:val="000000"/>
                <w:sz w:val="18"/>
                <w:szCs w:val="18"/>
              </w:rPr>
              <w:t>D</w:t>
            </w:r>
            <w:r>
              <w:rPr>
                <w:rFonts w:cs="Arial" w:ascii="Arial" w:hAnsi="Arial"/>
                <w:sz w:val="18"/>
                <w:szCs w:val="18"/>
              </w:rPr>
              <w:t>CT, contendo data/hora da notificação, região e foto, permitindo acesso a esta informação pelos Usuários e posterior pagamento, dentro do prazo previsto de acordo com as regras estabelecidas para TPU;</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Ao fiscalizar os 02 veículos cadastrados com alertas gerados pelo município, foi possível receber esta informação no sistema de gestão? Essa informação NÃO foi disponibilizada no D</w:t>
            </w:r>
            <w:r>
              <w:rPr>
                <w:rFonts w:cs="Arial" w:ascii="Arial" w:hAnsi="Arial"/>
                <w:color w:val="000000"/>
                <w:sz w:val="18"/>
                <w:szCs w:val="18"/>
              </w:rPr>
              <w:t>M</w:t>
            </w:r>
            <w:r>
              <w:rPr>
                <w:rFonts w:cs="Arial" w:ascii="Arial" w:hAnsi="Arial"/>
                <w:sz w:val="18"/>
                <w:szCs w:val="18"/>
              </w:rPr>
              <w:t xml:space="preserve">PC </w:t>
            </w:r>
            <w:r>
              <w:rPr>
                <w:rFonts w:cs="Arial" w:ascii="Arial" w:hAnsi="Arial"/>
                <w:color w:val="000000"/>
                <w:sz w:val="18"/>
                <w:szCs w:val="18"/>
              </w:rPr>
              <w:t>acessado com o usuário dos agentes de apoio?</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color w:val="000000"/>
                <w:sz w:val="18"/>
                <w:szCs w:val="18"/>
              </w:rPr>
              <w:t>Ao fiscalizar os 02 veículos cadastrados com alertas gerados pelo município, foi possível receber esta informação no sistema de gestão? Essa informação foi disponibilizada no DMPC acessado com o usuário dos agentes de trânsito?</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rPr>
            </w:pPr>
            <w:r>
              <w:rPr>
                <w:rFonts w:cs="Arial" w:ascii="Arial" w:hAnsi="Arial"/>
                <w:color w:val="EE0000"/>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color w:val="EE0000"/>
                <w:sz w:val="18"/>
                <w:szCs w:val="18"/>
              </w:rPr>
            </w:pPr>
            <w:r>
              <w:rPr>
                <w:rFonts w:cs="Arial" w:ascii="Arial" w:hAnsi="Arial"/>
                <w:color w:val="EE0000"/>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Ao fiscalizar os 02 veículos cadastrados como veículos isentos de pagamento, foi possível receber esta informação no sistema de gestão? Essa informação foi disponibilizada no D</w:t>
            </w:r>
            <w:r>
              <w:rPr>
                <w:rFonts w:cs="Arial" w:ascii="Arial" w:hAnsi="Arial"/>
                <w:color w:val="000000"/>
                <w:sz w:val="18"/>
                <w:szCs w:val="18"/>
              </w:rPr>
              <w:t>M</w:t>
            </w:r>
            <w:r>
              <w:rPr>
                <w:rFonts w:cs="Arial" w:ascii="Arial" w:hAnsi="Arial"/>
                <w:sz w:val="18"/>
                <w:szCs w:val="18"/>
              </w:rPr>
              <w:t>PC?</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consultar no equipamento a situação das placas utilizadas neste teste?</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consultar no equipamento as informações referentes a cada placa pesquisada exibindo o final do estacionamento e qual a forma utilizada para ativação das horas de estacionamento? Para auxílio ao avaliador: de posse dos comprovantes em mãos verificar se todos os comprovantes batem com as informações geradas pelo equipamento.</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167"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spacing w:lineRule="auto" w:line="276" w:before="0" w:after="0"/>
              <w:ind w:hanging="360" w:left="0"/>
              <w:contextualSpacing/>
              <w:jc w:val="both"/>
              <w:rPr>
                <w:rFonts w:ascii="Arial" w:hAnsi="Arial" w:cs="Arial"/>
                <w:sz w:val="18"/>
                <w:szCs w:val="18"/>
              </w:rPr>
            </w:pPr>
            <w:r>
              <w:rPr>
                <w:rFonts w:cs="Arial" w:ascii="Arial" w:hAnsi="Arial"/>
                <w:sz w:val="18"/>
                <w:szCs w:val="18"/>
              </w:rPr>
              <w:t>Foi possível consultar no sistema de gestão um ADCT aplicado e depois foi demostrado que este ADCT foi cancelado através da compra do tíquete na tolerância de até 15 minutos?</w:t>
            </w:r>
          </w:p>
        </w:tc>
        <w:tc>
          <w:tcPr>
            <w:tcW w:w="1583"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6.</w:t>
            </w:r>
            <w:r>
              <w:rPr>
                <w:rFonts w:cs="Arial" w:ascii="Arial" w:hAnsi="Arial"/>
                <w:b/>
                <w:bCs/>
                <w:color w:val="000000"/>
                <w:sz w:val="18"/>
                <w:szCs w:val="18"/>
              </w:rPr>
              <w:t>2</w:t>
            </w:r>
            <w:r>
              <w:rPr>
                <w:rFonts w:cs="Arial" w:ascii="Arial" w:hAnsi="Arial"/>
                <w:b/>
                <w:bCs/>
                <w:sz w:val="18"/>
                <w:szCs w:val="18"/>
              </w:rPr>
              <w:t xml:space="preserve"> – Fiscalização</w:t>
            </w:r>
          </w:p>
          <w:p>
            <w:pPr>
              <w:pStyle w:val="Normal"/>
              <w:spacing w:lineRule="auto" w:line="276" w:before="0" w:after="0"/>
              <w:contextualSpacing/>
              <w:jc w:val="both"/>
              <w:rPr>
                <w:rFonts w:ascii="Arial" w:hAnsi="Arial" w:cs="Arial"/>
                <w:sz w:val="18"/>
                <w:szCs w:val="18"/>
              </w:rPr>
            </w:pPr>
            <w:r>
              <w:rPr>
                <w:rFonts w:cs="Arial" w:ascii="Arial" w:hAnsi="Arial"/>
                <w:sz w:val="18"/>
                <w:szCs w:val="18"/>
              </w:rPr>
              <w:t xml:space="preserve">Carro OCR – OPTICAL CHARACTER RECOGNITION – OCR PARA LEITURA AUTOMÁTICA DA PLACA DE VEÍCULOS </w:t>
            </w:r>
          </w:p>
          <w:p>
            <w:pPr>
              <w:pStyle w:val="Normal"/>
              <w:spacing w:lineRule="auto" w:line="276" w:before="0" w:after="0"/>
              <w:contextualSpacing/>
              <w:jc w:val="both"/>
              <w:rPr>
                <w:rFonts w:ascii="Arial" w:hAnsi="Arial" w:cs="Arial"/>
                <w:sz w:val="18"/>
                <w:szCs w:val="18"/>
              </w:rPr>
            </w:pPr>
            <w:r>
              <w:rPr>
                <w:rFonts w:cs="Arial" w:ascii="Arial" w:hAnsi="Arial"/>
                <w:sz w:val="18"/>
                <w:szCs w:val="18"/>
              </w:rPr>
              <w:t>A demonstração dos serviços de fiscalização por meio de tecnologia OCR, deverá ocorrer, obrigatoriamente, em via pública, com a amostra identificada como “CARRO OCR”.</w:t>
            </w:r>
          </w:p>
          <w:p>
            <w:pPr>
              <w:pStyle w:val="Normal"/>
              <w:spacing w:lineRule="auto" w:line="276" w:before="0" w:after="0"/>
              <w:contextualSpacing/>
              <w:jc w:val="both"/>
              <w:rPr>
                <w:rFonts w:ascii="Arial" w:hAnsi="Arial" w:cs="Arial"/>
                <w:sz w:val="18"/>
                <w:szCs w:val="18"/>
              </w:rPr>
            </w:pPr>
            <w:r>
              <w:rPr>
                <w:rFonts w:cs="Arial" w:ascii="Arial" w:hAnsi="Arial"/>
                <w:sz w:val="18"/>
                <w:szCs w:val="18"/>
              </w:rPr>
              <w:t>O Veículo OCR utilizado no teste deverá ser conduzido por motorista da licitante, acompanhado por membro ou membros da COMISSÃO DE AVALIAÇÃO.</w:t>
            </w:r>
          </w:p>
        </w:tc>
        <w:tc>
          <w:tcPr>
            <w:tcW w:w="1532"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933" w:type="dxa"/>
            <w:gridSpan w:val="2"/>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Inicialmente será realizada uma inspeção visual completa do equipamento para verificar se as informações contidas nos manuais condizem com o equipamento apresentado e atendem às exigências deste edital;</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Na sequência deverão ser apresentadas as certificações e homologações exigidas para o Sistema de Fiscalização com veículo OCR, em especial aqueles referentes a ANATEL e certificado linear e acurácia de receptor GPS/GNSS. Concluída essa etapa, serão realizados os testes e verificações abaixo;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Para testes do veículo OCR a empresa deverá georreferenciar uma área com no mínimo 50 vagas de contemplando vagas de estacionamento do lado direito da via, lado esquerdo da via e em ambos os lados, guias rebaixadas, simulações de vagas de idosos, simulações de vagas de deficientes, simulações de vagas de carga/descarga, simulações de vagas rápidas, simulações de vagas </w:t>
            </w:r>
            <w:r>
              <w:rPr>
                <w:rFonts w:cs="Arial" w:ascii="Arial" w:hAnsi="Arial"/>
                <w:color w:val="000000"/>
                <w:sz w:val="18"/>
                <w:szCs w:val="18"/>
              </w:rPr>
              <w:t>de</w:t>
            </w:r>
            <w:r>
              <w:rPr>
                <w:rFonts w:cs="Arial" w:ascii="Arial" w:hAnsi="Arial"/>
                <w:color w:val="EE0000"/>
                <w:sz w:val="18"/>
                <w:szCs w:val="18"/>
              </w:rPr>
              <w:t xml:space="preserve"> </w:t>
            </w:r>
            <w:r>
              <w:rPr>
                <w:rFonts w:cs="Arial" w:ascii="Arial" w:hAnsi="Arial"/>
                <w:color w:val="000000"/>
                <w:sz w:val="18"/>
                <w:szCs w:val="18"/>
              </w:rPr>
              <w:t>motos</w:t>
            </w:r>
            <w:r>
              <w:rPr>
                <w:rFonts w:cs="Arial" w:ascii="Arial" w:hAnsi="Arial"/>
                <w:sz w:val="18"/>
                <w:szCs w:val="18"/>
              </w:rPr>
              <w:t>, simulação de vagas de táxi.</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Para início dos testes a empresa deverá iniciar com a carga do arquivo georreferenciado no seu sistema de gestão. O arquivo foi carregado corretamente e sem problemas?</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O Conjunto de equipamentos apresentado possui monitor ou tablet para acompanhamento em tempo real das leituras das placas através da tecnologia OCR em modo mosaico, onde é possível visualizar as capturas de placas das câmeras simultaneamente? </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O Conjunto de equipamentos apresentado possui equipamento GPS com tecnologia de geolocalização de alta precisão acoplado ao veículo conforme especificações deste edital? </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O Conjunto de equipamentos apresentado possui modem com tecnologia, pelo menos 3G/4G, com roteador WI-FI acoplado, conforme especificação deste edital? </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O veículo possui a capacidade de registrar as placas traseiras e dianteiras do veículo estacionado?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realizar a leitura através das câmeras instaladas no veículo de fiscalização das placas de sinalização vertical R-6b (Obrigatório o pagamento da tarifa) e apontar no sistema de gestão da aplicação a imagem da placa de sinalização lida e sua localização (Latitude e Longitude) e distância do veículo fiscalizado?</w:t>
            </w:r>
          </w:p>
          <w:p>
            <w:pPr>
              <w:pStyle w:val="Normal"/>
              <w:spacing w:lineRule="auto" w:line="276" w:before="0" w:after="0"/>
              <w:contextualSpacing/>
              <w:jc w:val="both"/>
              <w:rPr>
                <w:rFonts w:ascii="Arial" w:hAnsi="Arial" w:cs="Arial"/>
                <w:sz w:val="18"/>
                <w:szCs w:val="18"/>
              </w:rPr>
            </w:pPr>
            <w:r>
              <w:rPr>
                <w:rFonts w:cs="Arial" w:ascii="Arial" w:hAnsi="Arial"/>
                <w:sz w:val="18"/>
                <w:szCs w:val="18"/>
              </w:rPr>
              <w:t>Caso o município não tenha esta placa de sinalização devidamente instalada na via georreferenciada a empresa proponente e participante do teste deverá providenciar a instalação de no mínimo 2 (duas) placas R-6b para apresentação neste teste.</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OCR apresentado permite que o acionamento das câmeras seja efetuado de forma automática, sem intervenção humana, de acordo com o regramento da via, para que os equipamentos individualmente sejam acionados e/ou desligados, acionando as câmeras do lado direito somente quando o estacionamento for do lado direito, não permitindo captura do lado esquerdo, assim sucessivamente para o lado esquerdo e/ou acionando as câmeras conjuntas de ambos os lados quando for assim o estacionamento da via, não sendo permitida a exclusão de capturas realizadas do lado não fiscalizado no sistema de gestão?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Deverá ser demonstrado que a captura das placas ocorre em veículos estacionados em vagas específicas que pertencem ao sistema de estacionamento rotativo, descartando vagas não tarifadas, guias rebaixadas, vagas especiais como vagas de idosos e deficientes ou qualquer outra vaga que não pertença ao sistema de estacionamento rotativo. A licitante demonstrou corretamente estas capturas de placas?</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Informou se o tipo da vaga capturada no sistema de gestão é vaga de idoso? A vaga capturada corresponde geograficamente ao apontamento feito em campo?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Informou se o tipo da vaga capturada no sistema de gestão é vaga de deficiente? A vaga capturada corresponde geograficamente ao apontamento feito em campo?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Informou se o tipo da vaga capturada no sistema de gestão é vaga de carga/descarga? A vaga capturada corresponde geograficamente ao apontamento feito em campo?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Informou se o tipo da vaga capturada no sistema de gestão é vaga rápida? A vaga capturada corresponde geograficamente ao apontamento feito em campo?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Informou se o tipo da vaga capturada no sistema de gestão é vaga de táxi? A vaga capturada corresponde geograficamente ao apontamento feito em campo?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Deverá informar se o tipo da vaga capturada no sistema de gestão é vaga de estacionamento e se está sem o pagamento da tarifa. A vaga capturada corresponde geograficamente ao apontamento feito em campo? A imagem registrada da captura contém no mínimo as seguintes informações: Data/Hora, Latitude/Longitude e Distância em metros do momento da captura da imagem para o veículo infrator? (Exemplo: veículo OCR estava a 4,75 metros do veículo infrator no momento do registro da possível infração). Para está simulação deverá ser considerado a segunda passagem do veículo, considerando o tempo de 10 minutos entre o primeiro e o segundo registro do veículo. </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verificar no sistema de gestão as imagens capturadas e suas respectivas informações: Número da placa, logradouro posição GPS de todas as capturas de placas realizadas pelo veículo OCR?</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verificar no sistema de gestão o vídeo com pelo menos 3 segundos de duração, gerado no momento da captura da placa irregular (sem pagamento da tarifa)?</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consultar no D</w:t>
            </w:r>
            <w:r>
              <w:rPr>
                <w:rFonts w:cs="Arial" w:ascii="Arial" w:hAnsi="Arial"/>
                <w:color w:val="000000"/>
                <w:sz w:val="18"/>
                <w:szCs w:val="18"/>
              </w:rPr>
              <w:t>M</w:t>
            </w:r>
            <w:r>
              <w:rPr>
                <w:rFonts w:cs="Arial" w:ascii="Arial" w:hAnsi="Arial"/>
                <w:sz w:val="18"/>
                <w:szCs w:val="18"/>
              </w:rPr>
              <w:t xml:space="preserve">PC dos </w:t>
            </w:r>
            <w:r>
              <w:rPr>
                <w:rFonts w:cs="Arial" w:ascii="Arial" w:hAnsi="Arial"/>
                <w:color w:val="000000"/>
                <w:sz w:val="18"/>
                <w:szCs w:val="18"/>
              </w:rPr>
              <w:t>agentes de apoio ou de trânsito</w:t>
            </w:r>
            <w:r>
              <w:rPr>
                <w:rFonts w:cs="Arial" w:ascii="Arial" w:hAnsi="Arial"/>
                <w:sz w:val="18"/>
                <w:szCs w:val="18"/>
              </w:rPr>
              <w:t>, o status de um veículo capturado pelo veículo LPR/OCR?</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Para este teste, deverá ser alterado, a critério do avaliador, o status do tipo da vaga no sistema de gestão da aplicação de 10 (dez) vagas. Após a alteração do status das vagas, o veículo deverá realizar nova passada pelas vagas georreferenciadas. O veículo deverá receber automaticamente a informação da alteração das vagas alteradas, nenhuma carga manual ou inserção de dados no veículo será permitida. Foi possível capturar com o veículo em campo o novo status das vagas alteradas?</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Realizar cadastro de 02 veículos estacionados na área definida para os testes simulando que são placas de veículos isentos de pagamento;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Para realização do próximo teste, serão utilizadas as 04 placas cadastradas de veículos estacionados no local de realização dos testes, simulando que 02 placas são veículos procurados e 02 placas são de veículos com isenção de pagamento de estacionamento. Em seguida, rodando com o veículo na área definida para o teste, o sistema detectou corretamente a condição dos veículos cadastrados e emitiu o alerta sonoro correspondente no sistema de gestão?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O teste do CARRO OCR também deverá enfileirar 10 carros e obter 80% de taxa de leitura (8 carros) em teste controlado pela comissão, as placas serão registradas previamente em prancheta e comparadas com o material de leitura, imagem, placa, endereço para averiguar acuracidade. O resultado das capturas apresentou mais de 80% de leitura correta, considerando placas e endereço?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GPS do veículo indica com alta precisão a localização das capturas das imagens, sendo possível verificar no sistema de gestão a autenticidade do logradouro obtido através do sistema de GPS de precisão?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demonstrar que o GPS está conectado e recebendo correções de serviço RTK (Real Time Kinematic ou Posicionamento Cinemático em Tempo Real), com modo de posicionamento Kinematic?</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É possível verificar no sistema de gestão o percurso do veículo fiscalizador? </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de controle de leitura automática de placas, deverá registrar a quantidade de placas lidas, quilometragem percorrida, quantidade de veículos regulares e quantidade de veículos irregulares. Foi possível realizar esta consulta no sistema de gestão?</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1"/>
              </w:numPr>
              <w:spacing w:lineRule="auto" w:line="276" w:before="0" w:after="0"/>
              <w:ind w:hanging="360" w:left="0"/>
              <w:contextualSpacing/>
              <w:jc w:val="both"/>
              <w:rPr>
                <w:rFonts w:ascii="Arial" w:hAnsi="Arial" w:cs="Arial"/>
                <w:sz w:val="18"/>
                <w:szCs w:val="18"/>
              </w:rPr>
            </w:pPr>
            <w:r>
              <w:rPr>
                <w:rFonts w:cs="Arial" w:ascii="Arial" w:hAnsi="Arial"/>
                <w:sz w:val="18"/>
                <w:szCs w:val="18"/>
              </w:rPr>
              <w:t>As imagens capturadas pelo veículo com sistema LPR/OCR possuem marca d'água com data hora, coordenadas do local da captura e distância do veículo capturado, comprovando a autenticidade?</w:t>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3"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bl>
    <w:p>
      <w:pPr>
        <w:pStyle w:val="Normal"/>
        <w:spacing w:lineRule="auto" w:line="276" w:before="0" w:after="0"/>
        <w:contextualSpacing/>
        <w:jc w:val="both"/>
        <w:rPr>
          <w:rFonts w:ascii="Arial" w:hAnsi="Arial" w:cs="Arial"/>
          <w:sz w:val="18"/>
          <w:szCs w:val="18"/>
        </w:rPr>
      </w:pPr>
      <w:r>
        <w:rPr>
          <w:rFonts w:cs="Arial" w:ascii="Arial" w:hAnsi="Arial"/>
          <w:sz w:val="18"/>
          <w:szCs w:val="18"/>
        </w:rPr>
      </w:r>
    </w:p>
    <w:p>
      <w:pPr>
        <w:pStyle w:val="Normal"/>
        <w:tabs>
          <w:tab w:val="clear" w:pos="708"/>
          <w:tab w:val="left" w:pos="735" w:leader="none"/>
        </w:tabs>
        <w:spacing w:lineRule="auto" w:line="276" w:before="0" w:after="0"/>
        <w:contextualSpacing/>
        <w:jc w:val="both"/>
        <w:rPr>
          <w:rFonts w:ascii="Arial" w:hAnsi="Arial" w:cs="Arial"/>
          <w:b/>
          <w:bCs/>
          <w:sz w:val="18"/>
          <w:szCs w:val="18"/>
        </w:rPr>
      </w:pPr>
      <w:r>
        <w:rPr>
          <w:rFonts w:cs="Arial" w:ascii="Arial" w:hAnsi="Arial"/>
          <w:b/>
          <w:bCs/>
          <w:sz w:val="18"/>
          <w:szCs w:val="18"/>
        </w:rPr>
        <w:t>FASE 7 – SISTEMA DE GESTÃO E RELATÓRIOS</w:t>
      </w:r>
    </w:p>
    <w:tbl>
      <w:tblPr>
        <w:tblW w:w="966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217"/>
        <w:gridCol w:w="1515"/>
        <w:gridCol w:w="1934"/>
      </w:tblGrid>
      <w:tr>
        <w:trPr/>
        <w:tc>
          <w:tcPr>
            <w:tcW w:w="6217"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b/>
                <w:bCs/>
                <w:sz w:val="18"/>
                <w:szCs w:val="18"/>
              </w:rPr>
              <w:t>Fase 7.1 – Sistema de gestão E Relatórios</w:t>
            </w:r>
          </w:p>
          <w:p>
            <w:pPr>
              <w:pStyle w:val="Normal"/>
              <w:spacing w:lineRule="auto" w:line="276" w:before="0" w:after="0"/>
              <w:contextualSpacing/>
              <w:jc w:val="both"/>
              <w:rPr>
                <w:rFonts w:ascii="Arial" w:hAnsi="Arial" w:cs="Arial"/>
                <w:sz w:val="18"/>
                <w:szCs w:val="18"/>
              </w:rPr>
            </w:pPr>
            <w:r>
              <w:rPr>
                <w:rFonts w:cs="Arial" w:ascii="Arial" w:hAnsi="Arial"/>
                <w:sz w:val="18"/>
                <w:szCs w:val="18"/>
              </w:rPr>
              <w:t xml:space="preserve">Os testes deverão ser feitos utilizando a amostra </w:t>
            </w:r>
          </w:p>
        </w:tc>
        <w:tc>
          <w:tcPr>
            <w:tcW w:w="1515"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Aprovado (A)</w:t>
            </w:r>
          </w:p>
        </w:tc>
        <w:tc>
          <w:tcPr>
            <w:tcW w:w="1934" w:type="dxa"/>
            <w:tcBorders>
              <w:top w:val="single" w:sz="4" w:space="0" w:color="000000"/>
              <w:left w:val="single" w:sz="4" w:space="0" w:color="000000"/>
              <w:bottom w:val="single" w:sz="4" w:space="0" w:color="000000"/>
              <w:right w:val="single" w:sz="4" w:space="0" w:color="000000"/>
            </w:tcBorders>
            <w:shd w:color="auto" w:fill="FFFFA6" w:val="clear"/>
          </w:tcPr>
          <w:p>
            <w:pPr>
              <w:pStyle w:val="Normal"/>
              <w:spacing w:lineRule="auto" w:line="276" w:before="0" w:after="0"/>
              <w:contextualSpacing/>
              <w:jc w:val="both"/>
              <w:rPr>
                <w:rFonts w:ascii="Arial" w:hAnsi="Arial" w:cs="Arial"/>
                <w:sz w:val="18"/>
                <w:szCs w:val="18"/>
              </w:rPr>
            </w:pPr>
            <w:r>
              <w:rPr>
                <w:rFonts w:cs="Arial" w:ascii="Arial" w:hAnsi="Arial"/>
                <w:sz w:val="18"/>
                <w:szCs w:val="18"/>
              </w:rPr>
              <w:t>Não Aprov. (N/A)</w:t>
            </w:r>
          </w:p>
        </w:tc>
      </w:tr>
      <w:tr>
        <w:trPr>
          <w:trHeight w:val="397" w:hRule="atLeast"/>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acessar o sistema de gestão?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solicitado usuário e senha para acesso ao sistema de gestão, duplo fator de autentificarão?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consultar no sistema de gestão todas as informações preenchidas em todos os itens dos testes feitos?</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 xml:space="preserve">É possível consultar em mapa georreferenciado a posição da amostra </w:t>
            </w:r>
            <w:r>
              <w:rPr>
                <w:rFonts w:cs="Arial" w:ascii="Arial" w:hAnsi="Arial"/>
                <w:color w:val="000000"/>
                <w:sz w:val="18"/>
                <w:szCs w:val="18"/>
              </w:rPr>
              <w:t>DPMF</w:t>
            </w:r>
            <w:r>
              <w:rPr>
                <w:rFonts w:cs="Arial" w:ascii="Arial" w:hAnsi="Arial"/>
                <w:sz w:val="18"/>
                <w:szCs w:val="18"/>
              </w:rPr>
              <w:t xml:space="preserve"> e CARRO OCR?</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visualizar todas as transações feitas anteriormente em todos os formatos de venda, recargas e os ADCT ’s emitidos com suas respectivas fotos e ou vídeos?</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gerar lote com os ADCT ‘s irregulares para convalidação pelo Agente de Trânsito e posterior processamento de multas?</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cadastrar a biometria do Agente de Trânsito?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É possível acessar um módulo específico destinado à Autoridade de Trânsito através da biometria?</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o cadastramento das áreas de estacionamento controlados pelo sistema?</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o cadastramento dos valores de estacionamento para cada zona de estacionamento, tipo de veículo e período que um veículo pode ficar estacionado?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oferece condições de reconfiguração, inclusive remotamente, dos tempos de permanência e seus preços, assim como tempos de rotatividade e preços diferentes para cada zona de estacionamento?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possibilita a determinação do nível de usuário pelo administrador do sistema, assim como o direito e privilégios da visualização segmentada das informações, ou seja, cada usuário visualizará apenas as informações autorizadas, conforme configuração e privilégio de seu perfil?</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apresenta relatório de venda de créditos considerando a forma de pagamento, período do dia e valor de crédito comercializado?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apresenta relatório contemplando quantidade de placas, identificação de irregularidades, segmentado por horário do dia e por agente?</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de gestão demonstra marcas de calor no mapa, capaz de mostrar os níveis da densidade de uso nas regiões de ativação, dos veículos estacionados que utilizaram o sistema e veículos fiscalizados?</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exibe mapa georreferenciado demonstrando o status das vagas, se disponíveis ou ocupadas, se com pagamento vigente ou sem pagamento?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a exportação de relatórios gerados nos formatos PDF ou CSV?</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a consulta e visualização das irregularidades registradas, tendo como filtro a placa do veículo e período?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gerar relatórios, por data e resumos totalizadores sobre a arrecadação num período referente aos créditos eletrônicos comercializados e ativados por dia, mês ou período aleatório a ser definido pelo avaliador?</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acesso às funcionalidades pelos usuários, somente pelo perfil de utilização daquela determinada funcionalidade?</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registrar para auditoria toda utilização do sistema, contendo data e hora de acesso, login e funcionalidade acessada?</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A rota percorrida pelo CARRO OCR com o sistema de leitura automática de placas de veículos ficou registrada no sistema?</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apresenta os dados km rodado + região percorrida do CARRO OCR?</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relatório dos veículos reconhecidos dos veículos, regulares, irregulares e com restrições apontados pelo CARRO OCR?</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Foi apresentado mapa contendo a localização de cada placa com pendência, acompanhada de a foto do veículo?</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spacing w:lineRule="auto" w:line="276" w:before="0" w:after="0"/>
              <w:ind w:hanging="360" w:left="0"/>
              <w:contextualSpacing/>
              <w:jc w:val="both"/>
              <w:rPr>
                <w:rFonts w:ascii="Arial" w:hAnsi="Arial" w:cs="Arial"/>
                <w:sz w:val="18"/>
                <w:szCs w:val="18"/>
              </w:rPr>
            </w:pPr>
            <w:r>
              <w:rPr>
                <w:rFonts w:cs="Arial" w:ascii="Arial" w:hAnsi="Arial"/>
                <w:sz w:val="18"/>
                <w:szCs w:val="18"/>
              </w:rPr>
              <w:t>O sistema permite o acompanhamento em tela contendo todas as informações numéricas de leitura, carros em campo + infrações registradas?</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p>
        </w:tc>
        <w:tc>
          <w:tcPr>
            <w:tcW w:w="19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contextualSpacing/>
              <w:jc w:val="both"/>
              <w:rPr>
                <w:rFonts w:ascii="Arial" w:hAnsi="Arial" w:cs="Arial"/>
                <w:sz w:val="18"/>
                <w:szCs w:val="18"/>
              </w:rPr>
            </w:pPr>
            <w:r>
              <w:rPr>
                <w:rFonts w:cs="Arial" w:ascii="Arial" w:hAnsi="Arial"/>
                <w:sz w:val="18"/>
                <w:szCs w:val="18"/>
              </w:rPr>
            </w:r>
            <w:bookmarkStart w:id="46" w:name="_Hlk200990574"/>
            <w:bookmarkStart w:id="47" w:name="_Hlk200990574"/>
            <w:bookmarkEnd w:id="47"/>
          </w:p>
        </w:tc>
      </w:tr>
    </w:tbl>
    <w:p>
      <w:pPr>
        <w:pStyle w:val="Normal"/>
        <w:spacing w:lineRule="auto" w:line="276" w:before="0" w:after="0"/>
        <w:contextualSpacing/>
        <w:jc w:val="both"/>
        <w:rPr>
          <w:rFonts w:ascii="Calibri" w:hAnsi="Calibri" w:cs="Calibri"/>
          <w:sz w:val="22"/>
          <w:szCs w:val="22"/>
        </w:rPr>
      </w:pPr>
      <w:r>
        <w:rPr>
          <w:rFonts w:cs="Calibri" w:ascii="Calibri" w:hAnsi="Calibri"/>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ANEXOS:</w:t>
      </w:r>
    </w:p>
    <w:p>
      <w:pPr>
        <w:pStyle w:val="Normal"/>
        <w:spacing w:lineRule="auto" w:line="360"/>
        <w:ind w:right="-54"/>
        <w:jc w:val="both"/>
        <w:rPr>
          <w:rFonts w:ascii="Arial" w:hAnsi="Arial" w:cs="Arial"/>
          <w:b/>
          <w:bCs/>
          <w:sz w:val="22"/>
          <w:szCs w:val="22"/>
        </w:rPr>
      </w:pPr>
      <w:r>
        <w:rPr>
          <w:rFonts w:cs="Arial" w:ascii="Arial" w:hAnsi="Arial"/>
          <w:b/>
          <w:bCs/>
          <w:sz w:val="22"/>
          <w:szCs w:val="22"/>
        </w:rPr>
        <w:t>I. Mapas de trajeto dos veículos</w:t>
      </w:r>
    </w:p>
    <w:p>
      <w:pPr>
        <w:pStyle w:val="Normal"/>
        <w:spacing w:lineRule="auto" w:line="360"/>
        <w:ind w:right="-54"/>
        <w:jc w:val="both"/>
        <w:rPr>
          <w:rFonts w:ascii="Arial" w:hAnsi="Arial" w:cs="Arial"/>
          <w:b/>
          <w:bCs/>
          <w:sz w:val="22"/>
          <w:szCs w:val="22"/>
        </w:rPr>
      </w:pPr>
      <w:r>
        <w:rPr>
          <w:rFonts w:cs="Arial" w:ascii="Arial" w:hAnsi="Arial"/>
          <w:b/>
          <w:bCs/>
          <w:sz w:val="22"/>
          <w:szCs w:val="22"/>
        </w:rPr>
        <w:t>II. Especificações dos sistemas atualmente utilizados pelo Departamento de Mobilidade e Trânsito da Prefeitura de Itatiba</w:t>
      </w:r>
    </w:p>
    <w:p>
      <w:pPr>
        <w:pStyle w:val="Normal"/>
        <w:spacing w:lineRule="auto" w:line="360"/>
        <w:ind w:right="-54"/>
        <w:jc w:val="both"/>
        <w:rPr>
          <w:rFonts w:ascii="Arial" w:hAnsi="Arial" w:cs="Arial"/>
          <w:sz w:val="22"/>
          <w:szCs w:val="22"/>
        </w:rPr>
      </w:pPr>
      <w:r>
        <w:rPr>
          <w:rFonts w:cs="Arial" w:ascii="Arial" w:hAnsi="Arial"/>
          <w:b/>
          <w:bCs/>
          <w:sz w:val="22"/>
          <w:szCs w:val="22"/>
        </w:rPr>
        <w:t>IV. Cronograma Físico/Financeiro</w:t>
      </w:r>
    </w:p>
    <w:p>
      <w:pPr>
        <w:pStyle w:val="Normal"/>
        <w:spacing w:lineRule="auto" w:line="360" w:before="138" w:after="0"/>
        <w:jc w:val="both"/>
        <w:rPr>
          <w:rFonts w:ascii="Arial" w:hAnsi="Arial" w:eastAsia="NSimSun" w:cs="Arial"/>
          <w:sz w:val="22"/>
          <w:szCs w:val="22"/>
          <w:lang w:bidi="hi-IN"/>
        </w:rPr>
      </w:pPr>
      <w:r>
        <w:rPr>
          <w:rFonts w:eastAsia="NSimSun" w:cs="Arial" w:ascii="Arial" w:hAnsi="Arial"/>
          <w:sz w:val="22"/>
          <w:szCs w:val="22"/>
          <w:lang w:bidi="hi-IN"/>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Header"/>
        <w:spacing w:lineRule="auto" w:line="360"/>
        <w:rPr>
          <w:rFonts w:ascii="Arial" w:hAnsi="Arial" w:cs="Arial"/>
          <w:b/>
          <w:sz w:val="22"/>
          <w:szCs w:val="22"/>
        </w:rPr>
      </w:pPr>
      <w:r>
        <w:rPr>
          <w:rFonts w:cs="Arial" w:ascii="Arial" w:hAnsi="Arial"/>
          <w:b/>
          <w:sz w:val="22"/>
          <w:szCs w:val="22"/>
        </w:rPr>
      </w:r>
    </w:p>
    <w:p>
      <w:pPr>
        <w:pStyle w:val="Normal"/>
        <w:tabs>
          <w:tab w:val="clear" w:pos="708"/>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117</w:t>
      </w:r>
      <w:r>
        <w:rPr>
          <w:rFonts w:cs="Arial" w:ascii="Arial" w:hAnsi="Arial"/>
          <w:b/>
          <w:bCs/>
          <w:sz w:val="22"/>
          <w:szCs w:val="22"/>
        </w:rPr>
        <w:t>/2025</w:t>
      </w:r>
    </w:p>
    <w:p>
      <w:pPr>
        <w:pStyle w:val="Normal"/>
        <w:spacing w:lineRule="auto" w:line="360"/>
        <w:ind w:right="-57"/>
        <w:jc w:val="both"/>
        <w:rPr>
          <w:rFonts w:ascii="Arial" w:hAnsi="Arial" w:eastAsia="Arial" w:cs="Arial"/>
          <w:sz w:val="22"/>
          <w:szCs w:val="22"/>
        </w:rPr>
      </w:pPr>
      <w:r>
        <w:rPr>
          <w:rFonts w:cs="Arial" w:ascii="Arial" w:hAnsi="Arial"/>
          <w:b/>
          <w:bCs/>
          <w:sz w:val="22"/>
          <w:szCs w:val="22"/>
        </w:rPr>
        <w:t>Processo nº 8.719/2025</w:t>
      </w:r>
    </w:p>
    <w:p>
      <w:pPr>
        <w:pStyle w:val="Normal"/>
        <w:tabs>
          <w:tab w:val="clear" w:pos="708"/>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ind w:right="-54"/>
        <w:jc w:val="both"/>
        <w:rPr>
          <w:rFonts w:ascii="Arial" w:hAnsi="Arial" w:cs="Arial"/>
          <w:sz w:val="22"/>
          <w:szCs w:val="22"/>
          <w:u w:val="single"/>
        </w:rPr>
      </w:pPr>
      <w:r>
        <w:rPr>
          <w:rFonts w:cs="Arial" w:ascii="Arial" w:hAnsi="Arial"/>
          <w:sz w:val="22"/>
          <w:szCs w:val="22"/>
          <w:u w:val="single"/>
        </w:rPr>
      </w:r>
    </w:p>
    <w:p>
      <w:pPr>
        <w:pStyle w:val="Normal"/>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8"/>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117</w:t>
      </w:r>
      <w:r>
        <w:rPr>
          <w:rFonts w:cs="Arial" w:ascii="Arial" w:hAnsi="Arial"/>
          <w:b/>
          <w:bCs/>
          <w:sz w:val="22"/>
          <w:szCs w:val="22"/>
        </w:rPr>
        <w:t>/2025</w:t>
      </w:r>
    </w:p>
    <w:p>
      <w:pPr>
        <w:pStyle w:val="Normal"/>
        <w:spacing w:lineRule="auto" w:line="360"/>
        <w:ind w:right="-57"/>
        <w:jc w:val="both"/>
        <w:rPr>
          <w:rFonts w:ascii="Arial" w:hAnsi="Arial" w:eastAsia="Arial" w:cs="Arial"/>
          <w:sz w:val="22"/>
          <w:szCs w:val="22"/>
        </w:rPr>
      </w:pPr>
      <w:r>
        <w:rPr>
          <w:rFonts w:cs="Arial" w:ascii="Arial" w:hAnsi="Arial"/>
          <w:b/>
          <w:bCs/>
          <w:sz w:val="22"/>
          <w:szCs w:val="22"/>
        </w:rPr>
        <w:t>Processo nº 8.719/2025</w:t>
      </w:r>
    </w:p>
    <w:p>
      <w:pPr>
        <w:pStyle w:val="Normal"/>
        <w:tabs>
          <w:tab w:val="clear" w:pos="708"/>
          <w:tab w:val="left" w:pos="1978" w:leader="none"/>
        </w:tabs>
        <w:spacing w:lineRule="auto" w:line="360"/>
        <w:ind w:right="-54"/>
        <w:jc w:val="both"/>
        <w:rPr>
          <w:rFonts w:ascii="Arial" w:hAnsi="Arial" w:cs="Arial"/>
          <w:b/>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8"/>
          <w:tab w:val="center" w:pos="4704" w:leader="none"/>
        </w:tabs>
        <w:spacing w:lineRule="auto" w:line="360"/>
        <w:ind w:right="-54"/>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93</w:t>
      </w:r>
      <w:r>
        <w:rPr>
          <w:rFonts w:cs="Arial" w:ascii="Arial" w:hAnsi="Arial"/>
          <w:sz w:val="22"/>
          <w:szCs w:val="22"/>
        </w:rPr>
        <w:t>/2025),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8"/>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117</w:t>
      </w:r>
      <w:r>
        <w:rPr>
          <w:rFonts w:cs="Arial" w:ascii="Arial" w:hAnsi="Arial"/>
          <w:b/>
          <w:bCs/>
          <w:sz w:val="22"/>
          <w:szCs w:val="22"/>
        </w:rPr>
        <w:t>/2025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rPr>
        <w:t>Processo nº 8.719/2025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eastAsia="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em lei, que esta empresa, na presente data enquadra-se como:</w:t>
      </w:r>
    </w:p>
    <w:p>
      <w:pPr>
        <w:pStyle w:val="Normal"/>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 - 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93</w:t>
      </w:r>
      <w:r>
        <w:rPr>
          <w:rFonts w:cs="Arial" w:ascii="Arial" w:hAnsi="Arial"/>
          <w:b/>
          <w:bCs/>
          <w:sz w:val="22"/>
          <w:szCs w:val="22"/>
        </w:rPr>
        <w:t>/2025</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8.719/2025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tbl>
      <w:tblPr>
        <w:tblW w:w="9416"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3455"/>
        <w:gridCol w:w="1135"/>
        <w:gridCol w:w="1134"/>
        <w:gridCol w:w="1274"/>
        <w:gridCol w:w="1418"/>
      </w:tblGrid>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Lote 01</w:t>
            </w:r>
          </w:p>
        </w:tc>
        <w:tc>
          <w:tcPr>
            <w:tcW w:w="3455"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rPr>
                <w:rFonts w:ascii="Arial" w:hAnsi="Arial" w:cs="Arial"/>
                <w:b/>
                <w:bCs/>
                <w:sz w:val="16"/>
                <w:szCs w:val="16"/>
              </w:rPr>
            </w:pPr>
            <w:r>
              <w:rPr>
                <w:rFonts w:cs="Arial" w:ascii="Arial" w:hAnsi="Arial"/>
                <w:b/>
                <w:bCs/>
                <w:sz w:val="16"/>
                <w:szCs w:val="16"/>
              </w:rPr>
              <w:t>Material</w:t>
            </w:r>
          </w:p>
        </w:tc>
        <w:tc>
          <w:tcPr>
            <w:tcW w:w="1135"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rPr>
                <w:rFonts w:ascii="Arial" w:hAnsi="Arial" w:cs="Arial"/>
                <w:b/>
                <w:bCs/>
                <w:sz w:val="16"/>
                <w:szCs w:val="16"/>
              </w:rPr>
            </w:pPr>
            <w:r>
              <w:rPr>
                <w:rFonts w:cs="Arial" w:ascii="Arial" w:hAnsi="Arial"/>
                <w:b/>
                <w:bCs/>
                <w:sz w:val="16"/>
                <w:szCs w:val="16"/>
              </w:rPr>
              <w:t>Unidade</w:t>
            </w:r>
          </w:p>
        </w:tc>
        <w:tc>
          <w:tcPr>
            <w:tcW w:w="1134"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Quantidade</w:t>
            </w:r>
          </w:p>
        </w:tc>
        <w:tc>
          <w:tcPr>
            <w:tcW w:w="1274"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Preço Unitário</w:t>
            </w:r>
          </w:p>
        </w:tc>
        <w:tc>
          <w:tcPr>
            <w:tcW w:w="1418"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right"/>
              <w:rPr>
                <w:rFonts w:ascii="Arial" w:hAnsi="Arial" w:cs="Arial"/>
                <w:b/>
                <w:bCs/>
                <w:sz w:val="16"/>
                <w:szCs w:val="16"/>
              </w:rPr>
            </w:pPr>
            <w:r>
              <w:rPr>
                <w:rFonts w:cs="Arial" w:ascii="Arial" w:hAnsi="Arial"/>
                <w:b/>
                <w:bCs/>
                <w:sz w:val="16"/>
                <w:szCs w:val="16"/>
              </w:rPr>
              <w:t>Preço Total</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both"/>
              <w:rPr>
                <w:rFonts w:ascii="Arial" w:hAnsi="Arial" w:cs="Arial"/>
                <w:b/>
                <w:bCs/>
                <w:sz w:val="16"/>
                <w:szCs w:val="16"/>
              </w:rPr>
            </w:pPr>
            <w:r>
              <w:rPr>
                <w:rFonts w:cs="Arial" w:ascii="Arial" w:hAnsi="Arial"/>
                <w:b/>
                <w:bCs/>
                <w:sz w:val="16"/>
                <w:szCs w:val="16"/>
              </w:rPr>
              <w:t>FORNECIMENTO MENSAL</w:t>
            </w:r>
          </w:p>
          <w:p>
            <w:pPr>
              <w:pStyle w:val="Normal"/>
              <w:widowControl w:val="false"/>
              <w:pBdr/>
              <w:jc w:val="both"/>
              <w:rPr>
                <w:rFonts w:ascii="Arial" w:hAnsi="Arial" w:cs="Arial"/>
                <w:b/>
                <w:bCs/>
                <w:sz w:val="16"/>
                <w:szCs w:val="16"/>
              </w:rPr>
            </w:pPr>
            <w:r>
              <w:rPr>
                <w:rFonts w:cs="Arial" w:ascii="Arial" w:hAnsi="Arial"/>
                <w:b/>
                <w:bCs/>
                <w:sz w:val="16"/>
                <w:szCs w:val="16"/>
              </w:rPr>
              <w:t>QUANTIDADES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2.37.01.0002-2 - Locação de equipamentos para fiscalização, com suporte e manutenção</w:t>
            </w:r>
          </w:p>
        </w:tc>
        <w:tc>
          <w:tcPr>
            <w:tcW w:w="113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260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equipamentos para fiscalização, com suporte e manutenção</w:t>
            </w:r>
          </w:p>
          <w:p>
            <w:pPr>
              <w:pStyle w:val="Normal"/>
              <w:widowControl w:val="false"/>
              <w:pBdr/>
              <w:rPr>
                <w:rFonts w:ascii="Arial" w:hAnsi="Arial" w:cs="Arial"/>
                <w:sz w:val="16"/>
                <w:szCs w:val="16"/>
              </w:rPr>
            </w:pPr>
            <w:r>
              <w:rPr>
                <w:rFonts w:cs="Arial" w:ascii="Arial" w:hAnsi="Arial"/>
                <w:sz w:val="16"/>
                <w:szCs w:val="16"/>
              </w:rPr>
              <w:t>Para uso dos 10 agentes de apoio e 02 agentes de trânsito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12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2.37.01.0003-0 - Locação de máquina/dispositivo para Ponto de Venda (POS ou P DV)</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888</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máquina/dispositivo para comercialização (POS), com suporte e manutenção</w:t>
            </w:r>
          </w:p>
          <w:p>
            <w:pPr>
              <w:pStyle w:val="Normal"/>
              <w:widowControl w:val="false"/>
              <w:pBdr/>
              <w:rPr>
                <w:rFonts w:ascii="Arial" w:hAnsi="Arial" w:cs="Arial"/>
                <w:sz w:val="16"/>
                <w:szCs w:val="16"/>
              </w:rPr>
            </w:pPr>
            <w:r>
              <w:rPr>
                <w:rFonts w:cs="Arial" w:ascii="Arial" w:hAnsi="Arial"/>
                <w:sz w:val="16"/>
                <w:szCs w:val="16"/>
              </w:rPr>
              <w:t>Para uso dos 10 Agentes de Apoio e 31 PDV’s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41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2.37.01.0004-9 - Fornecimento de plano de dados para os dispositivos móveis usados</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1.148</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 xml:space="preserve">Fornecimento de plano de dados para os dispositivos móveis usados pela fiscalização e POS/PDVs </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Quantidade máxima 53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2.37.01.0005-7 - Locação de aplicativo de acesso via smartphone</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aplicativo de acesso via smartphone para usuários e portal do usuário web, com suporte e manutenção, com acesso em IOS e Android</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2.37.01.0014-6 - Locação website para cadastro, aquisição de tíquetes, e de meios de avulso – site responsivo (QRCode), com suporte e manutenção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website para cadastro, aquisição de tíquetes, e de meios de avulso – site responsivo (QRCode), com suporte e manutenção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2.37.01.0006-5 - Locação de Sistema Integrado de Gestão de Estacionamento Rot ativo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Locação de Sistema Integrado de Gestão de Estacionamento Rotativo Online, com suporte e manutenção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2.37.01.0007-3 - Sistema de fiscalização móvel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43</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Sistema de fiscalização móvel embarcada, integrada ao sistema de gestão de estacionamento, incluindo operação do sistema, veículo, combustível, motorista, manutenção e demais insumos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2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2.08.13.0104-5 - Agentes de apoio com equipamentos próprios de comercialização e fiscalização manual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215</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Agentes de apoio com equipamentos próprios de comercialização e fiscalização manual</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10 unidades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2.08.13.0105-3 - Serviço de manutenção preventiva e corretiva da sinalização vertical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Serviço de manutenção preventiva e corretiva da sinalização vertical</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2.05.26.0525-2 - Serviço de manutenção preventiva e corretiva do Georreferenciamento</w:t>
            </w:r>
          </w:p>
          <w:p>
            <w:pPr>
              <w:pStyle w:val="Normal"/>
              <w:widowControl w:val="false"/>
              <w:pBdr/>
              <w:rPr>
                <w:rFonts w:ascii="Arial" w:hAnsi="Arial" w:cs="Arial"/>
                <w:b/>
                <w:bCs/>
                <w:sz w:val="16"/>
                <w:szCs w:val="16"/>
              </w:rPr>
            </w:pPr>
            <w:r>
              <w:rPr>
                <w:rFonts w:cs="Arial" w:ascii="Arial" w:hAnsi="Arial"/>
                <w:b/>
                <w:bCs/>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Serviço de manutenção preventiva e corretiva do Georreferenciamento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2.05.26.0526-0 - DATACENTER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UN/MÊS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DATACENTER</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mês</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2.05.02.0000-0 - Pesquisa de satisfação do usuário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6"/>
                <w:szCs w:val="16"/>
              </w:rPr>
            </w:pPr>
            <w:r>
              <w:rPr>
                <w:rFonts w:cs="Arial" w:ascii="Arial" w:hAnsi="Arial"/>
                <w:sz w:val="16"/>
                <w:szCs w:val="16"/>
              </w:rPr>
              <w:t>Pesquisa de satisfação do usuário</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 unidade por semestre</w:t>
            </w:r>
          </w:p>
          <w:p>
            <w:pPr>
              <w:pStyle w:val="Normal"/>
              <w:widowControl w:val="false"/>
              <w:pBdr/>
              <w:rPr>
                <w:rFonts w:ascii="Arial" w:hAnsi="Arial" w:cs="Arial"/>
                <w:sz w:val="16"/>
                <w:szCs w:val="16"/>
              </w:rPr>
            </w:pPr>
            <w:r>
              <w:rPr>
                <w:rFonts w:cs="Arial" w:ascii="Arial" w:hAnsi="Arial"/>
                <w:sz w:val="16"/>
                <w:szCs w:val="16"/>
              </w:rPr>
              <w:t>Quantidade total conforme cronograma físico-financeiro</w:t>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pBdr/>
              <w:jc w:val="both"/>
              <w:rPr>
                <w:rFonts w:ascii="Arial" w:hAnsi="Arial" w:cs="Arial"/>
                <w:b/>
                <w:bCs/>
                <w:sz w:val="16"/>
                <w:szCs w:val="16"/>
              </w:rPr>
            </w:pPr>
            <w:r>
              <w:rPr>
                <w:rFonts w:cs="Arial" w:ascii="Arial" w:hAnsi="Arial"/>
                <w:b/>
                <w:bCs/>
                <w:sz w:val="16"/>
                <w:szCs w:val="16"/>
              </w:rPr>
              <w:t xml:space="preserve">FORNECIMENTO ÚNICO </w:t>
            </w:r>
          </w:p>
          <w:p>
            <w:pPr>
              <w:pStyle w:val="Normal"/>
              <w:widowControl w:val="false"/>
              <w:pBdr/>
              <w:jc w:val="both"/>
              <w:rPr>
                <w:rFonts w:ascii="Arial" w:hAnsi="Arial" w:cs="Arial"/>
                <w:b/>
                <w:bCs/>
                <w:sz w:val="16"/>
                <w:szCs w:val="16"/>
              </w:rPr>
            </w:pPr>
            <w:r>
              <w:rPr>
                <w:rFonts w:cs="Arial" w:ascii="Arial" w:hAnsi="Arial"/>
                <w:b/>
                <w:bCs/>
                <w:sz w:val="16"/>
                <w:szCs w:val="16"/>
              </w:rPr>
              <w:t>QUANTIDADES CONFORME CRONOGRAMA FÍSICO-FINANCEIRO</w:t>
            </w:r>
          </w:p>
          <w:p>
            <w:pPr>
              <w:pStyle w:val="Normal"/>
              <w:widowControl w:val="false"/>
              <w:pBdr/>
              <w:jc w:val="both"/>
              <w:rPr>
                <w:rFonts w:ascii="Arial" w:hAnsi="Arial" w:cs="Arial"/>
                <w:b/>
                <w:bCs/>
                <w:sz w:val="16"/>
                <w:szCs w:val="16"/>
              </w:rPr>
            </w:pPr>
            <w:r>
              <w:rPr>
                <w:rFonts w:cs="Arial" w:ascii="Arial" w:hAnsi="Arial"/>
                <w:b/>
                <w:bCs/>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2.37.01.0008-1 - Fornecimento, instalação e manutenção de placas de sinalização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409</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Fornecimento, instalação de placas de sinalização vertical</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409 placas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2.37.01.0011-1 - Fornecimento de licenças de software</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Fornecimento de licenças de software de todos os aplicativos e sistemas utilizados.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2.05.06.0094-6 - Georreferenciamento das vagas para veículos</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1.724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6"/>
                <w:szCs w:val="16"/>
              </w:rPr>
            </w:pPr>
            <w:r>
              <w:rPr>
                <w:rFonts w:cs="Arial" w:ascii="Arial" w:hAnsi="Arial"/>
                <w:sz w:val="16"/>
                <w:szCs w:val="16"/>
              </w:rPr>
              <w:t>Georreferenciamento das vagas para veículos</w:t>
            </w:r>
          </w:p>
          <w:p>
            <w:pPr>
              <w:pStyle w:val="Normal"/>
              <w:widowControl w:val="false"/>
              <w:pBdr/>
              <w:rPr>
                <w:rFonts w:ascii="Arial" w:hAnsi="Arial" w:cs="Arial"/>
                <w:sz w:val="16"/>
                <w:szCs w:val="16"/>
              </w:rPr>
            </w:pPr>
            <w:r>
              <w:rPr>
                <w:rFonts w:cs="Arial" w:ascii="Arial" w:hAnsi="Arial"/>
                <w:sz w:val="16"/>
                <w:szCs w:val="16"/>
              </w:rPr>
            </w:r>
          </w:p>
          <w:p>
            <w:pPr>
              <w:pStyle w:val="Normal"/>
              <w:widowControl w:val="false"/>
              <w:pBdr/>
              <w:rPr>
                <w:rFonts w:ascii="Arial" w:hAnsi="Arial" w:cs="Arial"/>
                <w:sz w:val="16"/>
                <w:szCs w:val="16"/>
              </w:rPr>
            </w:pPr>
            <w:r>
              <w:rPr>
                <w:rFonts w:cs="Arial" w:ascii="Arial" w:hAnsi="Arial"/>
                <w:sz w:val="16"/>
                <w:szCs w:val="16"/>
              </w:rPr>
              <w:t>1.724 vagas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2.37.01.0012-0 - Prestação de serviço de divulgação do sistema</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rPr>
                <w:rFonts w:ascii="Arial" w:hAnsi="Arial" w:cs="Arial"/>
                <w:sz w:val="16"/>
                <w:szCs w:val="16"/>
              </w:rPr>
            </w:pPr>
            <w:r>
              <w:rPr>
                <w:rFonts w:cs="Arial" w:ascii="Arial" w:hAnsi="Arial"/>
                <w:sz w:val="16"/>
                <w:szCs w:val="16"/>
              </w:rPr>
              <w:t>Prestação de serviço de divulgação do sistema – pelo prazo de 15 dias</w:t>
            </w:r>
          </w:p>
          <w:p>
            <w:pPr>
              <w:pStyle w:val="Normal"/>
              <w:widowControl w:val="false"/>
              <w:pBdr/>
              <w:rPr>
                <w:rFonts w:ascii="Arial" w:hAnsi="Arial" w:cs="Arial"/>
                <w:sz w:val="16"/>
                <w:szCs w:val="16"/>
              </w:rPr>
            </w:pPr>
            <w:r>
              <w:rPr>
                <w:rFonts w:cs="Arial" w:ascii="Arial" w:hAnsi="Arial"/>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b/>
                <w:bCs/>
                <w:sz w:val="16"/>
                <w:szCs w:val="16"/>
              </w:rPr>
            </w:pPr>
            <w:r>
              <w:rPr>
                <w:rFonts w:cs="Arial" w:ascii="Arial" w:hAnsi="Arial"/>
                <w:b/>
                <w:bCs/>
                <w:sz w:val="16"/>
                <w:szCs w:val="16"/>
              </w:rPr>
              <w:t>1.17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b/>
                <w:bCs/>
                <w:sz w:val="16"/>
                <w:szCs w:val="16"/>
              </w:rPr>
            </w:pPr>
            <w:r>
              <w:rPr>
                <w:rFonts w:cs="Arial" w:ascii="Arial" w:hAnsi="Arial"/>
                <w:b/>
                <w:bCs/>
                <w:sz w:val="16"/>
                <w:szCs w:val="16"/>
              </w:rPr>
              <w:t>2.37.01.0010-3 - Treinamento e suporte</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b/>
                <w:bCs/>
                <w:sz w:val="16"/>
                <w:szCs w:val="16"/>
              </w:rPr>
            </w:pPr>
            <w:r>
              <w:rPr>
                <w:rFonts w:cs="Arial" w:ascii="Arial" w:hAnsi="Arial"/>
                <w:b/>
                <w:bCs/>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6"/>
                <w:szCs w:val="16"/>
              </w:rPr>
            </w:pPr>
            <w:r>
              <w:rPr>
                <w:rFonts w:cs="Arial" w:ascii="Arial" w:hAnsi="Arial"/>
                <w:sz w:val="16"/>
                <w:szCs w:val="16"/>
              </w:rPr>
              <w:t>Treinamento e suporte continuado ao funcionários responsáveis pela gestão e fiscalização do contrato e treinamento.</w:t>
            </w:r>
          </w:p>
          <w:p>
            <w:pPr>
              <w:pStyle w:val="Normal"/>
              <w:widowControl w:val="false"/>
              <w:pBdr/>
              <w:rPr>
                <w:rFonts w:ascii="Arial" w:hAnsi="Arial" w:cs="Arial"/>
                <w:sz w:val="16"/>
                <w:szCs w:val="16"/>
              </w:rPr>
            </w:pPr>
            <w:r>
              <w:rPr>
                <w:rFonts w:cs="Arial" w:ascii="Arial" w:hAnsi="Arial"/>
                <w:sz w:val="16"/>
                <w:szCs w:val="16"/>
              </w:rPr>
            </w:r>
          </w:p>
        </w:tc>
      </w:tr>
      <w:tr>
        <w:trPr>
          <w:cantSplit w:val="true"/>
        </w:trPr>
        <w:tc>
          <w:tcPr>
            <w:tcW w:w="9415"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b/>
                <w:bCs/>
                <w:sz w:val="16"/>
                <w:szCs w:val="16"/>
              </w:rPr>
            </w:pPr>
            <w:r>
              <w:rPr>
                <w:rFonts w:cs="Arial" w:ascii="Arial" w:hAnsi="Arial"/>
                <w:b/>
                <w:bCs/>
                <w:sz w:val="16"/>
                <w:szCs w:val="16"/>
              </w:rPr>
            </w:r>
          </w:p>
          <w:p>
            <w:pPr>
              <w:pStyle w:val="Normal"/>
              <w:widowControl w:val="false"/>
              <w:pBdr/>
              <w:jc w:val="both"/>
              <w:rPr>
                <w:rFonts w:ascii="Arial" w:hAnsi="Arial" w:cs="Arial"/>
                <w:b/>
                <w:bCs/>
                <w:sz w:val="16"/>
                <w:szCs w:val="16"/>
              </w:rPr>
            </w:pPr>
            <w:r>
              <w:rPr>
                <w:rFonts w:cs="Arial" w:ascii="Arial" w:hAnsi="Arial"/>
                <w:b/>
                <w:bCs/>
                <w:sz w:val="16"/>
                <w:szCs w:val="16"/>
              </w:rPr>
              <w:t>VALOR TOTAL DO LOTE 01 PARA 24 MESES – R$ _________________________</w:t>
            </w:r>
          </w:p>
          <w:p>
            <w:pPr>
              <w:pStyle w:val="Normal"/>
              <w:widowControl w:val="false"/>
              <w:pBdr/>
              <w:jc w:val="both"/>
              <w:rPr>
                <w:rFonts w:ascii="Arial" w:hAnsi="Arial" w:cs="Arial"/>
                <w:b/>
                <w:bCs/>
                <w:sz w:val="16"/>
                <w:szCs w:val="16"/>
              </w:rPr>
            </w:pPr>
            <w:r>
              <w:rPr>
                <w:rFonts w:cs="Arial" w:ascii="Arial" w:hAnsi="Arial"/>
                <w:b/>
                <w:bCs/>
                <w:sz w:val="16"/>
                <w:szCs w:val="16"/>
              </w:rPr>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mc:AlternateContent>
          <mc:Choice Requires="wps">
            <w:drawing>
              <wp:anchor behindDoc="0" distT="0" distB="3175" distL="0" distR="3175" simplePos="0" locked="0" layoutInCell="1" allowOverlap="1" relativeHeight="241" wp14:anchorId="2D0D57C5">
                <wp:simplePos x="0" y="0"/>
                <wp:positionH relativeFrom="column">
                  <wp:posOffset>0</wp:posOffset>
                </wp:positionH>
                <wp:positionV relativeFrom="paragraph">
                  <wp:posOffset>635</wp:posOffset>
                </wp:positionV>
                <wp:extent cx="635000" cy="635000"/>
                <wp:effectExtent l="0" t="0" r="0" b="0"/>
                <wp:wrapNone/>
                <wp:docPr id="8" name="_x0000_tole_rId24"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4" path="m0,0l-2147483645,0l-2147483645,-2147483646l0,-2147483646xe" stroked="f" o:allowincell="f" style="position:absolute;margin-left:0pt;margin-top:0pt;width:49.95pt;height:49.95pt;mso-wrap-style:none;v-text-anchor:middle" wp14:anchorId="2D0D57C5">
                <v:fill o:detectmouseclick="t" on="false"/>
                <v:stroke color="#3465a4" joinstyle="round" endcap="flat"/>
                <w10:wrap type="none"/>
              </v:rect>
            </w:pict>
          </mc:Fallback>
        </mc:AlternateContent>
        <w:object w:dxaOrig="9621" w:dyaOrig="13758">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position:absolute;margin-left:-20.05pt;margin-top:27.55pt;width:493.65pt;height:569.55pt;mso-position-horizontal-relative:text;mso-position-vertical-relative:text" filled="t" fillcolor="#FFFFFF" o:ole="">
            <v:imagedata r:id="rId22" o:title=""/>
            <w10:wrap type="square" side="largest"/>
          </v:shape>
          <o:OLEObject Type="Embed" ProgID="Excel.Sheet.12" ShapeID="ole_rId21" DrawAspect="Content" ObjectID="_219773946" r:id="rId21"/>
        </w:object>
      </w:r>
    </w:p>
    <w:p>
      <w:pPr>
        <w:pStyle w:val="Normal"/>
        <w:spacing w:lineRule="auto" w:line="360"/>
        <w:ind w:right="-54"/>
        <w:rPr>
          <w:rFonts w:ascii="Arial" w:hAnsi="Arial" w:cs="Arial"/>
          <w:b/>
          <w:bCs/>
          <w:sz w:val="22"/>
          <w:szCs w:val="22"/>
        </w:rPr>
      </w:pPr>
      <w:r>
        <w:rPr>
          <w:rFonts w:cs="Arial" w:ascii="Arial" w:hAnsi="Arial"/>
          <w:b/>
          <w:bCs/>
          <w:sz w:val="22"/>
          <w:szCs w:val="22"/>
        </w:rPr>
        <w:t xml:space="preserve">PREFEITURA DO MUNICÍPIO DE ITATIBA </w:t>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8"/>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93</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3">
        <w:r>
          <w:rPr>
            <w:rStyle w:val="Hyperlink"/>
            <w:rFonts w:eastAsia="Arial" w:cs="Arial" w:ascii="Arial" w:hAnsi="Arial"/>
            <w:color w:val="auto"/>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360" w:left="360"/>
        <w:rPr>
          <w:color w:val="auto"/>
          <w:sz w:val="22"/>
          <w:szCs w:val="22"/>
        </w:rPr>
      </w:pPr>
      <w:r>
        <w:rPr>
          <w:color w:val="auto"/>
          <w:sz w:val="22"/>
          <w:szCs w:val="22"/>
        </w:rPr>
        <w:t xml:space="preserve">CLÁUSULA PRIMEIRA – OBJETO </w:t>
      </w:r>
    </w:p>
    <w:p>
      <w:pPr>
        <w:pStyle w:val="Nivel2"/>
        <w:tabs>
          <w:tab w:val="clear" w:pos="0"/>
        </w:tabs>
        <w:spacing w:lineRule="auto" w:line="360" w:before="120" w:after="288"/>
        <w:ind w:hanging="0" w:left="0"/>
        <w:rPr>
          <w:rFonts w:eastAsia="Arial"/>
          <w:b/>
          <w:bCs/>
          <w:color w:val="auto"/>
          <w:sz w:val="22"/>
          <w:szCs w:val="22"/>
        </w:rPr>
      </w:pPr>
      <w:r>
        <w:rPr>
          <w:color w:val="auto"/>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79"/>
        <w:gridCol w:w="1134"/>
        <w:gridCol w:w="1556"/>
        <w:gridCol w:w="1281"/>
        <w:gridCol w:w="987"/>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color w:val="auto"/>
          <w:sz w:val="22"/>
          <w:szCs w:val="22"/>
        </w:rPr>
      </w:pPr>
      <w:r>
        <w:rPr>
          <w:color w:val="auto"/>
          <w:sz w:val="22"/>
          <w:szCs w:val="22"/>
        </w:rPr>
        <w:t>1.2 - Vinculam esta contratação, independentemente de transcrição:</w:t>
      </w:r>
    </w:p>
    <w:p>
      <w:pPr>
        <w:pStyle w:val="Nivel3"/>
        <w:numPr>
          <w:ilvl w:val="0"/>
          <w:numId w:val="2"/>
        </w:numPr>
        <w:spacing w:lineRule="auto" w:line="360" w:before="120" w:after="288"/>
        <w:ind w:hanging="0" w:left="0"/>
        <w:rPr>
          <w:color w:val="auto"/>
          <w:sz w:val="22"/>
          <w:szCs w:val="22"/>
        </w:rPr>
      </w:pPr>
      <w:r>
        <w:rPr>
          <w:color w:val="auto"/>
          <w:sz w:val="22"/>
          <w:szCs w:val="22"/>
        </w:rPr>
        <w:t>O Termo de Referência;</w:t>
      </w:r>
    </w:p>
    <w:p>
      <w:pPr>
        <w:pStyle w:val="Nivel3"/>
        <w:numPr>
          <w:ilvl w:val="0"/>
          <w:numId w:val="2"/>
        </w:numPr>
        <w:spacing w:lineRule="auto" w:line="360" w:before="120" w:after="288"/>
        <w:ind w:hanging="0" w:left="0"/>
        <w:rPr>
          <w:color w:val="auto"/>
          <w:sz w:val="22"/>
          <w:szCs w:val="22"/>
        </w:rPr>
      </w:pPr>
      <w:r>
        <w:rPr>
          <w:color w:val="auto"/>
          <w:sz w:val="22"/>
          <w:szCs w:val="22"/>
        </w:rPr>
        <w:t>O Edital da Licitação;</w:t>
      </w:r>
    </w:p>
    <w:p>
      <w:pPr>
        <w:pStyle w:val="Nivel3"/>
        <w:numPr>
          <w:ilvl w:val="0"/>
          <w:numId w:val="2"/>
        </w:numPr>
        <w:spacing w:lineRule="auto" w:line="360" w:before="120" w:after="288"/>
        <w:ind w:hanging="0" w:left="0"/>
        <w:rPr>
          <w:color w:val="auto"/>
          <w:sz w:val="22"/>
          <w:szCs w:val="22"/>
        </w:rPr>
      </w:pPr>
      <w:r>
        <w:rPr>
          <w:color w:val="auto"/>
          <w:sz w:val="22"/>
          <w:szCs w:val="22"/>
        </w:rPr>
        <w:t>A Proposta do contratado;</w:t>
      </w:r>
    </w:p>
    <w:p>
      <w:pPr>
        <w:pStyle w:val="Nivel3"/>
        <w:numPr>
          <w:ilvl w:val="0"/>
          <w:numId w:val="2"/>
        </w:numPr>
        <w:spacing w:lineRule="auto" w:line="360" w:before="120" w:after="288"/>
        <w:ind w:hanging="0" w:left="0"/>
        <w:rPr>
          <w:color w:val="auto"/>
          <w:sz w:val="22"/>
          <w:szCs w:val="22"/>
        </w:rPr>
      </w:pPr>
      <w:r>
        <w:rPr>
          <w:color w:val="auto"/>
          <w:sz w:val="22"/>
          <w:szCs w:val="22"/>
        </w:rPr>
        <w:t>Eventuais anexos dos documentos supracitados.</w:t>
      </w:r>
    </w:p>
    <w:p>
      <w:pPr>
        <w:pStyle w:val="Nivel01"/>
        <w:numPr>
          <w:ilvl w:val="0"/>
          <w:numId w:val="0"/>
        </w:numPr>
        <w:spacing w:lineRule="auto" w:line="360" w:before="120" w:after="288"/>
        <w:ind w:hanging="360" w:left="360"/>
        <w:rPr>
          <w:color w:val="auto"/>
          <w:sz w:val="22"/>
          <w:szCs w:val="22"/>
        </w:rPr>
      </w:pPr>
      <w:r>
        <w:rPr>
          <w:color w:val="auto"/>
          <w:sz w:val="22"/>
          <w:szCs w:val="22"/>
        </w:rPr>
        <w:t>CLÁUSULA SEGUNDA – VIGÊNCIA E PRORROGAÇÃO</w:t>
      </w:r>
    </w:p>
    <w:p>
      <w:pPr>
        <w:pStyle w:val="Nvel2-Red"/>
        <w:numPr>
          <w:ilvl w:val="1"/>
          <w:numId w:val="1"/>
        </w:numPr>
        <w:spacing w:lineRule="auto" w:line="360" w:before="120" w:after="288"/>
        <w:ind w:hanging="0" w:left="0"/>
        <w:rPr>
          <w:i w:val="false"/>
          <w:i w:val="false"/>
          <w:iCs w:val="false"/>
          <w:color w:val="auto"/>
          <w:sz w:val="22"/>
          <w:szCs w:val="22"/>
        </w:rPr>
      </w:pPr>
      <w:r>
        <w:rPr>
          <w:i w:val="false"/>
          <w:iCs w:val="false"/>
          <w:color w:val="auto"/>
          <w:sz w:val="22"/>
          <w:szCs w:val="22"/>
        </w:rPr>
        <w:t xml:space="preserve">- O prazo de vigência da contratação é de xx (xxxxxxx) meses, contados do(a) assinatura do contrato, na forma do </w:t>
      </w:r>
      <w:r>
        <w:fldChar w:fldCharType="begin"/>
      </w:r>
      <w:r>
        <w:rPr>
          <w:rStyle w:val="Hyperlink"/>
          <w:sz w:val="22"/>
          <w:i w:val="false"/>
          <w:szCs w:val="22"/>
          <w:iCs w:val="false"/>
          <w:color w:val="auto"/>
        </w:rPr>
        <w:instrText xml:space="preserve"> HYPERLINK "http://www.planalto.gov.br/ccivil_03/_ato2019-2022/2021/lei/L14133.htm" \l "art105"</w:instrText>
      </w:r>
      <w:r>
        <w:rPr>
          <w:rStyle w:val="Hyperlink"/>
          <w:sz w:val="22"/>
          <w:i w:val="false"/>
          <w:szCs w:val="22"/>
          <w:iCs w:val="false"/>
          <w:color w:val="auto"/>
        </w:rPr>
        <w:fldChar w:fldCharType="separate"/>
      </w:r>
      <w:r>
        <w:rPr>
          <w:rStyle w:val="Hyperlink"/>
          <w:i w:val="false"/>
          <w:iCs w:val="false"/>
          <w:color w:val="auto"/>
          <w:sz w:val="22"/>
          <w:szCs w:val="22"/>
        </w:rPr>
        <w:t>artigo 105 da Lei n° 14.133, de 2021</w:t>
      </w:r>
      <w:r>
        <w:rPr>
          <w:rStyle w:val="Hyperlink"/>
          <w:sz w:val="22"/>
          <w:i w:val="false"/>
          <w:szCs w:val="22"/>
          <w:iCs w:val="false"/>
          <w:color w:val="auto"/>
        </w:rPr>
        <w:fldChar w:fldCharType="end"/>
      </w:r>
      <w:r>
        <w:rPr>
          <w:i w:val="false"/>
          <w:iCs w:val="false"/>
          <w:color w:val="auto"/>
          <w:sz w:val="22"/>
          <w:szCs w:val="22"/>
        </w:rPr>
        <w:t>, podendo ser prorrogada na forma da lei.</w:t>
      </w:r>
    </w:p>
    <w:p>
      <w:pPr>
        <w:pStyle w:val="Nivel01"/>
        <w:numPr>
          <w:ilvl w:val="0"/>
          <w:numId w:val="0"/>
        </w:numPr>
        <w:spacing w:lineRule="auto" w:line="360" w:before="120" w:after="288"/>
        <w:ind w:hanging="360" w:left="360"/>
        <w:rPr>
          <w:color w:val="auto"/>
          <w:sz w:val="22"/>
          <w:szCs w:val="22"/>
        </w:rPr>
      </w:pPr>
      <w:r>
        <w:rPr>
          <w:color w:val="auto"/>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lineRule="auto" w:line="360" w:before="120" w:after="288"/>
        <w:ind w:hanging="0" w:left="0"/>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360" w:left="360"/>
        <w:rPr>
          <w:color w:val="auto"/>
          <w:sz w:val="22"/>
          <w:szCs w:val="22"/>
        </w:rPr>
      </w:pPr>
      <w:r>
        <w:rPr>
          <w:color w:val="auto"/>
          <w:sz w:val="22"/>
          <w:szCs w:val="22"/>
        </w:rPr>
        <w:t>CLÁUSULA QUARTA – SUBCONTRATAÇÃO</w:t>
      </w:r>
    </w:p>
    <w:p>
      <w:pPr>
        <w:pStyle w:val="Nvel2-Red"/>
        <w:tabs>
          <w:tab w:val="clear" w:pos="0"/>
        </w:tabs>
        <w:spacing w:lineRule="auto" w:line="360" w:before="120" w:after="288"/>
        <w:rPr>
          <w:i w:val="false"/>
          <w:i w:val="false"/>
          <w:iCs w:val="false"/>
          <w:color w:val="auto"/>
          <w:sz w:val="22"/>
          <w:szCs w:val="22"/>
        </w:rPr>
      </w:pPr>
      <w:r>
        <w:rPr>
          <w:i w:val="false"/>
          <w:iCs w:val="false"/>
          <w:color w:val="auto"/>
          <w:sz w:val="22"/>
          <w:szCs w:val="22"/>
        </w:rPr>
        <w:t>4.1 Será permitida a subcontratação do serviço de instalação de placas de sinalização vertical, georreferenciamento e divulgação do sistema.</w:t>
      </w:r>
    </w:p>
    <w:p>
      <w:pPr>
        <w:pStyle w:val="Nivel01"/>
        <w:numPr>
          <w:ilvl w:val="0"/>
          <w:numId w:val="0"/>
        </w:numPr>
        <w:spacing w:lineRule="auto" w:line="360" w:before="120" w:after="288"/>
        <w:ind w:hanging="360" w:left="360"/>
        <w:rPr>
          <w:color w:val="auto"/>
          <w:sz w:val="22"/>
          <w:szCs w:val="22"/>
        </w:rPr>
      </w:pPr>
      <w:r>
        <w:rPr>
          <w:color w:val="auto"/>
          <w:sz w:val="22"/>
          <w:szCs w:val="22"/>
        </w:rPr>
        <w:t>CLÁUSULA QUINTA – DO PREÇO E DA DOTAÇÃO ORÇAMENTÁRIA</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5.1- O valor total da contratação é de R$.......... (.....)</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360" w:left="360"/>
        <w:rPr>
          <w:color w:val="auto"/>
          <w:sz w:val="22"/>
          <w:szCs w:val="22"/>
        </w:rPr>
      </w:pPr>
      <w:r>
        <w:rPr>
          <w:color w:val="auto"/>
          <w:sz w:val="22"/>
          <w:szCs w:val="22"/>
        </w:rPr>
        <w:t>CLÁUSULA SEXTA - PAGAMENTO</w:t>
      </w:r>
    </w:p>
    <w:p>
      <w:pPr>
        <w:pStyle w:val="Nivel2"/>
        <w:tabs>
          <w:tab w:val="clear" w:pos="0"/>
        </w:tabs>
        <w:spacing w:lineRule="auto" w:line="360" w:before="120" w:after="288"/>
        <w:ind w:hanging="0" w:left="0"/>
        <w:rPr>
          <w:color w:val="auto"/>
          <w:sz w:val="22"/>
          <w:szCs w:val="22"/>
        </w:rPr>
      </w:pPr>
      <w:r>
        <w:rPr>
          <w:color w:val="auto"/>
          <w:sz w:val="22"/>
          <w:szCs w:val="22"/>
        </w:rPr>
        <w:t xml:space="preserve">6.1-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360" w:left="360"/>
        <w:rPr>
          <w:color w:val="auto"/>
          <w:sz w:val="22"/>
          <w:szCs w:val="22"/>
        </w:rPr>
      </w:pPr>
      <w:r>
        <w:rPr>
          <w:color w:val="auto"/>
          <w:sz w:val="22"/>
          <w:szCs w:val="22"/>
        </w:rPr>
        <w:t>CLÁUSULA SÉTIMA - REAJUSTE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V)</w:t>
      </w:r>
      <w:r>
        <w:rPr>
          <w:rStyle w:val="Hyperlink"/>
          <w:sz w:val="22"/>
          <w:szCs w:val="22"/>
          <w:color w:val="auto"/>
        </w:rPr>
        <w:fldChar w:fldCharType="end"/>
      </w:r>
    </w:p>
    <w:p>
      <w:pPr>
        <w:pStyle w:val="Nivel2"/>
        <w:tabs>
          <w:tab w:val="clear" w:pos="0"/>
        </w:tabs>
        <w:spacing w:lineRule="auto" w:line="360" w:before="120" w:after="288"/>
        <w:ind w:hanging="0" w:left="0"/>
        <w:rPr>
          <w:color w:val="auto"/>
          <w:sz w:val="22"/>
          <w:szCs w:val="22"/>
        </w:rPr>
      </w:pPr>
      <w:r>
        <w:rPr>
          <w:color w:val="auto"/>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color w:val="auto"/>
          <w:sz w:val="22"/>
          <w:szCs w:val="22"/>
        </w:rPr>
      </w:pPr>
      <w:r>
        <w:rPr>
          <w:color w:val="auto"/>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360" w:left="360"/>
        <w:rPr>
          <w:color w:val="auto"/>
          <w:sz w:val="22"/>
          <w:szCs w:val="22"/>
        </w:rPr>
      </w:pPr>
      <w:r>
        <w:rPr>
          <w:color w:val="auto"/>
          <w:sz w:val="22"/>
          <w:szCs w:val="22"/>
        </w:rPr>
        <w:t xml:space="preserve">CLÁUSULA OITAVA - OBRIGAÇÕES DO CONTRATANTE </w:t>
      </w:r>
    </w:p>
    <w:p>
      <w:pPr>
        <w:pStyle w:val="Nivel2"/>
        <w:tabs>
          <w:tab w:val="clear" w:pos="0"/>
        </w:tabs>
        <w:spacing w:lineRule="auto" w:line="360" w:before="120" w:after="288"/>
        <w:ind w:hanging="0" w:left="0"/>
        <w:rPr>
          <w:color w:val="auto"/>
          <w:sz w:val="22"/>
          <w:szCs w:val="22"/>
        </w:rPr>
      </w:pPr>
      <w:r>
        <w:rPr>
          <w:color w:val="auto"/>
          <w:sz w:val="22"/>
          <w:szCs w:val="22"/>
        </w:rPr>
        <w:t>8.1 - São obrigações do Contratante:</w:t>
      </w:r>
    </w:p>
    <w:p>
      <w:pPr>
        <w:pStyle w:val="Nivel2"/>
        <w:tabs>
          <w:tab w:val="clear" w:pos="0"/>
        </w:tabs>
        <w:spacing w:lineRule="auto" w:line="360" w:before="120" w:after="288"/>
        <w:ind w:hanging="0" w:left="0"/>
        <w:rPr>
          <w:color w:val="auto"/>
          <w:sz w:val="22"/>
          <w:szCs w:val="22"/>
        </w:rPr>
      </w:pPr>
      <w:r>
        <w:rPr>
          <w:color w:val="auto"/>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color w:val="auto"/>
          <w:sz w:val="22"/>
          <w:szCs w:val="22"/>
        </w:rPr>
      </w:pPr>
      <w:r>
        <w:rPr>
          <w:color w:val="auto"/>
          <w:sz w:val="22"/>
          <w:szCs w:val="22"/>
        </w:rPr>
        <w:t>8.3 - Receber o objeto no prazo e condições estabelecidas no Termo de Referência do Edital;</w:t>
      </w:r>
    </w:p>
    <w:p>
      <w:pPr>
        <w:pStyle w:val="Nivel2"/>
        <w:tabs>
          <w:tab w:val="clear" w:pos="0"/>
        </w:tabs>
        <w:spacing w:lineRule="auto" w:line="360" w:before="120" w:after="288"/>
        <w:ind w:hanging="0" w:left="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color w:val="auto"/>
          <w:sz w:val="22"/>
          <w:szCs w:val="22"/>
        </w:rPr>
      </w:pPr>
      <w:r>
        <w:rPr>
          <w:color w:val="auto"/>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color w:val="auto"/>
          <w:sz w:val="22"/>
          <w:szCs w:val="22"/>
        </w:rPr>
      </w:pPr>
      <w:r>
        <w:rPr>
          <w:color w:val="auto"/>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color w:val="auto"/>
          <w:sz w:val="22"/>
          <w:szCs w:val="22"/>
        </w:rPr>
      </w:pPr>
      <w:r>
        <w:rPr>
          <w:color w:val="auto"/>
          <w:sz w:val="22"/>
          <w:szCs w:val="22"/>
        </w:rPr>
        <w:t xml:space="preserve">8.7 - Aplicar ao Contratado as sanções previstas na lei e neste Contrato; </w:t>
      </w:r>
    </w:p>
    <w:p>
      <w:pPr>
        <w:pStyle w:val="Nivel2"/>
        <w:tabs>
          <w:tab w:val="clear" w:pos="0"/>
        </w:tabs>
        <w:spacing w:lineRule="auto" w:line="360" w:before="120" w:after="288"/>
        <w:ind w:hanging="0" w:left="0"/>
        <w:rPr>
          <w:color w:val="auto"/>
          <w:sz w:val="22"/>
          <w:szCs w:val="22"/>
        </w:rPr>
      </w:pPr>
      <w:r>
        <w:rPr>
          <w:color w:val="auto"/>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color w:val="auto"/>
          <w:sz w:val="22"/>
          <w:szCs w:val="22"/>
        </w:rPr>
      </w:pPr>
      <w:r>
        <w:rPr>
          <w:color w:val="auto"/>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hanging="360" w:left="360"/>
        <w:rPr>
          <w:color w:val="auto"/>
          <w:sz w:val="22"/>
          <w:szCs w:val="22"/>
        </w:rPr>
      </w:pPr>
      <w:r>
        <w:rPr>
          <w:color w:val="auto"/>
          <w:sz w:val="22"/>
          <w:szCs w:val="22"/>
        </w:rPr>
        <w:t>CLÁUSULA NONA - OBRIGAÇÕES DO CONTRATADO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XIV, XVI e XVII)</w:t>
      </w:r>
      <w:r>
        <w:rPr>
          <w:rStyle w:val="Hyperlink"/>
          <w:sz w:val="22"/>
          <w:szCs w:val="22"/>
          <w:color w:val="auto"/>
        </w:rPr>
        <w:fldChar w:fldCharType="end"/>
      </w:r>
    </w:p>
    <w:p>
      <w:pPr>
        <w:pStyle w:val="Nivel2"/>
        <w:tabs>
          <w:tab w:val="clear" w:pos="0"/>
        </w:tabs>
        <w:spacing w:lineRule="auto" w:line="360" w:before="120" w:after="288"/>
        <w:ind w:hanging="0" w:left="0"/>
        <w:rPr>
          <w:color w:val="auto"/>
          <w:sz w:val="22"/>
          <w:szCs w:val="22"/>
        </w:rPr>
      </w:pPr>
      <w:r>
        <w:rPr>
          <w:color w:val="auto"/>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color w:val="auto"/>
          <w:sz w:val="22"/>
          <w:szCs w:val="22"/>
        </w:rPr>
      </w:pPr>
      <w:r>
        <w:rPr>
          <w:color w:val="auto"/>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color w:val="auto"/>
          <w:sz w:val="22"/>
          <w:szCs w:val="22"/>
        </w:rPr>
      </w:pPr>
      <w:r>
        <w:rPr>
          <w:color w:val="auto"/>
          <w:sz w:val="22"/>
          <w:szCs w:val="22"/>
        </w:rPr>
        <w:t>9.3 - 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tabs>
          <w:tab w:val="clear" w:pos="0"/>
        </w:tabs>
        <w:spacing w:lineRule="auto" w:line="360" w:before="120" w:after="288"/>
        <w:ind w:hanging="0" w:left="0"/>
        <w:rPr>
          <w:color w:val="auto"/>
          <w:sz w:val="22"/>
          <w:szCs w:val="22"/>
        </w:rPr>
      </w:pPr>
      <w:r>
        <w:rPr>
          <w:color w:val="auto"/>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color w:val="auto"/>
          <w:sz w:val="22"/>
          <w:szCs w:val="22"/>
        </w:rPr>
      </w:pPr>
      <w:r>
        <w:rPr>
          <w:color w:val="auto"/>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color w:val="auto"/>
          <w:sz w:val="22"/>
          <w:szCs w:val="22"/>
        </w:rPr>
      </w:pPr>
      <w:r>
        <w:rPr>
          <w:color w:val="auto"/>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color w:val="auto"/>
          <w:sz w:val="22"/>
          <w:szCs w:val="22"/>
        </w:rPr>
      </w:pPr>
      <w:r>
        <w:rPr>
          <w:color w:val="auto"/>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color w:val="auto"/>
          <w:sz w:val="22"/>
          <w:szCs w:val="22"/>
        </w:rPr>
      </w:pPr>
      <w:r>
        <w:rPr>
          <w:color w:val="auto"/>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color w:val="auto"/>
          <w:sz w:val="22"/>
          <w:szCs w:val="22"/>
        </w:rPr>
      </w:pPr>
      <w:r>
        <w:rPr>
          <w:color w:val="auto"/>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color w:val="auto"/>
          <w:sz w:val="22"/>
          <w:szCs w:val="22"/>
        </w:rPr>
      </w:pPr>
      <w:r>
        <w:rPr>
          <w:color w:val="auto"/>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auto"/>
        </w:rPr>
        <w:instrText xml:space="preserve"> HYPERLINK "http://www.planalto.gov.br/ccivil_03/_ato2019-2022/2021/lei/L14133.htm" \l "art116"</w:instrText>
      </w:r>
      <w:r>
        <w:rPr>
          <w:rStyle w:val="Hyperlink"/>
          <w:sz w:val="22"/>
          <w:szCs w:val="22"/>
          <w:color w:val="auto"/>
        </w:rPr>
        <w:fldChar w:fldCharType="separate"/>
      </w:r>
      <w:r>
        <w:rPr>
          <w:rStyle w:val="Hyperlink"/>
          <w:color w:val="auto"/>
          <w:sz w:val="22"/>
          <w:szCs w:val="22"/>
        </w:rPr>
        <w:t>art. 116, da Lei n.º 14.133, de 2021</w:t>
      </w:r>
      <w:r>
        <w:rPr>
          <w:rStyle w:val="Hyperlink"/>
          <w:sz w:val="22"/>
          <w:szCs w:val="22"/>
          <w:color w:val="auto"/>
        </w:rPr>
        <w:fldChar w:fldCharType="end"/>
      </w:r>
      <w:r>
        <w:rPr>
          <w:color w:val="auto"/>
          <w:sz w:val="22"/>
          <w:szCs w:val="22"/>
        </w:rPr>
        <w:t>);</w:t>
      </w:r>
    </w:p>
    <w:p>
      <w:pPr>
        <w:pStyle w:val="Nivel2"/>
        <w:tabs>
          <w:tab w:val="clear" w:pos="0"/>
        </w:tabs>
        <w:spacing w:lineRule="auto" w:line="360" w:before="120" w:after="288"/>
        <w:ind w:hanging="0" w:left="0"/>
        <w:rPr>
          <w:color w:val="auto"/>
          <w:sz w:val="22"/>
          <w:szCs w:val="22"/>
        </w:rPr>
      </w:pPr>
      <w:r>
        <w:rPr>
          <w:color w:val="auto"/>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auto"/>
        </w:rPr>
        <w:instrText xml:space="preserve"> HYPERLINK "http://www.planalto.gov.br/ccivil_03/_ato2019-2022/2021/lei/L14133.htm" \l "art116"</w:instrText>
      </w:r>
      <w:r>
        <w:rPr>
          <w:rStyle w:val="Hyperlink"/>
          <w:sz w:val="22"/>
          <w:szCs w:val="22"/>
          <w:color w:val="auto"/>
        </w:rPr>
        <w:fldChar w:fldCharType="separate"/>
      </w:r>
      <w:r>
        <w:rPr>
          <w:rStyle w:val="Hyperlink"/>
          <w:color w:val="auto"/>
          <w:sz w:val="22"/>
          <w:szCs w:val="22"/>
        </w:rPr>
        <w:t>art. 116, parágrafo único, da Lei n.º 14.133, de 2021</w:t>
      </w:r>
      <w:r>
        <w:rPr>
          <w:rStyle w:val="Hyperlink"/>
          <w:sz w:val="22"/>
          <w:szCs w:val="22"/>
          <w:color w:val="auto"/>
        </w:rPr>
        <w:fldChar w:fldCharType="end"/>
      </w:r>
      <w:r>
        <w:rPr>
          <w:color w:val="auto"/>
          <w:sz w:val="22"/>
          <w:szCs w:val="22"/>
        </w:rPr>
        <w:t>);</w:t>
      </w:r>
    </w:p>
    <w:p>
      <w:pPr>
        <w:pStyle w:val="Nivel2"/>
        <w:tabs>
          <w:tab w:val="clear" w:pos="0"/>
        </w:tabs>
        <w:spacing w:lineRule="auto" w:line="360" w:before="120" w:after="288"/>
        <w:ind w:hanging="0" w:left="0"/>
        <w:rPr>
          <w:color w:val="auto"/>
          <w:sz w:val="22"/>
          <w:szCs w:val="22"/>
        </w:rPr>
      </w:pPr>
      <w:r>
        <w:rPr>
          <w:color w:val="auto"/>
          <w:sz w:val="22"/>
          <w:szCs w:val="22"/>
        </w:rPr>
        <w:t xml:space="preserve">9.12 - Guardar sigilo sobre todas as informações obtidas em decorrência do cumprimento do contrato; </w:t>
      </w:r>
    </w:p>
    <w:p>
      <w:pPr>
        <w:pStyle w:val="Nivel01"/>
        <w:numPr>
          <w:ilvl w:val="0"/>
          <w:numId w:val="0"/>
        </w:numPr>
        <w:spacing w:lineRule="auto" w:line="360" w:before="120" w:after="288"/>
        <w:ind w:hanging="360" w:left="360"/>
        <w:rPr>
          <w:color w:val="auto"/>
          <w:sz w:val="22"/>
          <w:szCs w:val="22"/>
        </w:rPr>
      </w:pPr>
      <w:r>
        <w:rPr>
          <w:color w:val="auto"/>
          <w:sz w:val="22"/>
          <w:szCs w:val="22"/>
        </w:rPr>
        <w:t>CLÁUSULA DÉCIMA– INFRAÇÕES E SANÇÕES ADMINISTRATIVAS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XIV</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lang w:eastAsia="pt-BR"/>
        </w:rPr>
      </w:pPr>
      <w:r>
        <w:rPr>
          <w:color w:val="auto"/>
          <w:sz w:val="22"/>
          <w:szCs w:val="22"/>
        </w:rPr>
        <w:t xml:space="preserve">As infrações e multas </w:t>
      </w:r>
      <w:r>
        <w:rPr>
          <w:color w:val="auto"/>
          <w:sz w:val="22"/>
          <w:szCs w:val="22"/>
          <w:lang w:eastAsia="en-US"/>
        </w:rPr>
        <w:t>ao contratado</w:t>
      </w:r>
      <w:r>
        <w:rPr>
          <w:color w:val="auto"/>
          <w:sz w:val="22"/>
          <w:szCs w:val="22"/>
        </w:rPr>
        <w:t xml:space="preserve"> e demais condições a ele referentes encontram-se definidos no Termo de Referência do Edital, que fica fazendo parte integrante desse Contrato.</w:t>
      </w:r>
    </w:p>
    <w:p>
      <w:pPr>
        <w:pStyle w:val="Nivel01"/>
        <w:numPr>
          <w:ilvl w:val="0"/>
          <w:numId w:val="0"/>
        </w:numPr>
        <w:spacing w:lineRule="auto" w:line="360" w:before="120" w:after="288"/>
        <w:ind w:hanging="360" w:left="360"/>
        <w:rPr>
          <w:color w:val="auto"/>
          <w:sz w:val="22"/>
          <w:szCs w:val="22"/>
        </w:rPr>
      </w:pPr>
      <w:r>
        <w:rPr>
          <w:color w:val="auto"/>
          <w:sz w:val="22"/>
          <w:szCs w:val="22"/>
        </w:rPr>
        <w:t>CLÁUSULA DÉCIMA PRIMEIRA – DA EXTINÇÃO CONTRATUAL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XIX</w:t>
      </w:r>
      <w:r>
        <w:rPr>
          <w:rStyle w:val="Hyperlink"/>
          <w:sz w:val="22"/>
          <w:szCs w:val="22"/>
          <w:color w:val="auto"/>
        </w:rPr>
        <w:fldChar w:fldCharType="end"/>
      </w:r>
      <w:r>
        <w:rPr>
          <w:color w:val="auto"/>
          <w:sz w:val="22"/>
          <w:szCs w:val="22"/>
        </w:rPr>
        <w:t>)</w:t>
      </w:r>
    </w:p>
    <w:p>
      <w:pPr>
        <w:pStyle w:val="Nvel2-Red"/>
        <w:tabs>
          <w:tab w:val="clear" w:pos="0"/>
        </w:tabs>
        <w:spacing w:lineRule="auto" w:line="360"/>
        <w:ind w:hanging="0" w:left="-7"/>
        <w:rPr>
          <w:i w:val="false"/>
          <w:i w:val="false"/>
          <w:iCs w:val="false"/>
          <w:color w:val="auto"/>
          <w:sz w:val="22"/>
          <w:szCs w:val="22"/>
        </w:rPr>
      </w:pPr>
      <w:r>
        <w:rPr>
          <w:i w:val="false"/>
          <w:iCs w:val="false"/>
          <w:color w:val="auto"/>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auto"/>
          <w:sz w:val="22"/>
          <w:szCs w:val="22"/>
        </w:rPr>
      </w:pPr>
      <w:r>
        <w:rPr>
          <w:i w:val="false"/>
          <w:iCs w:val="false"/>
          <w:color w:val="auto"/>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i w:val="false"/>
          <w:i w:val="false"/>
          <w:iCs w:val="false"/>
          <w:color w:val="auto"/>
          <w:sz w:val="22"/>
          <w:szCs w:val="22"/>
        </w:rPr>
      </w:pPr>
      <w:r>
        <w:rPr>
          <w:i w:val="false"/>
          <w:iCs w:val="false"/>
          <w:color w:val="auto"/>
          <w:sz w:val="22"/>
          <w:szCs w:val="22"/>
        </w:rPr>
        <w:t xml:space="preserve">11.3 Quando a não conclusão do contrato referida no item anterior decorrer de culpa do contratado: </w:t>
      </w:r>
      <w:r>
        <w:rPr>
          <w:rFonts w:eastAsia="Arial"/>
          <w:i w:val="false"/>
          <w:iCs w:val="false"/>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2-Red"/>
        <w:tabs>
          <w:tab w:val="clear" w:pos="0"/>
        </w:tabs>
        <w:spacing w:lineRule="auto" w:line="360" w:before="120" w:after="288"/>
        <w:rPr>
          <w:i w:val="false"/>
          <w:i w:val="false"/>
          <w:iCs w:val="false"/>
          <w:color w:val="auto"/>
          <w:sz w:val="22"/>
          <w:szCs w:val="22"/>
        </w:rPr>
      </w:pPr>
      <w:r>
        <w:rPr>
          <w:b/>
          <w:bCs/>
          <w:i w:val="false"/>
          <w:iCs w:val="false"/>
          <w:color w:val="auto"/>
          <w:sz w:val="22"/>
          <w:szCs w:val="22"/>
        </w:rPr>
        <w:t>CLÁUSULA DÉCIMA SEGUNDA – DOS CASOS OMISSOS (</w:t>
      </w:r>
      <w:r>
        <w:fldChar w:fldCharType="begin"/>
      </w:r>
      <w:r>
        <w:rPr>
          <w:rStyle w:val="Hyperlink"/>
          <w:sz w:val="22"/>
          <w:i w:val="false"/>
          <w:b/>
          <w:szCs w:val="22"/>
          <w:iCs w:val="false"/>
          <w:bCs/>
          <w:color w:val="auto"/>
        </w:rPr>
        <w:instrText xml:space="preserve"> HYPERLINK "http://www.planalto.gov.br/ccivil_03/_ato2019-2022/2021/lei/L14133.htm" \l "art92"</w:instrText>
      </w:r>
      <w:r>
        <w:rPr>
          <w:rStyle w:val="Hyperlink"/>
          <w:sz w:val="22"/>
          <w:i w:val="false"/>
          <w:b/>
          <w:szCs w:val="22"/>
          <w:iCs w:val="false"/>
          <w:bCs/>
          <w:color w:val="auto"/>
        </w:rPr>
        <w:fldChar w:fldCharType="separate"/>
      </w:r>
      <w:r>
        <w:rPr>
          <w:rStyle w:val="Hyperlink"/>
          <w:b/>
          <w:bCs/>
          <w:i w:val="false"/>
          <w:iCs w:val="false"/>
          <w:color w:val="auto"/>
          <w:sz w:val="22"/>
          <w:szCs w:val="22"/>
        </w:rPr>
        <w:t>art. 92, III</w:t>
      </w:r>
      <w:r>
        <w:rPr>
          <w:rStyle w:val="Hyperlink"/>
          <w:sz w:val="22"/>
          <w:i w:val="false"/>
          <w:b/>
          <w:szCs w:val="22"/>
          <w:iCs w:val="false"/>
          <w:bCs/>
          <w:color w:val="auto"/>
        </w:rPr>
        <w:fldChar w:fldCharType="end"/>
      </w:r>
      <w:r>
        <w:rPr>
          <w:b/>
          <w:bCs/>
          <w:i w:val="false"/>
          <w:iCs w:val="false"/>
          <w:color w:val="auto"/>
          <w:sz w:val="22"/>
          <w:szCs w:val="22"/>
        </w:rPr>
        <w:t>)</w:t>
      </w:r>
    </w:p>
    <w:p>
      <w:pPr>
        <w:pStyle w:val="Nivel2"/>
        <w:tabs>
          <w:tab w:val="clear" w:pos="0"/>
        </w:tabs>
        <w:spacing w:lineRule="auto" w:line="360" w:before="120" w:after="288"/>
        <w:ind w:hanging="0" w:left="0"/>
        <w:rPr>
          <w:color w:val="auto"/>
          <w:sz w:val="22"/>
          <w:szCs w:val="22"/>
        </w:rPr>
      </w:pPr>
      <w:r>
        <w:rPr>
          <w:color w:val="auto"/>
          <w:sz w:val="22"/>
          <w:szCs w:val="22"/>
        </w:rPr>
        <w:t xml:space="preserve">12.1 Os casos omissos serão decididos pelo contratante, segundo as disposições contidas na Lei </w:t>
      </w:r>
      <w:hyperlink r:id="rId24">
        <w:r>
          <w:rPr>
            <w:rStyle w:val="Hyperlink"/>
            <w:color w:val="auto"/>
            <w:sz w:val="22"/>
            <w:szCs w:val="22"/>
          </w:rPr>
          <w:t>nº 14.133, de 2021</w:t>
        </w:r>
      </w:hyperlink>
      <w:r>
        <w:rPr>
          <w:color w:val="auto"/>
          <w:sz w:val="22"/>
          <w:szCs w:val="22"/>
        </w:rPr>
        <w:t xml:space="preserve">, e demais normas federais aplicáveis e, subsidiariamente, segundo as disposições contidas na </w:t>
      </w:r>
      <w:hyperlink r:id="rId25">
        <w:r>
          <w:rPr>
            <w:rStyle w:val="Hyperlink"/>
            <w:color w:val="auto"/>
            <w:sz w:val="22"/>
            <w:szCs w:val="22"/>
          </w:rPr>
          <w:t>Lei nº 8.078, de 1990 – Código de Defesa do Consumidor</w:t>
        </w:r>
      </w:hyperlink>
      <w:r>
        <w:rPr>
          <w:color w:val="auto"/>
          <w:sz w:val="22"/>
          <w:szCs w:val="22"/>
        </w:rPr>
        <w:t xml:space="preserve"> – e normas e princípios gerais dos contratos.</w:t>
      </w:r>
    </w:p>
    <w:p>
      <w:pPr>
        <w:pStyle w:val="Nivel01"/>
        <w:numPr>
          <w:ilvl w:val="0"/>
          <w:numId w:val="0"/>
        </w:numPr>
        <w:spacing w:lineRule="auto" w:line="360" w:before="120" w:after="288"/>
        <w:ind w:hanging="360" w:left="360"/>
        <w:rPr>
          <w:color w:val="auto"/>
          <w:sz w:val="22"/>
          <w:szCs w:val="22"/>
        </w:rPr>
      </w:pPr>
      <w:r>
        <w:rPr>
          <w:color w:val="auto"/>
          <w:sz w:val="22"/>
          <w:szCs w:val="22"/>
        </w:rPr>
        <w:t>CLÁUSULA DÉCIMA TERCEIRA – ALTERAÇÕES</w:t>
      </w:r>
    </w:p>
    <w:p>
      <w:pPr>
        <w:pStyle w:val="Nivel2"/>
        <w:tabs>
          <w:tab w:val="clear" w:pos="0"/>
        </w:tabs>
        <w:spacing w:lineRule="auto" w:line="360"/>
        <w:ind w:hanging="0" w:left="0"/>
        <w:rPr>
          <w:color w:val="auto"/>
          <w:sz w:val="22"/>
          <w:szCs w:val="22"/>
        </w:rPr>
      </w:pPr>
      <w:r>
        <w:rPr>
          <w:color w:val="auto"/>
          <w:sz w:val="22"/>
          <w:szCs w:val="22"/>
        </w:rPr>
        <w:t xml:space="preserve">13.1 Eventuais alterações contratuais reger-se-ão pela disciplina dos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arts. 124 e seguintes da Lei nº 14.133, de 2021</w:t>
      </w:r>
      <w:r>
        <w:rPr>
          <w:rStyle w:val="Hyperlink"/>
          <w:sz w:val="22"/>
          <w:szCs w:val="22"/>
          <w:color w:val="auto"/>
        </w:rPr>
        <w:fldChar w:fldCharType="end"/>
      </w:r>
      <w:r>
        <w:rPr>
          <w:color w:val="auto"/>
          <w:sz w:val="22"/>
          <w:szCs w:val="22"/>
        </w:rPr>
        <w:t>.</w:t>
      </w:r>
    </w:p>
    <w:p>
      <w:pPr>
        <w:pStyle w:val="Nivel2"/>
        <w:tabs>
          <w:tab w:val="clear" w:pos="0"/>
        </w:tabs>
        <w:spacing w:lineRule="auto" w:line="360"/>
        <w:ind w:hanging="0" w:left="0"/>
        <w:rPr>
          <w:color w:val="auto"/>
          <w:sz w:val="22"/>
          <w:szCs w:val="22"/>
        </w:rPr>
      </w:pPr>
      <w:r>
        <w:rPr>
          <w:color w:val="auto"/>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color w:val="auto"/>
          <w:sz w:val="22"/>
          <w:szCs w:val="22"/>
        </w:rPr>
      </w:pPr>
      <w:r>
        <w:rPr>
          <w:color w:val="auto"/>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color w:val="auto"/>
          <w:sz w:val="22"/>
          <w:szCs w:val="22"/>
        </w:rPr>
      </w:pPr>
      <w:r>
        <w:rPr>
          <w:color w:val="auto"/>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color w:val="auto"/>
        </w:rPr>
        <w:instrText xml:space="preserve"> HYPERLINK "http://www.planalto.gov.br/ccivil_03/_ato2019-2022/2021/lei/L14133.htm" \l "art136"</w:instrText>
      </w:r>
      <w:r>
        <w:rPr>
          <w:rStyle w:val="Hyperlink"/>
          <w:sz w:val="22"/>
          <w:szCs w:val="22"/>
          <w:color w:val="auto"/>
        </w:rPr>
        <w:fldChar w:fldCharType="separate"/>
      </w:r>
      <w:r>
        <w:rPr>
          <w:rStyle w:val="Hyperlink"/>
          <w:color w:val="auto"/>
          <w:sz w:val="22"/>
          <w:szCs w:val="22"/>
        </w:rPr>
        <w:t>art. 136 da Lei nº 14.133, de 2021</w:t>
      </w:r>
      <w:r>
        <w:rPr>
          <w:rStyle w:val="Hyperlink"/>
          <w:sz w:val="22"/>
          <w:szCs w:val="22"/>
          <w:color w:val="auto"/>
        </w:rPr>
        <w:fldChar w:fldCharType="end"/>
      </w:r>
    </w:p>
    <w:p>
      <w:pPr>
        <w:pStyle w:val="Nivel01"/>
        <w:numPr>
          <w:ilvl w:val="0"/>
          <w:numId w:val="0"/>
        </w:numPr>
        <w:spacing w:lineRule="auto" w:line="360" w:before="120" w:after="288"/>
        <w:ind w:hanging="360" w:left="360"/>
        <w:rPr>
          <w:color w:val="auto"/>
          <w:sz w:val="22"/>
          <w:szCs w:val="22"/>
        </w:rPr>
      </w:pPr>
      <w:r>
        <w:rPr>
          <w:color w:val="auto"/>
          <w:sz w:val="22"/>
          <w:szCs w:val="22"/>
        </w:rPr>
        <w:t>CLÁUSULA DÉCIMA QUARTA – PUBLICAÇÃO</w:t>
      </w:r>
    </w:p>
    <w:p>
      <w:pPr>
        <w:pStyle w:val="Nivel2"/>
        <w:tabs>
          <w:tab w:val="clear" w:pos="0"/>
        </w:tabs>
        <w:spacing w:lineRule="auto" w:line="360" w:before="120" w:after="288"/>
        <w:ind w:hanging="0" w:left="0"/>
        <w:rPr>
          <w:color w:val="auto"/>
          <w:sz w:val="22"/>
          <w:szCs w:val="22"/>
        </w:rPr>
      </w:pPr>
      <w:r>
        <w:rPr>
          <w:color w:val="auto"/>
          <w:sz w:val="22"/>
          <w:szCs w:val="22"/>
        </w:rPr>
        <w:t xml:space="preserve">14.1 Incumbirá ao contratante divulgar o presente instrumento no Portal Nacional de Contratações Públicas (PNCP), na forma prevista no </w:t>
      </w:r>
      <w:r>
        <w:fldChar w:fldCharType="begin"/>
      </w:r>
      <w:r>
        <w:rPr>
          <w:rStyle w:val="Hyperlink"/>
          <w:sz w:val="22"/>
          <w:szCs w:val="22"/>
          <w:color w:val="auto"/>
        </w:rPr>
        <w:instrText xml:space="preserve"> HYPERLINK "http://www.planalto.gov.br/ccivil_03/_ato2019-2022/2021/lei/L14133.htm" \l "art94"</w:instrText>
      </w:r>
      <w:r>
        <w:rPr>
          <w:rStyle w:val="Hyperlink"/>
          <w:sz w:val="22"/>
          <w:szCs w:val="22"/>
          <w:color w:val="auto"/>
        </w:rPr>
        <w:fldChar w:fldCharType="separate"/>
      </w:r>
      <w:r>
        <w:rPr>
          <w:rStyle w:val="Hyperlink"/>
          <w:color w:val="auto"/>
          <w:sz w:val="22"/>
          <w:szCs w:val="22"/>
        </w:rPr>
        <w:t>art. 94 da Lei 14.133, de 2021</w:t>
      </w:r>
      <w:r>
        <w:rPr>
          <w:rStyle w:val="Hyperlink"/>
          <w:sz w:val="22"/>
          <w:szCs w:val="22"/>
          <w:color w:val="auto"/>
        </w:rPr>
        <w:fldChar w:fldCharType="end"/>
      </w:r>
      <w:r>
        <w:rPr>
          <w:color w:val="auto"/>
          <w:sz w:val="22"/>
          <w:szCs w:val="22"/>
        </w:rPr>
        <w:t xml:space="preserve">, bem como no respectivo sítio oficial na Internet, em atenção ao </w:t>
      </w:r>
      <w:r>
        <w:fldChar w:fldCharType="begin"/>
      </w:r>
      <w:r>
        <w:rPr>
          <w:rStyle w:val="Hyperlink"/>
          <w:sz w:val="22"/>
          <w:szCs w:val="22"/>
          <w:color w:val="auto"/>
        </w:rPr>
        <w:instrText xml:space="preserve"> HYPERLINK "https://www.planalto.gov.br/ccivil_03/_ato2011-2014/2011/lei/l12527.htm" \l "art8%C2%A72"</w:instrText>
      </w:r>
      <w:r>
        <w:rPr>
          <w:rStyle w:val="Hyperlink"/>
          <w:sz w:val="22"/>
          <w:szCs w:val="22"/>
          <w:color w:val="auto"/>
        </w:rPr>
        <w:fldChar w:fldCharType="separate"/>
      </w:r>
      <w:r>
        <w:rPr>
          <w:rStyle w:val="Hyperlink"/>
          <w:color w:val="auto"/>
          <w:sz w:val="22"/>
          <w:szCs w:val="22"/>
        </w:rPr>
        <w:t>art. 8º, §2º, da Lei n. 12.527, de 2011</w:t>
      </w:r>
      <w:r>
        <w:rPr>
          <w:rStyle w:val="Hyperlink"/>
          <w:sz w:val="22"/>
          <w:szCs w:val="22"/>
          <w:color w:val="auto"/>
        </w:rPr>
        <w:fldChar w:fldCharType="end"/>
      </w:r>
      <w:r>
        <w:rPr>
          <w:color w:val="auto"/>
          <w:sz w:val="22"/>
          <w:szCs w:val="22"/>
        </w:rPr>
        <w:t xml:space="preserve">, c/c </w:t>
      </w:r>
      <w:r>
        <w:fldChar w:fldCharType="begin"/>
      </w:r>
      <w:r>
        <w:rPr>
          <w:rStyle w:val="Hyperlink"/>
          <w:sz w:val="22"/>
          <w:szCs w:val="22"/>
          <w:color w:val="auto"/>
        </w:rPr>
        <w:instrText xml:space="preserve"> HYPERLINK "https://www.planalto.gov.br/ccivil_03/_ato2011-2014/2012/decreto/d7724.htm" \l "art7%C2%A73"</w:instrText>
      </w:r>
      <w:r>
        <w:rPr>
          <w:rStyle w:val="Hyperlink"/>
          <w:sz w:val="22"/>
          <w:szCs w:val="22"/>
          <w:color w:val="auto"/>
        </w:rPr>
        <w:fldChar w:fldCharType="separate"/>
      </w:r>
      <w:r>
        <w:rPr>
          <w:rStyle w:val="Hyperlink"/>
          <w:color w:val="auto"/>
          <w:sz w:val="22"/>
          <w:szCs w:val="22"/>
        </w:rPr>
        <w:t>art. 7º, §3º, inciso V, do Decreto n. 7.724, de 2012</w:t>
      </w:r>
      <w:r>
        <w:rPr>
          <w:rStyle w:val="Hyperlink"/>
          <w:sz w:val="22"/>
          <w:szCs w:val="22"/>
          <w:color w:val="auto"/>
        </w:rPr>
        <w:fldChar w:fldCharType="end"/>
      </w:r>
      <w:r>
        <w:rPr>
          <w:color w:val="auto"/>
          <w:sz w:val="22"/>
          <w:szCs w:val="22"/>
        </w:rPr>
        <w:t>.</w:t>
      </w:r>
    </w:p>
    <w:p>
      <w:pPr>
        <w:pStyle w:val="Nivel01"/>
        <w:numPr>
          <w:ilvl w:val="0"/>
          <w:numId w:val="0"/>
        </w:numPr>
        <w:spacing w:lineRule="auto" w:line="360" w:before="120" w:after="288"/>
        <w:ind w:hanging="360" w:left="360"/>
        <w:rPr>
          <w:color w:val="auto"/>
          <w:sz w:val="22"/>
          <w:szCs w:val="22"/>
          <w:lang w:eastAsia="en-US"/>
        </w:rPr>
      </w:pPr>
      <w:r>
        <w:rPr>
          <w:color w:val="auto"/>
          <w:sz w:val="22"/>
          <w:szCs w:val="22"/>
        </w:rPr>
        <w:t>CLÁUSULA DÉCIMA QUINTA– FORO (</w:t>
      </w:r>
      <w:r>
        <w:fldChar w:fldCharType="begin"/>
      </w:r>
      <w:r>
        <w:rPr>
          <w:rStyle w:val="Hyperlink"/>
          <w:sz w:val="22"/>
          <w:szCs w:val="22"/>
          <w:color w:val="auto"/>
        </w:rPr>
        <w:instrText xml:space="preserve"> HYPERLINK "http://www.planalto.gov.br/ccivil_03/_ato2019-2022/2021/lei/L14133.htm" \l "art92%C2%A71"</w:instrText>
      </w:r>
      <w:r>
        <w:rPr>
          <w:rStyle w:val="Hyperlink"/>
          <w:sz w:val="22"/>
          <w:szCs w:val="22"/>
          <w:color w:val="auto"/>
        </w:rPr>
        <w:fldChar w:fldCharType="separate"/>
      </w:r>
      <w:r>
        <w:rPr>
          <w:rStyle w:val="Hyperlink"/>
          <w:color w:val="auto"/>
          <w:sz w:val="22"/>
          <w:szCs w:val="22"/>
        </w:rPr>
        <w:t>art. 92, §1º</w:t>
      </w:r>
      <w:r>
        <w:rPr>
          <w:rStyle w:val="Hyperlink"/>
          <w:sz w:val="22"/>
          <w:szCs w:val="22"/>
          <w:color w:val="auto"/>
        </w:rPr>
        <w:fldChar w:fldCharType="end"/>
      </w:r>
      <w:r>
        <w:rPr>
          <w:color w:val="auto"/>
          <w:sz w:val="22"/>
          <w:szCs w:val="22"/>
        </w:rPr>
        <w:t>)</w:t>
      </w:r>
    </w:p>
    <w:p>
      <w:pPr>
        <w:pStyle w:val="Nivel2"/>
        <w:tabs>
          <w:tab w:val="clear" w:pos="0"/>
        </w:tabs>
        <w:spacing w:lineRule="auto" w:line="360" w:before="120" w:after="288"/>
        <w:ind w:hanging="0" w:left="0"/>
        <w:rPr>
          <w:color w:val="auto"/>
          <w:sz w:val="22"/>
          <w:szCs w:val="22"/>
        </w:rPr>
      </w:pPr>
      <w:r>
        <w:rPr>
          <w:color w:val="auto"/>
          <w:sz w:val="22"/>
          <w:szCs w:val="22"/>
          <w:lang w:eastAsia="en-US"/>
        </w:rPr>
        <w:t xml:space="preserve">15.1 Fica eleito o Foro da Comarca de Itatiba/SP, </w:t>
      </w:r>
      <w:r>
        <w:rPr>
          <w:color w:val="auto"/>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color w:val="auto"/>
        </w:rPr>
        <w:instrText xml:space="preserve"> HYPERLINK "http://www.planalto.gov.br/ccivil_03/_ato2019-2022/2021/lei/L14133.htm" \l "art92%C2%A71"</w:instrText>
      </w:r>
      <w:r>
        <w:rPr>
          <w:rStyle w:val="Hyperlink"/>
          <w:sz w:val="22"/>
          <w:szCs w:val="22"/>
          <w:color w:val="auto"/>
        </w:rPr>
        <w:fldChar w:fldCharType="separate"/>
      </w:r>
      <w:r>
        <w:rPr>
          <w:rStyle w:val="Hyperlink"/>
          <w:color w:val="auto"/>
          <w:sz w:val="22"/>
          <w:szCs w:val="22"/>
        </w:rPr>
        <w:t>art. 92, §1º, da Lei nº 14.133/21</w:t>
      </w:r>
      <w:r>
        <w:rPr>
          <w:rStyle w:val="Hyperlink"/>
          <w:sz w:val="22"/>
          <w:szCs w:val="22"/>
          <w:color w:val="auto"/>
        </w:rPr>
        <w:fldChar w:fldCharType="end"/>
      </w:r>
      <w:r>
        <w:rPr>
          <w:color w:val="auto"/>
          <w:sz w:val="22"/>
          <w:szCs w:val="22"/>
        </w:rPr>
        <w:t>.</w:t>
      </w:r>
    </w:p>
    <w:p>
      <w:pPr>
        <w:pStyle w:val="Nivel2"/>
        <w:tabs>
          <w:tab w:val="clear" w:pos="0"/>
        </w:tabs>
        <w:spacing w:lineRule="auto" w:line="360" w:before="120" w:after="288"/>
        <w:ind w:hanging="0" w:left="567"/>
        <w:rPr>
          <w:bCs/>
          <w:color w:val="auto"/>
          <w:sz w:val="22"/>
          <w:szCs w:val="22"/>
        </w:rPr>
      </w:pPr>
      <w:r>
        <w:rPr>
          <w:color w:val="auto"/>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sz w:val="22"/>
          <w:szCs w:val="22"/>
        </w:rPr>
      </w:pPr>
      <w:r>
        <w:rPr>
          <w:rFonts w:cs="Arial" w:ascii="Arial" w:hAnsi="Arial"/>
          <w:sz w:val="22"/>
          <w:szCs w:val="22"/>
        </w:rPr>
        <w:t>TESTEMUNHAS:</w:t>
      </w:r>
    </w:p>
    <w:p>
      <w:pPr>
        <w:pStyle w:val="Normal"/>
        <w:numPr>
          <w:ilvl w:val="0"/>
          <w:numId w:val="6"/>
        </w:numPr>
        <w:spacing w:lineRule="auto" w:line="360" w:before="120" w:after="288"/>
        <w:rPr>
          <w:rFonts w:ascii="Arial" w:hAnsi="Arial" w:cs="Arial"/>
          <w:sz w:val="22"/>
          <w:szCs w:val="22"/>
        </w:rPr>
      </w:pPr>
      <w:r>
        <w:rPr>
          <w:rFonts w:cs="Arial" w:ascii="Arial" w:hAnsi="Arial"/>
          <w:sz w:val="22"/>
          <w:szCs w:val="22"/>
        </w:rPr>
        <w:t xml:space="preserve">2- </w:t>
      </w:r>
    </w:p>
    <w:p>
      <w:pPr>
        <w:pStyle w:val="Normal"/>
        <w:spacing w:lineRule="auto" w:line="360" w:before="120" w:after="288"/>
        <w:rPr>
          <w:rFonts w:ascii="Arial" w:hAnsi="Arial" w:cs="Arial"/>
          <w:sz w:val="22"/>
          <w:szCs w:val="22"/>
        </w:rPr>
      </w:pPr>
      <w:r>
        <w:rPr>
          <w:rFonts w:cs="Arial" w:ascii="Arial" w:hAnsi="Arial"/>
          <w:sz w:val="22"/>
          <w:szCs w:val="22"/>
        </w:rPr>
      </w:r>
    </w:p>
    <w:p>
      <w:pPr>
        <w:pStyle w:val="Normal"/>
        <w:spacing w:lineRule="auto" w:line="360" w:before="120" w:after="288"/>
        <w:rPr>
          <w:rFonts w:ascii="Arial" w:hAnsi="Arial" w:cs="Arial"/>
          <w:sz w:val="22"/>
          <w:szCs w:val="22"/>
        </w:rPr>
      </w:pPr>
      <w:r>
        <w:rPr>
          <w:rFonts w:cs="Arial" w:ascii="Arial" w:hAnsi="Arial"/>
          <w:sz w:val="22"/>
          <w:szCs w:val="22"/>
        </w:rPr>
      </w:r>
    </w:p>
    <w:p>
      <w:pPr>
        <w:pStyle w:val="Normal"/>
        <w:spacing w:lineRule="auto" w:line="360" w:before="120" w:after="288"/>
        <w:rPr>
          <w:rFonts w:ascii="Arial" w:hAnsi="Arial" w:cs="Arial"/>
          <w:sz w:val="22"/>
          <w:szCs w:val="22"/>
        </w:rPr>
      </w:pPr>
      <w:r>
        <w:rPr>
          <w:rFonts w:cs="Arial" w:ascii="Arial" w:hAnsi="Arial"/>
          <w:sz w:val="22"/>
          <w:szCs w:val="22"/>
        </w:rPr>
      </w:r>
    </w:p>
    <w:p>
      <w:pPr>
        <w:pStyle w:val="Normal"/>
        <w:spacing w:lineRule="auto" w:line="360" w:before="120" w:after="288"/>
        <w:rPr>
          <w:rFonts w:ascii="Arial" w:hAnsi="Arial" w:cs="Arial"/>
          <w:sz w:val="22"/>
          <w:szCs w:val="22"/>
        </w:rPr>
      </w:pPr>
      <w:r>
        <w:rPr>
          <w:rFonts w:cs="Arial" w:ascii="Arial" w:hAnsi="Arial"/>
          <w:sz w:val="22"/>
          <w:szCs w:val="22"/>
        </w:rPr>
      </w:r>
    </w:p>
    <w:p>
      <w:pPr>
        <w:pStyle w:val="Normal"/>
        <w:spacing w:lineRule="auto" w:line="360" w:before="120" w:after="288"/>
        <w:rPr>
          <w:rFonts w:ascii="Arial" w:hAnsi="Arial" w:cs="Arial"/>
          <w:sz w:val="22"/>
          <w:szCs w:val="22"/>
        </w:rPr>
      </w:pPr>
      <w:r>
        <w:rPr>
          <w:rFonts w:cs="Arial" w:ascii="Arial" w:hAnsi="Arial"/>
          <w:sz w:val="22"/>
          <w:szCs w:val="22"/>
        </w:rPr>
      </w:r>
    </w:p>
    <w:p>
      <w:pPr>
        <w:pStyle w:val="Heading1"/>
        <w:tabs>
          <w:tab w:val="clear" w:pos="708"/>
          <w:tab w:val="left" w:pos="1440" w:leader="none"/>
        </w:tabs>
        <w:jc w:val="center"/>
        <w:rPr>
          <w:rFonts w:ascii="Arial" w:hAnsi="Arial" w:cs="Arial"/>
          <w:b/>
          <w:color w:val="auto"/>
          <w:sz w:val="22"/>
          <w:szCs w:val="22"/>
          <w:u w:val="single"/>
        </w:rPr>
      </w:pPr>
      <w:r>
        <w:rPr>
          <w:rFonts w:cs="Arial" w:ascii="Arial" w:hAnsi="Arial"/>
          <w:b/>
          <w:color w:val="auto"/>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8"/>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93</w:t>
      </w:r>
      <w:r>
        <w:rPr>
          <w:rFonts w:cs="Arial" w:ascii="Arial" w:hAnsi="Arial"/>
          <w:bCs/>
          <w:sz w:val="22"/>
          <w:szCs w:val="22"/>
        </w:rPr>
        <w:t xml:space="preserve">/2025. Objeto: </w:t>
      </w:r>
      <w:r>
        <w:rPr>
          <w:rFonts w:cs="Arial" w:ascii="Arial" w:hAnsi="Arial"/>
          <w:sz w:val="22"/>
          <w:szCs w:val="22"/>
        </w:rPr>
        <w:t>Contratação de empresa para prestação de serviço de locação de equipamentos, sistemas e serviços relacionados a operação de estacionamento público rotativo.</w:t>
      </w:r>
    </w:p>
    <w:p>
      <w:pPr>
        <w:pStyle w:val="Normal"/>
        <w:tabs>
          <w:tab w:val="clear" w:pos="708"/>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8"/>
          <w:tab w:val="left" w:pos="1440" w:leader="none"/>
        </w:tabs>
        <w:ind w:right="-54"/>
        <w:jc w:val="both"/>
        <w:rPr>
          <w:rFonts w:ascii="Arial" w:hAnsi="Arial" w:cs="Arial"/>
          <w:b/>
          <w:bCs/>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8"/>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8"/>
          <w:tab w:val="left" w:pos="1440" w:leader="none"/>
        </w:tabs>
        <w:jc w:val="both"/>
        <w:rPr>
          <w:rFonts w:ascii="Arial" w:hAnsi="Arial" w:cs="Arial"/>
          <w:b/>
          <w:bCs/>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8"/>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8"/>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8"/>
          <w:tab w:val="left" w:pos="1440" w:leader="none"/>
        </w:tabs>
        <w:jc w:val="both"/>
        <w:rPr>
          <w:rFonts w:ascii="Arial" w:hAnsi="Arial" w:cs="Arial"/>
          <w:sz w:val="22"/>
          <w:szCs w:val="22"/>
        </w:rPr>
      </w:pPr>
      <w:r>
        <w:rPr>
          <w:rFonts w:cs="Arial" w:ascii="Arial" w:hAnsi="Arial"/>
          <w:sz w:val="22"/>
          <w:szCs w:val="22"/>
        </w:rPr>
      </w:r>
    </w:p>
    <w:p>
      <w:pPr>
        <w:pStyle w:val="Normal"/>
        <w:tabs>
          <w:tab w:val="clear" w:pos="708"/>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8"/>
          <w:tab w:val="left" w:pos="1440" w:leader="none"/>
        </w:tabs>
        <w:jc w:val="both"/>
        <w:rPr>
          <w:rFonts w:ascii="Arial" w:hAnsi="Arial" w:cs="Arial"/>
          <w:sz w:val="22"/>
          <w:szCs w:val="22"/>
        </w:rPr>
      </w:pPr>
      <w:r>
        <w:rPr>
          <w:rFonts w:cs="Arial" w:ascii="Arial" w:hAnsi="Arial"/>
          <w:sz w:val="22"/>
          <w:szCs w:val="22"/>
        </w:rPr>
      </w:r>
    </w:p>
    <w:p>
      <w:pPr>
        <w:pStyle w:val="Normal"/>
        <w:tabs>
          <w:tab w:val="clear" w:pos="708"/>
          <w:tab w:val="left" w:pos="1440" w:leader="none"/>
        </w:tabs>
        <w:jc w:val="both"/>
        <w:rPr>
          <w:rFonts w:ascii="Arial" w:hAnsi="Arial" w:cs="Arial"/>
          <w:sz w:val="22"/>
          <w:szCs w:val="22"/>
          <w:lang w:val="it-IT"/>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8"/>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8"/>
          <w:tab w:val="left" w:pos="1440" w:leader="none"/>
        </w:tabs>
        <w:jc w:val="both"/>
        <w:rPr>
          <w:rFonts w:ascii="Arial" w:hAnsi="Arial" w:cs="Arial"/>
          <w:sz w:val="22"/>
          <w:szCs w:val="22"/>
          <w:lang w:val="it-IT"/>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8"/>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8"/>
          <w:tab w:val="left" w:pos="1440" w:leader="none"/>
        </w:tabs>
        <w:jc w:val="both"/>
        <w:rPr>
          <w:rFonts w:ascii="Arial" w:hAnsi="Arial" w:cs="Arial"/>
          <w:sz w:val="22"/>
          <w:szCs w:val="22"/>
          <w:lang w:val="it-IT"/>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8"/>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8"/>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8"/>
          <w:tab w:val="left" w:pos="1440" w:leader="none"/>
        </w:tabs>
        <w:jc w:val="both"/>
        <w:rPr>
          <w:rFonts w:ascii="Arial" w:hAnsi="Arial" w:cs="Arial"/>
          <w:b/>
          <w:bCs/>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8"/>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8"/>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8"/>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8"/>
          <w:tab w:val="left" w:pos="1440" w:leader="none"/>
        </w:tabs>
        <w:ind w:right="-57"/>
        <w:jc w:val="both"/>
        <w:rPr>
          <w:rFonts w:ascii="Arial" w:hAnsi="Arial" w:cs="Arial"/>
          <w:sz w:val="22"/>
          <w:szCs w:val="22"/>
        </w:rPr>
      </w:pPr>
      <w:bookmarkStart w:id="48" w:name="_Hlk167786815"/>
      <w:r>
        <w:rPr>
          <w:rFonts w:cs="Arial" w:ascii="Arial" w:hAnsi="Arial"/>
          <w:b/>
          <w:bCs/>
          <w:sz w:val="22"/>
          <w:szCs w:val="22"/>
        </w:rPr>
        <w:t>Pregão Eletrônico Nº 93/2025,</w:t>
      </w:r>
      <w:r>
        <w:rPr>
          <w:rFonts w:cs="Arial" w:ascii="Arial" w:hAnsi="Arial"/>
          <w:sz w:val="22"/>
          <w:szCs w:val="22"/>
        </w:rPr>
        <w:t xml:space="preserve"> </w:t>
      </w:r>
      <w:r>
        <w:rPr>
          <w:rFonts w:cs="Arial" w:ascii="Arial" w:hAnsi="Arial"/>
          <w:b/>
          <w:bCs/>
          <w:sz w:val="22"/>
          <w:szCs w:val="22"/>
        </w:rPr>
        <w:t>Edital Nº 117/2025</w:t>
      </w:r>
      <w:r>
        <w:rPr>
          <w:rFonts w:cs="Arial" w:ascii="Arial" w:hAnsi="Arial"/>
          <w:sz w:val="22"/>
          <w:szCs w:val="22"/>
        </w:rPr>
        <w:t>, Tipo Menor Preço Global. Objeto: Contratação de empresa para prestação de serviço de locação de equipamentos, sistemas e serviços relacionados a operação de estacionamento público rotativo. O cadastro das Propostas será recebido até o dia</w:t>
      </w:r>
      <w:r>
        <w:rPr>
          <w:rFonts w:cs="Arial" w:ascii="Arial" w:hAnsi="Arial"/>
          <w:b/>
          <w:sz w:val="22"/>
          <w:szCs w:val="22"/>
        </w:rPr>
        <w:t xml:space="preserve"> </w:t>
      </w:r>
      <w:r>
        <w:rPr>
          <w:rFonts w:cs="Arial" w:ascii="Arial" w:hAnsi="Arial"/>
          <w:b/>
          <w:sz w:val="22"/>
          <w:szCs w:val="22"/>
          <w:u w:val="single"/>
        </w:rPr>
        <w:t>07 de janeiro de 2026,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Hyperlink"/>
            <w:rFonts w:cs="Arial" w:ascii="Arial" w:hAnsi="Arial"/>
            <w:color w:val="auto"/>
            <w:sz w:val="22"/>
            <w:szCs w:val="22"/>
          </w:rPr>
          <w:t>www.itatiba.sp.gov.br</w:t>
        </w:r>
      </w:hyperlink>
      <w:r>
        <w:rPr>
          <w:rFonts w:cs="Arial" w:ascii="Arial" w:hAnsi="Arial"/>
          <w:sz w:val="22"/>
          <w:szCs w:val="22"/>
        </w:rPr>
        <w:t xml:space="preserve"> e </w:t>
      </w:r>
      <w:hyperlink r:id="rId28">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Informações: tel.(11) 3183-0655. Adriana Stocco – Pregoeira</w:t>
      </w:r>
      <w:bookmarkEnd w:id="48"/>
      <w:r>
        <w:rPr>
          <w:rFonts w:cs="Arial" w:ascii="Arial" w:hAnsi="Arial"/>
          <w:sz w:val="22"/>
          <w:szCs w:val="22"/>
        </w:rPr>
        <w:t>.</w:t>
      </w:r>
    </w:p>
    <w:p>
      <w:pPr>
        <w:pStyle w:val="Normal"/>
        <w:tabs>
          <w:tab w:val="clear" w:pos="708"/>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8"/>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8"/>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8"/>
          <w:tab w:val="left" w:pos="1440" w:leader="none"/>
        </w:tabs>
        <w:ind w:right="-57"/>
        <w:jc w:val="both"/>
        <w:rPr>
          <w:rFonts w:ascii="Arial" w:hAnsi="Arial" w:cs="Arial"/>
          <w:sz w:val="22"/>
          <w:szCs w:val="22"/>
        </w:rPr>
      </w:pPr>
      <w:r>
        <w:rPr>
          <w:rFonts w:cs="Arial" w:ascii="Arial" w:hAnsi="Arial"/>
          <w:sz w:val="22"/>
          <w:szCs w:val="22"/>
        </w:rPr>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701" w:right="1134" w:gutter="0" w:header="567" w:top="1701" w:footer="1332"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auto"/>
    <w:pitch w:val="variable"/>
  </w:font>
  <w:font w:name="Ecofont_Spranq_eco_Sans">
    <w:charset w:val="00"/>
    <w:family w:val="roman"/>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 w:name="Arial M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116</w:t>
    </w:r>
    <w:r>
      <w:rPr/>
      <w:fldChar w:fldCharType="end"/>
    </w:r>
  </w:p>
  <w:p>
    <w:pPr>
      <w:pStyle w:val="Footer"/>
      <w:rPr>
        <w:lang w:eastAsia="pt-BR"/>
      </w:rPr>
    </w:pPr>
    <w:r>
      <w:rPr/>
      <w:drawing>
        <wp:inline distT="0" distB="0" distL="0" distR="0">
          <wp:extent cx="5760085" cy="821690"/>
          <wp:effectExtent l="0" t="0" r="0" b="0"/>
          <wp:docPr id="11"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20" descr=""/>
                  <pic:cNvPicPr>
                    <a:picLocks noChangeAspect="1" noChangeArrowheads="1"/>
                  </pic:cNvPicPr>
                </pic:nvPicPr>
                <pic:blipFill>
                  <a:blip r:embed="rId1"/>
                  <a:srcRect l="-9" t="-127" r="-9" b="-127"/>
                  <a:stretch>
                    <a:fillRect/>
                  </a:stretch>
                </pic:blipFill>
                <pic:spPr bwMode="auto">
                  <a:xfrm>
                    <a:off x="0" y="0"/>
                    <a:ext cx="5760085" cy="821690"/>
                  </a:xfrm>
                  <a:prstGeom prst="rect">
                    <a:avLst/>
                  </a:prstGeom>
                  <a:solidFill>
                    <a:srgbClr val="ffffff"/>
                  </a:solid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116</w:t>
    </w:r>
    <w:r>
      <w:rPr/>
      <w:fldChar w:fldCharType="end"/>
    </w:r>
  </w:p>
  <w:p>
    <w:pPr>
      <w:pStyle w:val="Footer"/>
      <w:rPr>
        <w:lang w:eastAsia="pt-BR"/>
      </w:rPr>
    </w:pPr>
    <w:r>
      <w:rPr/>
      <w:drawing>
        <wp:inline distT="0" distB="0" distL="0" distR="0">
          <wp:extent cx="5760085" cy="821690"/>
          <wp:effectExtent l="0" t="0" r="0" b="0"/>
          <wp:docPr id="12"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20" descr=""/>
                  <pic:cNvPicPr>
                    <a:picLocks noChangeAspect="1" noChangeArrowheads="1"/>
                  </pic:cNvPicPr>
                </pic:nvPicPr>
                <pic:blipFill>
                  <a:blip r:embed="rId1"/>
                  <a:srcRect l="-9" t="-127" r="-9" b="-127"/>
                  <a:stretch>
                    <a:fillRect/>
                  </a:stretch>
                </pic:blipFill>
                <pic:spPr bwMode="auto">
                  <a:xfrm>
                    <a:off x="0" y="0"/>
                    <a:ext cx="5760085" cy="821690"/>
                  </a:xfrm>
                  <a:prstGeom prst="rect">
                    <a:avLst/>
                  </a:prstGeom>
                  <a:solidFill>
                    <a:srgbClr val="ffffff"/>
                  </a:solid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9"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9"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10"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9"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lowerLetter"/>
      <w:lvlText w:val="%1)"/>
      <w:lvlJc w:val="left"/>
      <w:pPr>
        <w:tabs>
          <w:tab w:val="num" w:pos="0"/>
        </w:tabs>
        <w:ind w:left="720" w:hanging="360"/>
      </w:pPr>
      <w:rPr>
        <w:b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78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0">
    <w:lvl w:ilvl="0">
      <w:start w:val="1"/>
      <w:numFmt w:val="decimal"/>
      <w:lvlText w:val="%1."/>
      <w:lvlJc w:val="left"/>
      <w:pPr>
        <w:tabs>
          <w:tab w:val="num" w:pos="0"/>
        </w:tabs>
        <w:ind w:left="177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2">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3">
    <w:lvl w:ilvl="0">
      <w:start w:val="1"/>
      <w:numFmt w:val="decimal"/>
      <w:lvlText w:val="%1."/>
      <w:lvlJc w:val="left"/>
      <w:pPr>
        <w:tabs>
          <w:tab w:val="num" w:pos="720"/>
        </w:tabs>
        <w:ind w:left="720" w:hanging="360"/>
      </w:pPr>
      <w:rPr>
        <w:sz w:val="22"/>
        <w:szCs w:val="22"/>
        <w:rFonts w:ascii="Calibri" w:hAnsi="Calibri" w:cs="Calibri"/>
        <w:color w:val="000000"/>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4">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5">
    <w:lvl w:ilvl="0">
      <w:start w:val="1"/>
      <w:numFmt w:val="decimal"/>
      <w:lvlText w:val="%1."/>
      <w:lvlJc w:val="left"/>
      <w:pPr>
        <w:tabs>
          <w:tab w:val="num" w:pos="1127"/>
        </w:tabs>
        <w:ind w:left="1127" w:hanging="360"/>
      </w:pPr>
      <w:rPr>
        <w:sz w:val="22"/>
        <w:szCs w:val="22"/>
        <w:rFonts w:ascii="Calibri" w:hAnsi="Calibri" w:cs="Calibri"/>
      </w:rPr>
    </w:lvl>
    <w:lvl w:ilvl="1">
      <w:start w:val="1"/>
      <w:numFmt w:val="decimal"/>
      <w:lvlText w:val="%2."/>
      <w:lvlJc w:val="left"/>
      <w:pPr>
        <w:tabs>
          <w:tab w:val="num" w:pos="1487"/>
        </w:tabs>
        <w:ind w:left="1487" w:hanging="360"/>
      </w:pPr>
      <w:rPr>
        <w:sz w:val="22"/>
        <w:szCs w:val="22"/>
        <w:rFonts w:ascii="Calibri" w:hAnsi="Calibri" w:cs="Calibri"/>
      </w:rPr>
    </w:lvl>
    <w:lvl w:ilvl="2">
      <w:start w:val="1"/>
      <w:numFmt w:val="decimal"/>
      <w:lvlText w:val="%3."/>
      <w:lvlJc w:val="left"/>
      <w:pPr>
        <w:tabs>
          <w:tab w:val="num" w:pos="1847"/>
        </w:tabs>
        <w:ind w:left="1847" w:hanging="360"/>
      </w:pPr>
      <w:rPr>
        <w:sz w:val="22"/>
        <w:szCs w:val="22"/>
        <w:rFonts w:ascii="Calibri" w:hAnsi="Calibri" w:cs="Calibri"/>
      </w:rPr>
    </w:lvl>
    <w:lvl w:ilvl="3">
      <w:start w:val="1"/>
      <w:numFmt w:val="decimal"/>
      <w:lvlText w:val="%4."/>
      <w:lvlJc w:val="left"/>
      <w:pPr>
        <w:tabs>
          <w:tab w:val="num" w:pos="2207"/>
        </w:tabs>
        <w:ind w:left="2207" w:hanging="360"/>
      </w:pPr>
      <w:rPr>
        <w:sz w:val="22"/>
        <w:szCs w:val="22"/>
        <w:rFonts w:ascii="Calibri" w:hAnsi="Calibri" w:cs="Calibri"/>
      </w:rPr>
    </w:lvl>
    <w:lvl w:ilvl="4">
      <w:start w:val="1"/>
      <w:numFmt w:val="decimal"/>
      <w:lvlText w:val="%5."/>
      <w:lvlJc w:val="left"/>
      <w:pPr>
        <w:tabs>
          <w:tab w:val="num" w:pos="2567"/>
        </w:tabs>
        <w:ind w:left="2567" w:hanging="360"/>
      </w:pPr>
      <w:rPr>
        <w:sz w:val="22"/>
        <w:szCs w:val="22"/>
        <w:rFonts w:ascii="Calibri" w:hAnsi="Calibri" w:cs="Calibri"/>
      </w:rPr>
    </w:lvl>
    <w:lvl w:ilvl="5">
      <w:start w:val="1"/>
      <w:numFmt w:val="decimal"/>
      <w:lvlText w:val="%6."/>
      <w:lvlJc w:val="left"/>
      <w:pPr>
        <w:tabs>
          <w:tab w:val="num" w:pos="2927"/>
        </w:tabs>
        <w:ind w:left="2927" w:hanging="360"/>
      </w:pPr>
      <w:rPr>
        <w:sz w:val="22"/>
        <w:szCs w:val="22"/>
        <w:rFonts w:ascii="Calibri" w:hAnsi="Calibri" w:cs="Calibri"/>
      </w:rPr>
    </w:lvl>
    <w:lvl w:ilvl="6">
      <w:start w:val="1"/>
      <w:numFmt w:val="decimal"/>
      <w:lvlText w:val="%7."/>
      <w:lvlJc w:val="left"/>
      <w:pPr>
        <w:tabs>
          <w:tab w:val="num" w:pos="3287"/>
        </w:tabs>
        <w:ind w:left="3287" w:hanging="360"/>
      </w:pPr>
      <w:rPr>
        <w:sz w:val="22"/>
        <w:szCs w:val="22"/>
        <w:rFonts w:ascii="Calibri" w:hAnsi="Calibri" w:cs="Calibri"/>
      </w:rPr>
    </w:lvl>
    <w:lvl w:ilvl="7">
      <w:start w:val="1"/>
      <w:numFmt w:val="decimal"/>
      <w:lvlText w:val="%8."/>
      <w:lvlJc w:val="left"/>
      <w:pPr>
        <w:tabs>
          <w:tab w:val="num" w:pos="3647"/>
        </w:tabs>
        <w:ind w:left="3647" w:hanging="360"/>
      </w:pPr>
      <w:rPr>
        <w:sz w:val="22"/>
        <w:szCs w:val="22"/>
        <w:rFonts w:ascii="Calibri" w:hAnsi="Calibri" w:cs="Calibri"/>
      </w:rPr>
    </w:lvl>
    <w:lvl w:ilvl="8">
      <w:start w:val="1"/>
      <w:numFmt w:val="decimal"/>
      <w:lvlText w:val="%9."/>
      <w:lvlJc w:val="left"/>
      <w:pPr>
        <w:tabs>
          <w:tab w:val="num" w:pos="4007"/>
        </w:tabs>
        <w:ind w:left="4007" w:hanging="360"/>
      </w:pPr>
      <w:rPr>
        <w:sz w:val="22"/>
        <w:szCs w:val="22"/>
        <w:rFonts w:ascii="Calibri" w:hAnsi="Calibri" w:cs="Calibri"/>
      </w:rPr>
    </w:lvl>
  </w:abstractNum>
  <w:abstractNum w:abstractNumId="16">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7">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8">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19">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20">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21">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22">
    <w:lvl w:ilvl="0">
      <w:start w:val="1"/>
      <w:numFmt w:val="decimal"/>
      <w:lvlText w:val="%1."/>
      <w:lvlJc w:val="left"/>
      <w:pPr>
        <w:tabs>
          <w:tab w:val="num" w:pos="720"/>
        </w:tabs>
        <w:ind w:left="720" w:hanging="360"/>
      </w:pPr>
      <w:rPr>
        <w:sz w:val="22"/>
        <w:szCs w:val="22"/>
        <w:rFonts w:ascii="Calibri" w:hAnsi="Calibri" w:cs="Calibri"/>
      </w:rPr>
    </w:lvl>
    <w:lvl w:ilvl="1">
      <w:start w:val="1"/>
      <w:numFmt w:val="decimal"/>
      <w:lvlText w:val="%2."/>
      <w:lvlJc w:val="left"/>
      <w:pPr>
        <w:tabs>
          <w:tab w:val="num" w:pos="1080"/>
        </w:tabs>
        <w:ind w:left="1080" w:hanging="360"/>
      </w:pPr>
      <w:rPr>
        <w:sz w:val="22"/>
        <w:szCs w:val="22"/>
        <w:rFonts w:ascii="Calibri" w:hAnsi="Calibri" w:cs="Calibri"/>
      </w:rPr>
    </w:lvl>
    <w:lvl w:ilvl="2">
      <w:start w:val="1"/>
      <w:numFmt w:val="decimal"/>
      <w:lvlText w:val="%3."/>
      <w:lvlJc w:val="left"/>
      <w:pPr>
        <w:tabs>
          <w:tab w:val="num" w:pos="1440"/>
        </w:tabs>
        <w:ind w:left="1440" w:hanging="360"/>
      </w:pPr>
      <w:rPr>
        <w:sz w:val="22"/>
        <w:szCs w:val="22"/>
        <w:rFonts w:ascii="Calibri" w:hAnsi="Calibri" w:cs="Calibri"/>
      </w:rPr>
    </w:lvl>
    <w:lvl w:ilvl="3">
      <w:start w:val="1"/>
      <w:numFmt w:val="decimal"/>
      <w:lvlText w:val="%4."/>
      <w:lvlJc w:val="left"/>
      <w:pPr>
        <w:tabs>
          <w:tab w:val="num" w:pos="1800"/>
        </w:tabs>
        <w:ind w:left="1800" w:hanging="360"/>
      </w:pPr>
      <w:rPr>
        <w:sz w:val="22"/>
        <w:szCs w:val="22"/>
        <w:rFonts w:ascii="Calibri" w:hAnsi="Calibri" w:cs="Calibri"/>
      </w:rPr>
    </w:lvl>
    <w:lvl w:ilvl="4">
      <w:start w:val="1"/>
      <w:numFmt w:val="decimal"/>
      <w:lvlText w:val="%5."/>
      <w:lvlJc w:val="left"/>
      <w:pPr>
        <w:tabs>
          <w:tab w:val="num" w:pos="2160"/>
        </w:tabs>
        <w:ind w:left="2160" w:hanging="360"/>
      </w:pPr>
      <w:rPr>
        <w:sz w:val="22"/>
        <w:szCs w:val="22"/>
        <w:rFonts w:ascii="Calibri" w:hAnsi="Calibri" w:cs="Calibri"/>
      </w:rPr>
    </w:lvl>
    <w:lvl w:ilvl="5">
      <w:start w:val="1"/>
      <w:numFmt w:val="decimal"/>
      <w:lvlText w:val="%6."/>
      <w:lvlJc w:val="left"/>
      <w:pPr>
        <w:tabs>
          <w:tab w:val="num" w:pos="2520"/>
        </w:tabs>
        <w:ind w:left="2520" w:hanging="360"/>
      </w:pPr>
      <w:rPr>
        <w:sz w:val="22"/>
        <w:szCs w:val="22"/>
        <w:rFonts w:ascii="Calibri" w:hAnsi="Calibri" w:cs="Calibri"/>
      </w:rPr>
    </w:lvl>
    <w:lvl w:ilvl="6">
      <w:start w:val="1"/>
      <w:numFmt w:val="decimal"/>
      <w:lvlText w:val="%7."/>
      <w:lvlJc w:val="left"/>
      <w:pPr>
        <w:tabs>
          <w:tab w:val="num" w:pos="2880"/>
        </w:tabs>
        <w:ind w:left="2880" w:hanging="360"/>
      </w:pPr>
      <w:rPr>
        <w:sz w:val="22"/>
        <w:szCs w:val="22"/>
        <w:rFonts w:ascii="Calibri" w:hAnsi="Calibri" w:cs="Calibri"/>
      </w:rPr>
    </w:lvl>
    <w:lvl w:ilvl="7">
      <w:start w:val="1"/>
      <w:numFmt w:val="decimal"/>
      <w:lvlText w:val="%8."/>
      <w:lvlJc w:val="left"/>
      <w:pPr>
        <w:tabs>
          <w:tab w:val="num" w:pos="3240"/>
        </w:tabs>
        <w:ind w:left="3240" w:hanging="360"/>
      </w:pPr>
      <w:rPr>
        <w:sz w:val="22"/>
        <w:szCs w:val="22"/>
        <w:rFonts w:ascii="Calibri" w:hAnsi="Calibri" w:cs="Calibri"/>
      </w:rPr>
    </w:lvl>
    <w:lvl w:ilvl="8">
      <w:start w:val="1"/>
      <w:numFmt w:val="decimal"/>
      <w:lvlText w:val="%9."/>
      <w:lvlJc w:val="left"/>
      <w:pPr>
        <w:tabs>
          <w:tab w:val="num" w:pos="3600"/>
        </w:tabs>
        <w:ind w:left="3600" w:hanging="360"/>
      </w:pPr>
      <w:rPr>
        <w:sz w:val="22"/>
        <w:szCs w:val="22"/>
        <w:rFonts w:ascii="Calibri" w:hAnsi="Calibri" w:cs="Calibri"/>
      </w:rPr>
    </w:lvl>
  </w:abstractNum>
  <w:abstractNum w:abstractNumId="23">
    <w:lvl w:ilvl="0">
      <w:start w:val="1"/>
      <w:numFmt w:val="decimal"/>
      <w:lvlText w:val="%1."/>
      <w:lvlJc w:val="left"/>
      <w:pPr>
        <w:tabs>
          <w:tab w:val="num" w:pos="0"/>
        </w:tabs>
        <w:ind w:left="177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uiPriority="0" w:semiHidden="1" w:unhideWhenUsed="1"/>
    <w:lsdException w:name="Smart Link" w:semiHidden="1" w:unhideWhenUsed="1"/>
  </w:latentStyles>
  <w:style w:type="paragraph" w:styleId="Normal" w:default="1">
    <w:name w:val="Normal"/>
    <w:qFormat/>
    <w:rsid w:val="005c3759"/>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14:ligatures w14:val="none"/>
    </w:rPr>
  </w:style>
  <w:style w:type="paragraph" w:styleId="Heading1">
    <w:name w:val="heading 1"/>
    <w:basedOn w:val="Normal"/>
    <w:next w:val="Normal"/>
    <w:link w:val="Ttulo1Char"/>
    <w:qFormat/>
    <w:rsid w:val="005c375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tulo2Char"/>
    <w:unhideWhenUsed/>
    <w:qFormat/>
    <w:rsid w:val="005c375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tulo3Char"/>
    <w:unhideWhenUsed/>
    <w:qFormat/>
    <w:rsid w:val="005c375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tulo4Char"/>
    <w:unhideWhenUsed/>
    <w:qFormat/>
    <w:rsid w:val="005c375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tulo5Char"/>
    <w:unhideWhenUsed/>
    <w:qFormat/>
    <w:rsid w:val="005c375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tulo6Char"/>
    <w:unhideWhenUsed/>
    <w:qFormat/>
    <w:rsid w:val="005c375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nhideWhenUsed/>
    <w:qFormat/>
    <w:rsid w:val="005c375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nhideWhenUsed/>
    <w:qFormat/>
    <w:rsid w:val="005c3759"/>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nhideWhenUsed/>
    <w:qFormat/>
    <w:rsid w:val="005c3759"/>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tulo1Char" w:customStyle="1">
    <w:name w:val="Título 1 Char"/>
    <w:basedOn w:val="DefaultParagraphFont"/>
    <w:qFormat/>
    <w:rsid w:val="005c3759"/>
    <w:rPr>
      <w:rFonts w:ascii="Calibri Light" w:hAnsi="Calibri Light" w:eastAsia="" w:cs="" w:asciiTheme="majorHAnsi" w:cstheme="majorBidi" w:eastAsiaTheme="majorEastAsia" w:hAnsiTheme="majorHAnsi"/>
      <w:color w:themeColor="accent1" w:themeShade="bf" w:val="2F5496"/>
      <w:sz w:val="40"/>
      <w:szCs w:val="40"/>
    </w:rPr>
  </w:style>
  <w:style w:type="character" w:styleId="Ttulo2Char" w:customStyle="1">
    <w:name w:val="Título 2 Char"/>
    <w:basedOn w:val="DefaultParagraphFont"/>
    <w:qFormat/>
    <w:rsid w:val="005c3759"/>
    <w:rPr>
      <w:rFonts w:ascii="Calibri Light" w:hAnsi="Calibri Light" w:eastAsia="" w:cs="" w:asciiTheme="majorHAnsi" w:cstheme="majorBidi" w:eastAsiaTheme="majorEastAsia" w:hAnsiTheme="majorHAnsi"/>
      <w:color w:themeColor="accent1" w:themeShade="bf" w:val="2F5496"/>
      <w:sz w:val="32"/>
      <w:szCs w:val="32"/>
    </w:rPr>
  </w:style>
  <w:style w:type="character" w:styleId="Ttulo3Char" w:customStyle="1">
    <w:name w:val="Título 3 Char"/>
    <w:basedOn w:val="DefaultParagraphFont"/>
    <w:qFormat/>
    <w:rsid w:val="005c3759"/>
    <w:rPr>
      <w:rFonts w:eastAsia="" w:cs="" w:cstheme="majorBidi" w:eastAsiaTheme="majorEastAsia"/>
      <w:color w:themeColor="accent1" w:themeShade="bf" w:val="2F5496"/>
      <w:sz w:val="28"/>
      <w:szCs w:val="28"/>
    </w:rPr>
  </w:style>
  <w:style w:type="character" w:styleId="Ttulo4Char" w:customStyle="1">
    <w:name w:val="Título 4 Char"/>
    <w:basedOn w:val="DefaultParagraphFont"/>
    <w:qFormat/>
    <w:rsid w:val="005c3759"/>
    <w:rPr>
      <w:rFonts w:eastAsia="" w:cs="" w:cstheme="majorBidi" w:eastAsiaTheme="majorEastAsia"/>
      <w:i/>
      <w:iCs/>
      <w:color w:themeColor="accent1" w:themeShade="bf" w:val="2F5496"/>
    </w:rPr>
  </w:style>
  <w:style w:type="character" w:styleId="Ttulo5Char" w:customStyle="1">
    <w:name w:val="Título 5 Char"/>
    <w:basedOn w:val="DefaultParagraphFont"/>
    <w:uiPriority w:val="9"/>
    <w:semiHidden/>
    <w:qFormat/>
    <w:rsid w:val="005c3759"/>
    <w:rPr>
      <w:rFonts w:eastAsia="" w:cs="" w:cstheme="majorBidi" w:eastAsiaTheme="majorEastAsia"/>
      <w:color w:themeColor="accent1" w:themeShade="bf" w:val="2F5496"/>
    </w:rPr>
  </w:style>
  <w:style w:type="character" w:styleId="Ttulo6Char" w:customStyle="1">
    <w:name w:val="Título 6 Char"/>
    <w:basedOn w:val="DefaultParagraphFont"/>
    <w:uiPriority w:val="9"/>
    <w:semiHidden/>
    <w:qFormat/>
    <w:rsid w:val="005c3759"/>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5c3759"/>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5c3759"/>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5c3759"/>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5c3759"/>
    <w:rPr>
      <w:rFonts w:ascii="Calibri Light" w:hAnsi="Calibri Light"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5c3759"/>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qFormat/>
    <w:rsid w:val="005c3759"/>
    <w:rPr>
      <w:i/>
      <w:iCs/>
      <w:color w:themeColor="text1" w:themeTint="bf" w:val="404040"/>
    </w:rPr>
  </w:style>
  <w:style w:type="character" w:styleId="IntenseEmphasis">
    <w:name w:val="Intense Emphasis"/>
    <w:basedOn w:val="DefaultParagraphFont"/>
    <w:uiPriority w:val="21"/>
    <w:qFormat/>
    <w:rsid w:val="005c3759"/>
    <w:rPr>
      <w:i/>
      <w:iCs/>
      <w:color w:themeColor="accent1" w:themeShade="bf" w:val="2F5496"/>
    </w:rPr>
  </w:style>
  <w:style w:type="character" w:styleId="CitaoIntensaChar" w:customStyle="1">
    <w:name w:val="Citação Intensa Char"/>
    <w:basedOn w:val="DefaultParagraphFont"/>
    <w:link w:val="IntenseQuote"/>
    <w:uiPriority w:val="30"/>
    <w:qFormat/>
    <w:rsid w:val="005c3759"/>
    <w:rPr>
      <w:i/>
      <w:iCs/>
      <w:color w:themeColor="accent1" w:themeShade="bf" w:val="2F5496"/>
    </w:rPr>
  </w:style>
  <w:style w:type="character" w:styleId="IntenseReference">
    <w:name w:val="Intense Reference"/>
    <w:basedOn w:val="DefaultParagraphFont"/>
    <w:uiPriority w:val="32"/>
    <w:qFormat/>
    <w:rsid w:val="005c3759"/>
    <w:rPr>
      <w:b/>
      <w:bCs/>
      <w:smallCaps/>
      <w:color w:themeColor="accent1" w:themeShade="bf" w:val="2F5496"/>
      <w:spacing w:val="5"/>
    </w:rPr>
  </w:style>
  <w:style w:type="character" w:styleId="WW8Num4z0" w:customStyle="1">
    <w:name w:val="WW8Num4z0"/>
    <w:qFormat/>
    <w:rsid w:val="005c3759"/>
    <w:rPr>
      <w:rFonts w:ascii="Arial" w:hAnsi="Arial" w:eastAsia="MS Mincho" w:cs="Arial"/>
    </w:rPr>
  </w:style>
  <w:style w:type="character" w:styleId="WW8Num4z1" w:customStyle="1">
    <w:name w:val="WW8Num4z1"/>
    <w:qFormat/>
    <w:rsid w:val="005c3759"/>
    <w:rPr/>
  </w:style>
  <w:style w:type="character" w:styleId="WW8Num6z0" w:customStyle="1">
    <w:name w:val="WW8Num6z0"/>
    <w:qFormat/>
    <w:rsid w:val="005c3759"/>
    <w:rPr/>
  </w:style>
  <w:style w:type="character" w:styleId="WW8Num7z0" w:customStyle="1">
    <w:name w:val="WW8Num7z0"/>
    <w:qFormat/>
    <w:rsid w:val="005c3759"/>
    <w:rPr/>
  </w:style>
  <w:style w:type="character" w:styleId="WW8Num8z0" w:customStyle="1">
    <w:name w:val="WW8Num8z0"/>
    <w:qFormat/>
    <w:rsid w:val="005c3759"/>
    <w:rPr>
      <w:b/>
    </w:rPr>
  </w:style>
  <w:style w:type="character" w:styleId="WW8Num8z1" w:customStyle="1">
    <w:name w:val="WW8Num8z1"/>
    <w:qFormat/>
    <w:rsid w:val="005c3759"/>
    <w:rPr>
      <w:b w:val="false"/>
      <w:i w:val="false"/>
      <w:strike w:val="false"/>
      <w:dstrike w:val="false"/>
      <w:color w:val="000000"/>
      <w:sz w:val="20"/>
      <w:szCs w:val="20"/>
      <w:u w:val="none"/>
    </w:rPr>
  </w:style>
  <w:style w:type="character" w:styleId="WW8Num8z2" w:customStyle="1">
    <w:name w:val="WW8Num8z2"/>
    <w:qFormat/>
    <w:rsid w:val="005c3759"/>
    <w:rPr>
      <w:rFonts w:ascii="Arial" w:hAnsi="Arial" w:cs="Arial"/>
      <w:b w:val="false"/>
      <w:i w:val="false"/>
      <w:strike w:val="false"/>
      <w:dstrike w:val="false"/>
      <w:color w:val="000000"/>
      <w:sz w:val="20"/>
      <w:szCs w:val="20"/>
    </w:rPr>
  </w:style>
  <w:style w:type="character" w:styleId="WW8Num9z0" w:customStyle="1">
    <w:name w:val="WW8Num9z0"/>
    <w:qFormat/>
    <w:rsid w:val="005c3759"/>
    <w:rPr/>
  </w:style>
  <w:style w:type="character" w:styleId="WW8Num10z0" w:customStyle="1">
    <w:name w:val="WW8Num10z0"/>
    <w:qFormat/>
    <w:rsid w:val="005c3759"/>
    <w:rPr/>
  </w:style>
  <w:style w:type="character" w:styleId="WW8Num11z0" w:customStyle="1">
    <w:name w:val="WW8Num11z0"/>
    <w:qFormat/>
    <w:rsid w:val="005c3759"/>
    <w:rPr/>
  </w:style>
  <w:style w:type="character" w:styleId="WW8Num12z0" w:customStyle="1">
    <w:name w:val="WW8Num12z0"/>
    <w:qFormat/>
    <w:rsid w:val="005c3759"/>
    <w:rPr>
      <w:b/>
    </w:rPr>
  </w:style>
  <w:style w:type="character" w:styleId="WW8Num12z1" w:customStyle="1">
    <w:name w:val="WW8Num12z1"/>
    <w:qFormat/>
    <w:rsid w:val="005c3759"/>
    <w:rPr>
      <w:b w:val="false"/>
      <w:i w:val="false"/>
      <w:strike w:val="false"/>
      <w:dstrike w:val="false"/>
      <w:color w:val="000000"/>
      <w:sz w:val="20"/>
      <w:szCs w:val="20"/>
      <w:u w:val="none"/>
    </w:rPr>
  </w:style>
  <w:style w:type="character" w:styleId="WW8Num12z2" w:customStyle="1">
    <w:name w:val="WW8Num12z2"/>
    <w:qFormat/>
    <w:rsid w:val="005c3759"/>
    <w:rPr>
      <w:rFonts w:ascii="Arial" w:hAnsi="Arial" w:cs="Arial"/>
      <w:b w:val="false"/>
      <w:i w:val="false"/>
      <w:strike w:val="false"/>
      <w:dstrike w:val="false"/>
      <w:color w:val="000000"/>
      <w:sz w:val="20"/>
      <w:szCs w:val="20"/>
    </w:rPr>
  </w:style>
  <w:style w:type="character" w:styleId="WW8Num12z3" w:customStyle="1">
    <w:name w:val="WW8Num12z3"/>
    <w:qFormat/>
    <w:rsid w:val="005c3759"/>
    <w:rPr/>
  </w:style>
  <w:style w:type="character" w:styleId="WW8Num13z0" w:customStyle="1">
    <w:name w:val="WW8Num13z0"/>
    <w:qFormat/>
    <w:rsid w:val="005c3759"/>
    <w:rPr>
      <w:b/>
    </w:rPr>
  </w:style>
  <w:style w:type="character" w:styleId="WW8Num13z1" w:customStyle="1">
    <w:name w:val="WW8Num13z1"/>
    <w:qFormat/>
    <w:rsid w:val="005c3759"/>
    <w:rPr>
      <w:b w:val="false"/>
      <w:i w:val="false"/>
      <w:strike w:val="false"/>
      <w:dstrike w:val="false"/>
      <w:color w:val="000000"/>
      <w:sz w:val="20"/>
      <w:szCs w:val="20"/>
      <w:u w:val="none"/>
    </w:rPr>
  </w:style>
  <w:style w:type="character" w:styleId="WW8Num13z2" w:customStyle="1">
    <w:name w:val="WW8Num13z2"/>
    <w:qFormat/>
    <w:rsid w:val="005c3759"/>
    <w:rPr>
      <w:rFonts w:ascii="Arial" w:hAnsi="Arial" w:cs="Arial"/>
      <w:b w:val="false"/>
      <w:i w:val="false"/>
      <w:strike w:val="false"/>
      <w:dstrike w:val="false"/>
      <w:color w:val="000000"/>
      <w:sz w:val="20"/>
      <w:szCs w:val="20"/>
    </w:rPr>
  </w:style>
  <w:style w:type="character" w:styleId="WW8Num15z0" w:customStyle="1">
    <w:name w:val="WW8Num15z0"/>
    <w:qFormat/>
    <w:rsid w:val="005c3759"/>
    <w:rPr>
      <w:rFonts w:ascii="Arial" w:hAnsi="Arial" w:cs="Arial"/>
      <w:b/>
      <w:bCs/>
      <w:i w:val="false"/>
      <w:iCs w:val="false"/>
      <w:sz w:val="22"/>
      <w:szCs w:val="22"/>
    </w:rPr>
  </w:style>
  <w:style w:type="character" w:styleId="WW8Num17z0" w:customStyle="1">
    <w:name w:val="WW8Num17z0"/>
    <w:qFormat/>
    <w:rsid w:val="005c3759"/>
    <w:rPr/>
  </w:style>
  <w:style w:type="character" w:styleId="WW8Num18z0" w:customStyle="1">
    <w:name w:val="WW8Num18z0"/>
    <w:qFormat/>
    <w:rsid w:val="005c3759"/>
    <w:rPr/>
  </w:style>
  <w:style w:type="character" w:styleId="WW8Num19z0" w:customStyle="1">
    <w:name w:val="WW8Num19z0"/>
    <w:qFormat/>
    <w:rsid w:val="005c3759"/>
    <w:rPr>
      <w:rFonts w:ascii="Arial" w:hAnsi="Arial" w:eastAsia="Arial" w:cs="Arial"/>
      <w:sz w:val="22"/>
    </w:rPr>
  </w:style>
  <w:style w:type="character" w:styleId="WW8Num20z0" w:customStyle="1">
    <w:name w:val="WW8Num20z0"/>
    <w:qFormat/>
    <w:rsid w:val="005c3759"/>
    <w:rPr/>
  </w:style>
  <w:style w:type="character" w:styleId="WW8Num21z0" w:customStyle="1">
    <w:name w:val="WW8Num21z0"/>
    <w:qFormat/>
    <w:rsid w:val="005c3759"/>
    <w:rPr>
      <w:sz w:val="22"/>
    </w:rPr>
  </w:style>
  <w:style w:type="character" w:styleId="WW8Num22z0" w:customStyle="1">
    <w:name w:val="WW8Num22z0"/>
    <w:qFormat/>
    <w:rsid w:val="005c3759"/>
    <w:rPr/>
  </w:style>
  <w:style w:type="character" w:styleId="WW8Num23z0" w:customStyle="1">
    <w:name w:val="WW8Num23z0"/>
    <w:qFormat/>
    <w:rsid w:val="005c3759"/>
    <w:rPr>
      <w:rFonts w:ascii="Arial" w:hAnsi="Arial" w:eastAsia="Arial" w:cs="Arial"/>
      <w:sz w:val="22"/>
    </w:rPr>
  </w:style>
  <w:style w:type="character" w:styleId="Fontepargpadro137" w:customStyle="1">
    <w:name w:val="Fonte parág. padrão137"/>
    <w:qFormat/>
    <w:rsid w:val="005c3759"/>
    <w:rPr/>
  </w:style>
  <w:style w:type="character" w:styleId="Fontepargpadro136" w:customStyle="1">
    <w:name w:val="Fonte parág. padrão136"/>
    <w:qFormat/>
    <w:rsid w:val="005c3759"/>
    <w:rPr/>
  </w:style>
  <w:style w:type="character" w:styleId="WW8Num3z0" w:customStyle="1">
    <w:name w:val="WW8Num3z0"/>
    <w:qFormat/>
    <w:rsid w:val="005c3759"/>
    <w:rPr>
      <w:b/>
      <w:i w:val="false"/>
    </w:rPr>
  </w:style>
  <w:style w:type="character" w:styleId="WW8Num3z2" w:customStyle="1">
    <w:name w:val="WW8Num3z2"/>
    <w:qFormat/>
    <w:rsid w:val="005c3759"/>
    <w:rPr>
      <w:b w:val="false"/>
      <w:i w:val="false"/>
    </w:rPr>
  </w:style>
  <w:style w:type="character" w:styleId="WW8Num5z0" w:customStyle="1">
    <w:name w:val="WW8Num5z0"/>
    <w:qFormat/>
    <w:rsid w:val="005c3759"/>
    <w:rPr>
      <w:rFonts w:ascii="Arial" w:hAnsi="Arial" w:eastAsia="MS Mincho" w:cs="Arial"/>
    </w:rPr>
  </w:style>
  <w:style w:type="character" w:styleId="WW8Num5z1" w:customStyle="1">
    <w:name w:val="WW8Num5z1"/>
    <w:qFormat/>
    <w:rsid w:val="005c3759"/>
    <w:rPr/>
  </w:style>
  <w:style w:type="character" w:styleId="WW8Num9z1" w:customStyle="1">
    <w:name w:val="WW8Num9z1"/>
    <w:qFormat/>
    <w:rsid w:val="005c3759"/>
    <w:rPr>
      <w:b w:val="false"/>
      <w:i w:val="false"/>
      <w:strike w:val="false"/>
      <w:dstrike w:val="false"/>
      <w:color w:val="000000"/>
      <w:sz w:val="20"/>
      <w:szCs w:val="20"/>
      <w:u w:val="none"/>
    </w:rPr>
  </w:style>
  <w:style w:type="character" w:styleId="WW8Num9z2" w:customStyle="1">
    <w:name w:val="WW8Num9z2"/>
    <w:qFormat/>
    <w:rsid w:val="005c3759"/>
    <w:rPr>
      <w:rFonts w:ascii="Arial" w:hAnsi="Arial" w:cs="Arial"/>
      <w:b w:val="false"/>
      <w:i w:val="false"/>
      <w:strike w:val="false"/>
      <w:dstrike w:val="false"/>
      <w:color w:val="000000"/>
      <w:sz w:val="20"/>
      <w:szCs w:val="20"/>
    </w:rPr>
  </w:style>
  <w:style w:type="character" w:styleId="WW8Num13z3" w:customStyle="1">
    <w:name w:val="WW8Num13z3"/>
    <w:qFormat/>
    <w:rsid w:val="005c3759"/>
    <w:rPr/>
  </w:style>
  <w:style w:type="character" w:styleId="WW8Num14z0" w:customStyle="1">
    <w:name w:val="WW8Num14z0"/>
    <w:qFormat/>
    <w:rsid w:val="005c3759"/>
    <w:rPr>
      <w:b/>
    </w:rPr>
  </w:style>
  <w:style w:type="character" w:styleId="WW8Num14z1" w:customStyle="1">
    <w:name w:val="WW8Num14z1"/>
    <w:qFormat/>
    <w:rsid w:val="005c3759"/>
    <w:rPr>
      <w:b w:val="false"/>
      <w:i w:val="false"/>
      <w:strike w:val="false"/>
      <w:dstrike w:val="false"/>
      <w:color w:val="000000"/>
      <w:sz w:val="20"/>
      <w:szCs w:val="20"/>
      <w:u w:val="none"/>
    </w:rPr>
  </w:style>
  <w:style w:type="character" w:styleId="WW8Num14z2" w:customStyle="1">
    <w:name w:val="WW8Num14z2"/>
    <w:qFormat/>
    <w:rsid w:val="005c3759"/>
    <w:rPr>
      <w:rFonts w:ascii="Arial" w:hAnsi="Arial" w:cs="Arial"/>
      <w:b w:val="false"/>
      <w:i w:val="false"/>
      <w:strike w:val="false"/>
      <w:dstrike w:val="false"/>
      <w:color w:val="000000"/>
      <w:sz w:val="20"/>
      <w:szCs w:val="20"/>
    </w:rPr>
  </w:style>
  <w:style w:type="character" w:styleId="WW8Num17z1" w:customStyle="1">
    <w:name w:val="WW8Num17z1"/>
    <w:qFormat/>
    <w:rsid w:val="005c3759"/>
    <w:rPr>
      <w:color w:val="000000"/>
      <w:sz w:val="22"/>
    </w:rPr>
  </w:style>
  <w:style w:type="character" w:styleId="WW8Num24z0" w:customStyle="1">
    <w:name w:val="WW8Num24z0"/>
    <w:qFormat/>
    <w:rsid w:val="005c3759"/>
    <w:rPr>
      <w:rFonts w:ascii="Arial" w:hAnsi="Arial" w:cs="Arial"/>
      <w:b/>
      <w:bCs/>
      <w:sz w:val="22"/>
      <w:szCs w:val="22"/>
    </w:rPr>
  </w:style>
  <w:style w:type="character" w:styleId="WW8Num25z0" w:customStyle="1">
    <w:name w:val="WW8Num25z0"/>
    <w:qFormat/>
    <w:rsid w:val="005c3759"/>
    <w:rPr>
      <w:rFonts w:ascii="Arial" w:hAnsi="Arial" w:cs="Arial"/>
      <w:b/>
      <w:bCs/>
      <w:sz w:val="22"/>
      <w:szCs w:val="22"/>
    </w:rPr>
  </w:style>
  <w:style w:type="character" w:styleId="WW8Num26z0" w:customStyle="1">
    <w:name w:val="WW8Num26z0"/>
    <w:qFormat/>
    <w:rsid w:val="005c3759"/>
    <w:rPr>
      <w:rFonts w:ascii="Arial" w:hAnsi="Arial" w:cs="Arial"/>
      <w:b/>
      <w:bCs/>
      <w:sz w:val="22"/>
      <w:szCs w:val="22"/>
    </w:rPr>
  </w:style>
  <w:style w:type="character" w:styleId="WW8Num27z0" w:customStyle="1">
    <w:name w:val="WW8Num27z0"/>
    <w:qFormat/>
    <w:rsid w:val="005c3759"/>
    <w:rPr>
      <w:rFonts w:ascii="Arial" w:hAnsi="Arial" w:cs="Arial"/>
      <w:b/>
      <w:bCs/>
      <w:sz w:val="22"/>
      <w:szCs w:val="22"/>
    </w:rPr>
  </w:style>
  <w:style w:type="character" w:styleId="WW8Num28z0" w:customStyle="1">
    <w:name w:val="WW8Num28z0"/>
    <w:qFormat/>
    <w:rsid w:val="005c3759"/>
    <w:rPr/>
  </w:style>
  <w:style w:type="character" w:styleId="WW8Num29z0" w:customStyle="1">
    <w:name w:val="WW8Num29z0"/>
    <w:qFormat/>
    <w:rsid w:val="005c3759"/>
    <w:rPr/>
  </w:style>
  <w:style w:type="character" w:styleId="WW8Num30z0" w:customStyle="1">
    <w:name w:val="WW8Num30z0"/>
    <w:qFormat/>
    <w:rsid w:val="005c3759"/>
    <w:rPr>
      <w:rFonts w:ascii="Arial" w:hAnsi="Arial" w:eastAsia="Arial" w:cs="Arial"/>
      <w:sz w:val="22"/>
    </w:rPr>
  </w:style>
  <w:style w:type="character" w:styleId="WW8Num31z0" w:customStyle="1">
    <w:name w:val="WW8Num31z0"/>
    <w:qFormat/>
    <w:rsid w:val="005c3759"/>
    <w:rPr/>
  </w:style>
  <w:style w:type="character" w:styleId="WW8Num32z0" w:customStyle="1">
    <w:name w:val="WW8Num32z0"/>
    <w:qFormat/>
    <w:rsid w:val="005c3759"/>
    <w:rPr>
      <w:sz w:val="22"/>
    </w:rPr>
  </w:style>
  <w:style w:type="character" w:styleId="WW8Num33z0" w:customStyle="1">
    <w:name w:val="WW8Num33z0"/>
    <w:qFormat/>
    <w:rsid w:val="005c3759"/>
    <w:rPr/>
  </w:style>
  <w:style w:type="character" w:styleId="WW8Num34z0" w:customStyle="1">
    <w:name w:val="WW8Num34z0"/>
    <w:qFormat/>
    <w:rsid w:val="005c3759"/>
    <w:rPr>
      <w:rFonts w:ascii="Arial" w:hAnsi="Arial" w:eastAsia="Arial" w:cs="Arial"/>
      <w:sz w:val="22"/>
    </w:rPr>
  </w:style>
  <w:style w:type="character" w:styleId="WW8Num36z0" w:customStyle="1">
    <w:name w:val="WW8Num36z0"/>
    <w:qFormat/>
    <w:rsid w:val="005c3759"/>
    <w:rPr>
      <w:rFonts w:ascii="Arial" w:hAnsi="Arial" w:eastAsia="Arial" w:cs="Arial"/>
      <w:sz w:val="22"/>
    </w:rPr>
  </w:style>
  <w:style w:type="character" w:styleId="Fontepargpadro135" w:customStyle="1">
    <w:name w:val="Fonte parág. padrão135"/>
    <w:qFormat/>
    <w:rsid w:val="005c3759"/>
    <w:rPr/>
  </w:style>
  <w:style w:type="character" w:styleId="WW8Num14z3" w:customStyle="1">
    <w:name w:val="WW8Num14z3"/>
    <w:qFormat/>
    <w:rsid w:val="005c3759"/>
    <w:rPr/>
  </w:style>
  <w:style w:type="character" w:styleId="WW8Num15z1" w:customStyle="1">
    <w:name w:val="WW8Num15z1"/>
    <w:qFormat/>
    <w:rsid w:val="005c3759"/>
    <w:rPr>
      <w:b w:val="false"/>
      <w:i w:val="false"/>
      <w:strike w:val="false"/>
      <w:dstrike w:val="false"/>
      <w:color w:val="000000"/>
      <w:sz w:val="20"/>
      <w:szCs w:val="20"/>
      <w:u w:val="none"/>
    </w:rPr>
  </w:style>
  <w:style w:type="character" w:styleId="WW8Num15z2" w:customStyle="1">
    <w:name w:val="WW8Num15z2"/>
    <w:qFormat/>
    <w:rsid w:val="005c3759"/>
    <w:rPr>
      <w:rFonts w:ascii="Arial" w:hAnsi="Arial" w:cs="Arial"/>
      <w:b w:val="false"/>
      <w:i w:val="false"/>
      <w:strike w:val="false"/>
      <w:dstrike w:val="false"/>
      <w:color w:val="000000"/>
      <w:sz w:val="20"/>
      <w:szCs w:val="20"/>
    </w:rPr>
  </w:style>
  <w:style w:type="character" w:styleId="WW8Num16z0" w:customStyle="1">
    <w:name w:val="WW8Num16z0"/>
    <w:qFormat/>
    <w:rsid w:val="005c3759"/>
    <w:rPr/>
  </w:style>
  <w:style w:type="character" w:styleId="WW8Num18z1" w:customStyle="1">
    <w:name w:val="WW8Num18z1"/>
    <w:qFormat/>
    <w:rsid w:val="005c3759"/>
    <w:rPr>
      <w:color w:val="000000"/>
      <w:sz w:val="22"/>
    </w:rPr>
  </w:style>
  <w:style w:type="character" w:styleId="Fontepargpadro134" w:customStyle="1">
    <w:name w:val="Fonte parág. padrão134"/>
    <w:qFormat/>
    <w:rsid w:val="005c3759"/>
    <w:rPr/>
  </w:style>
  <w:style w:type="character" w:styleId="WW8Num2z0" w:customStyle="1">
    <w:name w:val="WW8Num2z0"/>
    <w:qFormat/>
    <w:rsid w:val="005c3759"/>
    <w:rPr>
      <w:rFonts w:ascii="Wingdings" w:hAnsi="Wingdings" w:cs="Wingdings"/>
      <w:sz w:val="22"/>
      <w:szCs w:val="22"/>
    </w:rPr>
  </w:style>
  <w:style w:type="character" w:styleId="WW8Num2z3" w:customStyle="1">
    <w:name w:val="WW8Num2z3"/>
    <w:qFormat/>
    <w:rsid w:val="005c3759"/>
    <w:rPr>
      <w:rFonts w:ascii="Symbol" w:hAnsi="Symbol" w:cs="Symbol"/>
    </w:rPr>
  </w:style>
  <w:style w:type="character" w:styleId="WW8Num4z3" w:customStyle="1">
    <w:name w:val="WW8Num4z3"/>
    <w:qFormat/>
    <w:rsid w:val="005c3759"/>
    <w:rPr>
      <w:rFonts w:ascii="Symbol" w:hAnsi="Symbol" w:cs="Symbol"/>
    </w:rPr>
  </w:style>
  <w:style w:type="character" w:styleId="WW8Num17z2" w:customStyle="1">
    <w:name w:val="WW8Num17z2"/>
    <w:qFormat/>
    <w:rsid w:val="005c3759"/>
    <w:rPr>
      <w:rFonts w:ascii="Arial" w:hAnsi="Arial" w:cs="Arial"/>
      <w:b w:val="false"/>
      <w:i w:val="false"/>
      <w:strike w:val="false"/>
      <w:dstrike w:val="false"/>
      <w:color w:val="000000"/>
      <w:sz w:val="20"/>
      <w:szCs w:val="20"/>
    </w:rPr>
  </w:style>
  <w:style w:type="character" w:styleId="WW8Num25z1" w:customStyle="1">
    <w:name w:val="WW8Num25z1"/>
    <w:qFormat/>
    <w:rsid w:val="005c3759"/>
    <w:rPr>
      <w:rFonts w:ascii="Wingdings" w:hAnsi="Wingdings" w:cs="Wingdings"/>
      <w:sz w:val="22"/>
      <w:szCs w:val="22"/>
    </w:rPr>
  </w:style>
  <w:style w:type="character" w:styleId="WW8Num25z3" w:customStyle="1">
    <w:name w:val="WW8Num25z3"/>
    <w:qFormat/>
    <w:rsid w:val="005c3759"/>
    <w:rPr>
      <w:rFonts w:ascii="Symbol" w:hAnsi="Symbol" w:cs="Symbol"/>
    </w:rPr>
  </w:style>
  <w:style w:type="character" w:styleId="WW8Num28z1" w:customStyle="1">
    <w:name w:val="WW8Num28z1"/>
    <w:qFormat/>
    <w:rsid w:val="005c3759"/>
    <w:rPr>
      <w:b w:val="false"/>
      <w:i w:val="false"/>
      <w:strike w:val="false"/>
      <w:dstrike w:val="false"/>
      <w:color w:val="000000"/>
      <w:sz w:val="20"/>
      <w:szCs w:val="20"/>
      <w:u w:val="none"/>
    </w:rPr>
  </w:style>
  <w:style w:type="character" w:styleId="WW8Num28z2" w:customStyle="1">
    <w:name w:val="WW8Num28z2"/>
    <w:qFormat/>
    <w:rsid w:val="005c3759"/>
    <w:rPr>
      <w:rFonts w:ascii="Arial" w:hAnsi="Arial" w:cs="Arial"/>
      <w:b w:val="false"/>
      <w:i w:val="false"/>
      <w:strike w:val="false"/>
      <w:dstrike w:val="false"/>
      <w:color w:val="000000"/>
      <w:sz w:val="20"/>
      <w:szCs w:val="20"/>
    </w:rPr>
  </w:style>
  <w:style w:type="character" w:styleId="WW8Num31z1" w:customStyle="1">
    <w:name w:val="WW8Num31z1"/>
    <w:qFormat/>
    <w:rsid w:val="005c3759"/>
    <w:rPr>
      <w:b w:val="false"/>
      <w:i w:val="false"/>
    </w:rPr>
  </w:style>
  <w:style w:type="character" w:styleId="WW8Num31z2" w:customStyle="1">
    <w:name w:val="WW8Num31z2"/>
    <w:qFormat/>
    <w:rsid w:val="005c3759"/>
    <w:rPr>
      <w:b w:val="false"/>
    </w:rPr>
  </w:style>
  <w:style w:type="character" w:styleId="WW8NumSt32z0" w:customStyle="1">
    <w:name w:val="WW8NumSt32z0"/>
    <w:qFormat/>
    <w:rsid w:val="005c3759"/>
    <w:rPr>
      <w:b/>
    </w:rPr>
  </w:style>
  <w:style w:type="character" w:styleId="WW8NumSt32z1" w:customStyle="1">
    <w:name w:val="WW8NumSt32z1"/>
    <w:qFormat/>
    <w:rsid w:val="005c3759"/>
    <w:rPr>
      <w:b w:val="false"/>
      <w:i w:val="false"/>
      <w:strike w:val="false"/>
      <w:dstrike w:val="false"/>
      <w:color w:val="000000"/>
      <w:sz w:val="20"/>
      <w:szCs w:val="20"/>
      <w:u w:val="none"/>
    </w:rPr>
  </w:style>
  <w:style w:type="character" w:styleId="WW8NumSt32z2" w:customStyle="1">
    <w:name w:val="WW8NumSt32z2"/>
    <w:qFormat/>
    <w:rsid w:val="005c3759"/>
    <w:rPr>
      <w:rFonts w:ascii="Arial" w:hAnsi="Arial" w:cs="Arial"/>
      <w:b w:val="false"/>
      <w:i w:val="false"/>
      <w:strike w:val="false"/>
      <w:dstrike w:val="false"/>
      <w:color w:val="000000"/>
      <w:sz w:val="20"/>
      <w:szCs w:val="20"/>
    </w:rPr>
  </w:style>
  <w:style w:type="character" w:styleId="WW8NumSt32z3" w:customStyle="1">
    <w:name w:val="WW8NumSt32z3"/>
    <w:qFormat/>
    <w:rsid w:val="005c3759"/>
    <w:rPr/>
  </w:style>
  <w:style w:type="character" w:styleId="Fontepargpadro133" w:customStyle="1">
    <w:name w:val="Fonte parág. padrão133"/>
    <w:qFormat/>
    <w:rsid w:val="005c3759"/>
    <w:rPr/>
  </w:style>
  <w:style w:type="character" w:styleId="WW8Num1z0" w:customStyle="1">
    <w:name w:val="WW8Num1z0"/>
    <w:qFormat/>
    <w:rsid w:val="005c3759"/>
    <w:rPr/>
  </w:style>
  <w:style w:type="character" w:styleId="WW8Num1z1" w:customStyle="1">
    <w:name w:val="WW8Num1z1"/>
    <w:qFormat/>
    <w:rsid w:val="005c3759"/>
    <w:rPr/>
  </w:style>
  <w:style w:type="character" w:styleId="WW8Num1z2" w:customStyle="1">
    <w:name w:val="WW8Num1z2"/>
    <w:qFormat/>
    <w:rsid w:val="005c3759"/>
    <w:rPr/>
  </w:style>
  <w:style w:type="character" w:styleId="WW8Num1z3" w:customStyle="1">
    <w:name w:val="WW8Num1z3"/>
    <w:qFormat/>
    <w:rsid w:val="005c3759"/>
    <w:rPr/>
  </w:style>
  <w:style w:type="character" w:styleId="WW8Num1z4" w:customStyle="1">
    <w:name w:val="WW8Num1z4"/>
    <w:qFormat/>
    <w:rsid w:val="005c3759"/>
    <w:rPr/>
  </w:style>
  <w:style w:type="character" w:styleId="WW8Num1z5" w:customStyle="1">
    <w:name w:val="WW8Num1z5"/>
    <w:qFormat/>
    <w:rsid w:val="005c3759"/>
    <w:rPr/>
  </w:style>
  <w:style w:type="character" w:styleId="WW8Num1z6" w:customStyle="1">
    <w:name w:val="WW8Num1z6"/>
    <w:qFormat/>
    <w:rsid w:val="005c3759"/>
    <w:rPr/>
  </w:style>
  <w:style w:type="character" w:styleId="WW8Num1z7" w:customStyle="1">
    <w:name w:val="WW8Num1z7"/>
    <w:qFormat/>
    <w:rsid w:val="005c3759"/>
    <w:rPr/>
  </w:style>
  <w:style w:type="character" w:styleId="WW8Num1z8" w:customStyle="1">
    <w:name w:val="WW8Num1z8"/>
    <w:qFormat/>
    <w:rsid w:val="005c3759"/>
    <w:rPr/>
  </w:style>
  <w:style w:type="character" w:styleId="WW8Num5z2" w:customStyle="1">
    <w:name w:val="WW8Num5z2"/>
    <w:qFormat/>
    <w:rsid w:val="005c3759"/>
    <w:rPr>
      <w:rFonts w:ascii="Wingdings" w:hAnsi="Wingdings" w:cs="Wingdings"/>
    </w:rPr>
  </w:style>
  <w:style w:type="character" w:styleId="WW8Num6z1" w:customStyle="1">
    <w:name w:val="WW8Num6z1"/>
    <w:qFormat/>
    <w:rsid w:val="005c3759"/>
    <w:rPr>
      <w:rFonts w:ascii="Courier New" w:hAnsi="Courier New" w:cs="Courier New"/>
    </w:rPr>
  </w:style>
  <w:style w:type="character" w:styleId="WW8Num6z2" w:customStyle="1">
    <w:name w:val="WW8Num6z2"/>
    <w:qFormat/>
    <w:rsid w:val="005c3759"/>
    <w:rPr>
      <w:rFonts w:ascii="Wingdings" w:hAnsi="Wingdings" w:cs="Wingdings"/>
    </w:rPr>
  </w:style>
  <w:style w:type="character" w:styleId="Fontepargpadro132" w:customStyle="1">
    <w:name w:val="Fonte parág. padrão132"/>
    <w:qFormat/>
    <w:rsid w:val="005c3759"/>
    <w:rPr/>
  </w:style>
  <w:style w:type="character" w:styleId="WW8Num3z1" w:customStyle="1">
    <w:name w:val="WW8Num3z1"/>
    <w:qFormat/>
    <w:rsid w:val="005c3759"/>
    <w:rPr>
      <w:rFonts w:ascii="Courier New" w:hAnsi="Courier New" w:cs="Courier New"/>
    </w:rPr>
  </w:style>
  <w:style w:type="character" w:styleId="WW8Num4z2" w:customStyle="1">
    <w:name w:val="WW8Num4z2"/>
    <w:qFormat/>
    <w:rsid w:val="005c3759"/>
    <w:rPr>
      <w:rFonts w:ascii="Wingdings" w:hAnsi="Wingdings" w:cs="Wingdings"/>
    </w:rPr>
  </w:style>
  <w:style w:type="character" w:styleId="WW8Num5z3" w:customStyle="1">
    <w:name w:val="WW8Num5z3"/>
    <w:qFormat/>
    <w:rsid w:val="005c3759"/>
    <w:rPr/>
  </w:style>
  <w:style w:type="character" w:styleId="WW8Num5z4" w:customStyle="1">
    <w:name w:val="WW8Num5z4"/>
    <w:qFormat/>
    <w:rsid w:val="005c3759"/>
    <w:rPr/>
  </w:style>
  <w:style w:type="character" w:styleId="WW8Num5z5" w:customStyle="1">
    <w:name w:val="WW8Num5z5"/>
    <w:qFormat/>
    <w:rsid w:val="005c3759"/>
    <w:rPr/>
  </w:style>
  <w:style w:type="character" w:styleId="WW8Num5z6" w:customStyle="1">
    <w:name w:val="WW8Num5z6"/>
    <w:qFormat/>
    <w:rsid w:val="005c3759"/>
    <w:rPr/>
  </w:style>
  <w:style w:type="character" w:styleId="WW8Num5z7" w:customStyle="1">
    <w:name w:val="WW8Num5z7"/>
    <w:qFormat/>
    <w:rsid w:val="005c3759"/>
    <w:rPr/>
  </w:style>
  <w:style w:type="character" w:styleId="WW8Num5z8" w:customStyle="1">
    <w:name w:val="WW8Num5z8"/>
    <w:qFormat/>
    <w:rsid w:val="005c3759"/>
    <w:rPr/>
  </w:style>
  <w:style w:type="character" w:styleId="Fontepargpadro131" w:customStyle="1">
    <w:name w:val="Fonte parág. padrão131"/>
    <w:qFormat/>
    <w:rsid w:val="005c3759"/>
    <w:rPr/>
  </w:style>
  <w:style w:type="character" w:styleId="Fontepargpadro130" w:customStyle="1">
    <w:name w:val="Fonte parág. padrão130"/>
    <w:qFormat/>
    <w:rsid w:val="005c3759"/>
    <w:rPr/>
  </w:style>
  <w:style w:type="character" w:styleId="Fontepargpadro129" w:customStyle="1">
    <w:name w:val="Fonte parág. padrão129"/>
    <w:qFormat/>
    <w:rsid w:val="005c3759"/>
    <w:rPr/>
  </w:style>
  <w:style w:type="character" w:styleId="Fontepargpadro128" w:customStyle="1">
    <w:name w:val="Fonte parág. padrão128"/>
    <w:qFormat/>
    <w:rsid w:val="005c3759"/>
    <w:rPr/>
  </w:style>
  <w:style w:type="character" w:styleId="Fontepargpadro127" w:customStyle="1">
    <w:name w:val="Fonte parág. padrão127"/>
    <w:qFormat/>
    <w:rsid w:val="005c3759"/>
    <w:rPr/>
  </w:style>
  <w:style w:type="character" w:styleId="Fontepargpadro126" w:customStyle="1">
    <w:name w:val="Fonte parág. padrão126"/>
    <w:qFormat/>
    <w:rsid w:val="005c3759"/>
    <w:rPr/>
  </w:style>
  <w:style w:type="character" w:styleId="Fontepargpadro125" w:customStyle="1">
    <w:name w:val="Fonte parág. padrão125"/>
    <w:qFormat/>
    <w:rsid w:val="005c3759"/>
    <w:rPr/>
  </w:style>
  <w:style w:type="character" w:styleId="Fontepargpadro124" w:customStyle="1">
    <w:name w:val="Fonte parág. padrão124"/>
    <w:qFormat/>
    <w:rsid w:val="005c3759"/>
    <w:rPr/>
  </w:style>
  <w:style w:type="character" w:styleId="Fontepargpadro123" w:customStyle="1">
    <w:name w:val="Fonte parág. padrão123"/>
    <w:qFormat/>
    <w:rsid w:val="005c3759"/>
    <w:rPr/>
  </w:style>
  <w:style w:type="character" w:styleId="Fontepargpadro122" w:customStyle="1">
    <w:name w:val="Fonte parág. padrão122"/>
    <w:qFormat/>
    <w:rsid w:val="005c3759"/>
    <w:rPr/>
  </w:style>
  <w:style w:type="character" w:styleId="Fontepargpadro121" w:customStyle="1">
    <w:name w:val="Fonte parág. padrão121"/>
    <w:qFormat/>
    <w:rsid w:val="005c3759"/>
    <w:rPr/>
  </w:style>
  <w:style w:type="character" w:styleId="Fontepargpadro120" w:customStyle="1">
    <w:name w:val="Fonte parág. padrão120"/>
    <w:qFormat/>
    <w:rsid w:val="005c3759"/>
    <w:rPr/>
  </w:style>
  <w:style w:type="character" w:styleId="Fontepargpadro119" w:customStyle="1">
    <w:name w:val="Fonte parág. padrão119"/>
    <w:qFormat/>
    <w:rsid w:val="005c3759"/>
    <w:rPr/>
  </w:style>
  <w:style w:type="character" w:styleId="Fontepargpadro118" w:customStyle="1">
    <w:name w:val="Fonte parág. padrão118"/>
    <w:qFormat/>
    <w:rsid w:val="005c3759"/>
    <w:rPr/>
  </w:style>
  <w:style w:type="character" w:styleId="Fontepargpadro117" w:customStyle="1">
    <w:name w:val="Fonte parág. padrão117"/>
    <w:qFormat/>
    <w:rsid w:val="005c3759"/>
    <w:rPr/>
  </w:style>
  <w:style w:type="character" w:styleId="Fontepargpadro116" w:customStyle="1">
    <w:name w:val="Fonte parág. padrão116"/>
    <w:qFormat/>
    <w:rsid w:val="005c3759"/>
    <w:rPr/>
  </w:style>
  <w:style w:type="character" w:styleId="Fontepargpadro115" w:customStyle="1">
    <w:name w:val="Fonte parág. padrão115"/>
    <w:qFormat/>
    <w:rsid w:val="005c3759"/>
    <w:rPr/>
  </w:style>
  <w:style w:type="character" w:styleId="Fontepargpadro114" w:customStyle="1">
    <w:name w:val="Fonte parág. padrão114"/>
    <w:qFormat/>
    <w:rsid w:val="005c3759"/>
    <w:rPr/>
  </w:style>
  <w:style w:type="character" w:styleId="Fontepargpadro113" w:customStyle="1">
    <w:name w:val="Fonte parág. padrão113"/>
    <w:qFormat/>
    <w:rsid w:val="005c3759"/>
    <w:rPr/>
  </w:style>
  <w:style w:type="character" w:styleId="Fontepargpadro112" w:customStyle="1">
    <w:name w:val="Fonte parág. padrão112"/>
    <w:qFormat/>
    <w:rsid w:val="005c3759"/>
    <w:rPr/>
  </w:style>
  <w:style w:type="character" w:styleId="Fontepargpadro111" w:customStyle="1">
    <w:name w:val="Fonte parág. padrão111"/>
    <w:qFormat/>
    <w:rsid w:val="005c3759"/>
    <w:rPr/>
  </w:style>
  <w:style w:type="character" w:styleId="Fontepargpadro110" w:customStyle="1">
    <w:name w:val="Fonte parág. padrão110"/>
    <w:qFormat/>
    <w:rsid w:val="005c3759"/>
    <w:rPr/>
  </w:style>
  <w:style w:type="character" w:styleId="Fontepargpadro109" w:customStyle="1">
    <w:name w:val="Fonte parág. padrão109"/>
    <w:qFormat/>
    <w:rsid w:val="005c3759"/>
    <w:rPr/>
  </w:style>
  <w:style w:type="character" w:styleId="Fontepargpadro108" w:customStyle="1">
    <w:name w:val="Fonte parág. padrão108"/>
    <w:qFormat/>
    <w:rsid w:val="005c3759"/>
    <w:rPr/>
  </w:style>
  <w:style w:type="character" w:styleId="Fontepargpadro107" w:customStyle="1">
    <w:name w:val="Fonte parág. padrão107"/>
    <w:qFormat/>
    <w:rsid w:val="005c3759"/>
    <w:rPr/>
  </w:style>
  <w:style w:type="character" w:styleId="Fontepargpadro106" w:customStyle="1">
    <w:name w:val="Fonte parág. padrão106"/>
    <w:qFormat/>
    <w:rsid w:val="005c3759"/>
    <w:rPr/>
  </w:style>
  <w:style w:type="character" w:styleId="Fontepargpadro105" w:customStyle="1">
    <w:name w:val="Fonte parág. padrão105"/>
    <w:qFormat/>
    <w:rsid w:val="005c3759"/>
    <w:rPr/>
  </w:style>
  <w:style w:type="character" w:styleId="Fontepargpadro104" w:customStyle="1">
    <w:name w:val="Fonte parág. padrão104"/>
    <w:qFormat/>
    <w:rsid w:val="005c3759"/>
    <w:rPr/>
  </w:style>
  <w:style w:type="character" w:styleId="Fontepargpadro103" w:customStyle="1">
    <w:name w:val="Fonte parág. padrão103"/>
    <w:qFormat/>
    <w:rsid w:val="005c3759"/>
    <w:rPr/>
  </w:style>
  <w:style w:type="character" w:styleId="Fontepargpadro102" w:customStyle="1">
    <w:name w:val="Fonte parág. padrão102"/>
    <w:qFormat/>
    <w:rsid w:val="005c3759"/>
    <w:rPr/>
  </w:style>
  <w:style w:type="character" w:styleId="Fontepargpadro101" w:customStyle="1">
    <w:name w:val="Fonte parág. padrão101"/>
    <w:qFormat/>
    <w:rsid w:val="005c3759"/>
    <w:rPr/>
  </w:style>
  <w:style w:type="character" w:styleId="Fontepargpadro100" w:customStyle="1">
    <w:name w:val="Fonte parág. padrão100"/>
    <w:qFormat/>
    <w:rsid w:val="005c3759"/>
    <w:rPr/>
  </w:style>
  <w:style w:type="character" w:styleId="Fontepargpadro99" w:customStyle="1">
    <w:name w:val="Fonte parág. padrão99"/>
    <w:qFormat/>
    <w:rsid w:val="005c3759"/>
    <w:rPr/>
  </w:style>
  <w:style w:type="character" w:styleId="Fontepargpadro98" w:customStyle="1">
    <w:name w:val="Fonte parág. padrão98"/>
    <w:qFormat/>
    <w:rsid w:val="005c3759"/>
    <w:rPr/>
  </w:style>
  <w:style w:type="character" w:styleId="Fontepargpadro97" w:customStyle="1">
    <w:name w:val="Fonte parág. padrão97"/>
    <w:qFormat/>
    <w:rsid w:val="005c3759"/>
    <w:rPr/>
  </w:style>
  <w:style w:type="character" w:styleId="Fontepargpadro96" w:customStyle="1">
    <w:name w:val="Fonte parág. padrão96"/>
    <w:qFormat/>
    <w:rsid w:val="005c3759"/>
    <w:rPr/>
  </w:style>
  <w:style w:type="character" w:styleId="Fontepargpadro95" w:customStyle="1">
    <w:name w:val="Fonte parág. padrão95"/>
    <w:qFormat/>
    <w:rsid w:val="005c3759"/>
    <w:rPr/>
  </w:style>
  <w:style w:type="character" w:styleId="Fontepargpadro94" w:customStyle="1">
    <w:name w:val="Fonte parág. padrão94"/>
    <w:qFormat/>
    <w:rsid w:val="005c3759"/>
    <w:rPr/>
  </w:style>
  <w:style w:type="character" w:styleId="Fontepargpadro93" w:customStyle="1">
    <w:name w:val="Fonte parág. padrão93"/>
    <w:qFormat/>
    <w:rsid w:val="005c3759"/>
    <w:rPr/>
  </w:style>
  <w:style w:type="character" w:styleId="Fontepargpadro92" w:customStyle="1">
    <w:name w:val="Fonte parág. padrão92"/>
    <w:qFormat/>
    <w:rsid w:val="005c3759"/>
    <w:rPr/>
  </w:style>
  <w:style w:type="character" w:styleId="Fontepargpadro91" w:customStyle="1">
    <w:name w:val="Fonte parág. padrão91"/>
    <w:qFormat/>
    <w:rsid w:val="005c3759"/>
    <w:rPr/>
  </w:style>
  <w:style w:type="character" w:styleId="Fontepargpadro90" w:customStyle="1">
    <w:name w:val="Fonte parág. padrão90"/>
    <w:qFormat/>
    <w:rsid w:val="005c3759"/>
    <w:rPr/>
  </w:style>
  <w:style w:type="character" w:styleId="Fontepargpadro89" w:customStyle="1">
    <w:name w:val="Fonte parág. padrão89"/>
    <w:qFormat/>
    <w:rsid w:val="005c3759"/>
    <w:rPr/>
  </w:style>
  <w:style w:type="character" w:styleId="Fontepargpadro88" w:customStyle="1">
    <w:name w:val="Fonte parág. padrão88"/>
    <w:qFormat/>
    <w:rsid w:val="005c3759"/>
    <w:rPr/>
  </w:style>
  <w:style w:type="character" w:styleId="Fontepargpadro87" w:customStyle="1">
    <w:name w:val="Fonte parág. padrão87"/>
    <w:qFormat/>
    <w:rsid w:val="005c3759"/>
    <w:rPr/>
  </w:style>
  <w:style w:type="character" w:styleId="Fontepargpadro86" w:customStyle="1">
    <w:name w:val="Fonte parág. padrão86"/>
    <w:qFormat/>
    <w:rsid w:val="005c3759"/>
    <w:rPr/>
  </w:style>
  <w:style w:type="character" w:styleId="Fontepargpadro85" w:customStyle="1">
    <w:name w:val="Fonte parág. padrão85"/>
    <w:qFormat/>
    <w:rsid w:val="005c3759"/>
    <w:rPr/>
  </w:style>
  <w:style w:type="character" w:styleId="Fontepargpadro84" w:customStyle="1">
    <w:name w:val="Fonte parág. padrão84"/>
    <w:qFormat/>
    <w:rsid w:val="005c3759"/>
    <w:rPr/>
  </w:style>
  <w:style w:type="character" w:styleId="Fontepargpadro83" w:customStyle="1">
    <w:name w:val="Fonte parág. padrão83"/>
    <w:qFormat/>
    <w:rsid w:val="005c3759"/>
    <w:rPr/>
  </w:style>
  <w:style w:type="character" w:styleId="Fontepargpadro82" w:customStyle="1">
    <w:name w:val="Fonte parág. padrão82"/>
    <w:qFormat/>
    <w:rsid w:val="005c3759"/>
    <w:rPr/>
  </w:style>
  <w:style w:type="character" w:styleId="Fontepargpadro81" w:customStyle="1">
    <w:name w:val="Fonte parág. padrão81"/>
    <w:qFormat/>
    <w:rsid w:val="005c3759"/>
    <w:rPr/>
  </w:style>
  <w:style w:type="character" w:styleId="Fontepargpadro80" w:customStyle="1">
    <w:name w:val="Fonte parág. padrão80"/>
    <w:qFormat/>
    <w:rsid w:val="005c3759"/>
    <w:rPr/>
  </w:style>
  <w:style w:type="character" w:styleId="Fontepargpadro79" w:customStyle="1">
    <w:name w:val="Fonte parág. padrão79"/>
    <w:qFormat/>
    <w:rsid w:val="005c3759"/>
    <w:rPr/>
  </w:style>
  <w:style w:type="character" w:styleId="Fontepargpadro78" w:customStyle="1">
    <w:name w:val="Fonte parág. padrão78"/>
    <w:qFormat/>
    <w:rsid w:val="005c3759"/>
    <w:rPr/>
  </w:style>
  <w:style w:type="character" w:styleId="Fontepargpadro77" w:customStyle="1">
    <w:name w:val="Fonte parág. padrão77"/>
    <w:qFormat/>
    <w:rsid w:val="005c3759"/>
    <w:rPr/>
  </w:style>
  <w:style w:type="character" w:styleId="Fontepargpadro76" w:customStyle="1">
    <w:name w:val="Fonte parág. padrão76"/>
    <w:qFormat/>
    <w:rsid w:val="005c3759"/>
    <w:rPr/>
  </w:style>
  <w:style w:type="character" w:styleId="Fontepargpadro75" w:customStyle="1">
    <w:name w:val="Fonte parág. padrão75"/>
    <w:qFormat/>
    <w:rsid w:val="005c3759"/>
    <w:rPr/>
  </w:style>
  <w:style w:type="character" w:styleId="Fontepargpadro74" w:customStyle="1">
    <w:name w:val="Fonte parág. padrão74"/>
    <w:qFormat/>
    <w:rsid w:val="005c3759"/>
    <w:rPr/>
  </w:style>
  <w:style w:type="character" w:styleId="Fontepargpadro73" w:customStyle="1">
    <w:name w:val="Fonte parág. padrão73"/>
    <w:qFormat/>
    <w:rsid w:val="005c3759"/>
    <w:rPr/>
  </w:style>
  <w:style w:type="character" w:styleId="Fontepargpadro72" w:customStyle="1">
    <w:name w:val="Fonte parág. padrão72"/>
    <w:qFormat/>
    <w:rsid w:val="005c3759"/>
    <w:rPr/>
  </w:style>
  <w:style w:type="character" w:styleId="Fontepargpadro71" w:customStyle="1">
    <w:name w:val="Fonte parág. padrão71"/>
    <w:qFormat/>
    <w:rsid w:val="005c3759"/>
    <w:rPr/>
  </w:style>
  <w:style w:type="character" w:styleId="Fontepargpadro70" w:customStyle="1">
    <w:name w:val="Fonte parág. padrão70"/>
    <w:qFormat/>
    <w:rsid w:val="005c3759"/>
    <w:rPr/>
  </w:style>
  <w:style w:type="character" w:styleId="Fontepargpadro69" w:customStyle="1">
    <w:name w:val="Fonte parág. padrão69"/>
    <w:qFormat/>
    <w:rsid w:val="005c3759"/>
    <w:rPr/>
  </w:style>
  <w:style w:type="character" w:styleId="Fontepargpadro68" w:customStyle="1">
    <w:name w:val="Fonte parág. padrão68"/>
    <w:qFormat/>
    <w:rsid w:val="005c3759"/>
    <w:rPr/>
  </w:style>
  <w:style w:type="character" w:styleId="Fontepargpadro67" w:customStyle="1">
    <w:name w:val="Fonte parág. padrão67"/>
    <w:qFormat/>
    <w:rsid w:val="005c3759"/>
    <w:rPr/>
  </w:style>
  <w:style w:type="character" w:styleId="Fontepargpadro66" w:customStyle="1">
    <w:name w:val="Fonte parág. padrão66"/>
    <w:qFormat/>
    <w:rsid w:val="005c3759"/>
    <w:rPr/>
  </w:style>
  <w:style w:type="character" w:styleId="Fontepargpadro65" w:customStyle="1">
    <w:name w:val="Fonte parág. padrão65"/>
    <w:qFormat/>
    <w:rsid w:val="005c3759"/>
    <w:rPr/>
  </w:style>
  <w:style w:type="character" w:styleId="Fontepargpadro64" w:customStyle="1">
    <w:name w:val="Fonte parág. padrão64"/>
    <w:qFormat/>
    <w:rsid w:val="005c3759"/>
    <w:rPr/>
  </w:style>
  <w:style w:type="character" w:styleId="Fontepargpadro63" w:customStyle="1">
    <w:name w:val="Fonte parág. padrão63"/>
    <w:qFormat/>
    <w:rsid w:val="005c3759"/>
    <w:rPr/>
  </w:style>
  <w:style w:type="character" w:styleId="Fontepargpadro62" w:customStyle="1">
    <w:name w:val="Fonte parág. padrão62"/>
    <w:qFormat/>
    <w:rsid w:val="005c3759"/>
    <w:rPr/>
  </w:style>
  <w:style w:type="character" w:styleId="Fontepargpadro61" w:customStyle="1">
    <w:name w:val="Fonte parág. padrão61"/>
    <w:qFormat/>
    <w:rsid w:val="005c3759"/>
    <w:rPr/>
  </w:style>
  <w:style w:type="character" w:styleId="Fontepargpadro60" w:customStyle="1">
    <w:name w:val="Fonte parág. padrão60"/>
    <w:qFormat/>
    <w:rsid w:val="005c3759"/>
    <w:rPr/>
  </w:style>
  <w:style w:type="character" w:styleId="Fontepargpadro59" w:customStyle="1">
    <w:name w:val="Fonte parág. padrão59"/>
    <w:qFormat/>
    <w:rsid w:val="005c3759"/>
    <w:rPr/>
  </w:style>
  <w:style w:type="character" w:styleId="Fontepargpadro58" w:customStyle="1">
    <w:name w:val="Fonte parág. padrão58"/>
    <w:qFormat/>
    <w:rsid w:val="005c3759"/>
    <w:rPr/>
  </w:style>
  <w:style w:type="character" w:styleId="Fontepargpadro57" w:customStyle="1">
    <w:name w:val="Fonte parág. padrão57"/>
    <w:qFormat/>
    <w:rsid w:val="005c3759"/>
    <w:rPr/>
  </w:style>
  <w:style w:type="character" w:styleId="Fontepargpadro56" w:customStyle="1">
    <w:name w:val="Fonte parág. padrão56"/>
    <w:qFormat/>
    <w:rsid w:val="005c3759"/>
    <w:rPr/>
  </w:style>
  <w:style w:type="character" w:styleId="Fontepargpadro55" w:customStyle="1">
    <w:name w:val="Fonte parág. padrão55"/>
    <w:qFormat/>
    <w:rsid w:val="005c3759"/>
    <w:rPr/>
  </w:style>
  <w:style w:type="character" w:styleId="Fontepargpadro54" w:customStyle="1">
    <w:name w:val="Fonte parág. padrão54"/>
    <w:qFormat/>
    <w:rsid w:val="005c3759"/>
    <w:rPr/>
  </w:style>
  <w:style w:type="character" w:styleId="Fontepargpadro53" w:customStyle="1">
    <w:name w:val="Fonte parág. padrão53"/>
    <w:qFormat/>
    <w:rsid w:val="005c3759"/>
    <w:rPr/>
  </w:style>
  <w:style w:type="character" w:styleId="Fontepargpadro52" w:customStyle="1">
    <w:name w:val="Fonte parág. padrão52"/>
    <w:qFormat/>
    <w:rsid w:val="005c3759"/>
    <w:rPr/>
  </w:style>
  <w:style w:type="character" w:styleId="Fontepargpadro51" w:customStyle="1">
    <w:name w:val="Fonte parág. padrão51"/>
    <w:qFormat/>
    <w:rsid w:val="005c3759"/>
    <w:rPr/>
  </w:style>
  <w:style w:type="character" w:styleId="Fontepargpadro50" w:customStyle="1">
    <w:name w:val="Fonte parág. padrão50"/>
    <w:qFormat/>
    <w:rsid w:val="005c3759"/>
    <w:rPr/>
  </w:style>
  <w:style w:type="character" w:styleId="Fontepargpadro49" w:customStyle="1">
    <w:name w:val="Fonte parág. padrão49"/>
    <w:qFormat/>
    <w:rsid w:val="005c3759"/>
    <w:rPr/>
  </w:style>
  <w:style w:type="character" w:styleId="Fontepargpadro48" w:customStyle="1">
    <w:name w:val="Fonte parág. padrão48"/>
    <w:qFormat/>
    <w:rsid w:val="005c3759"/>
    <w:rPr/>
  </w:style>
  <w:style w:type="character" w:styleId="Fontepargpadro47" w:customStyle="1">
    <w:name w:val="Fonte parág. padrão47"/>
    <w:qFormat/>
    <w:rsid w:val="005c3759"/>
    <w:rPr/>
  </w:style>
  <w:style w:type="character" w:styleId="Fontepargpadro46" w:customStyle="1">
    <w:name w:val="Fonte parág. padrão46"/>
    <w:qFormat/>
    <w:rsid w:val="005c3759"/>
    <w:rPr/>
  </w:style>
  <w:style w:type="character" w:styleId="Fontepargpadro45" w:customStyle="1">
    <w:name w:val="Fonte parág. padrão45"/>
    <w:qFormat/>
    <w:rsid w:val="005c3759"/>
    <w:rPr/>
  </w:style>
  <w:style w:type="character" w:styleId="Fontepargpadro44" w:customStyle="1">
    <w:name w:val="Fonte parág. padrão44"/>
    <w:qFormat/>
    <w:rsid w:val="005c3759"/>
    <w:rPr/>
  </w:style>
  <w:style w:type="character" w:styleId="Fontepargpadro43" w:customStyle="1">
    <w:name w:val="Fonte parág. padrão43"/>
    <w:qFormat/>
    <w:rsid w:val="005c3759"/>
    <w:rPr/>
  </w:style>
  <w:style w:type="character" w:styleId="Fontepargpadro42" w:customStyle="1">
    <w:name w:val="Fonte parág. padrão42"/>
    <w:qFormat/>
    <w:rsid w:val="005c3759"/>
    <w:rPr/>
  </w:style>
  <w:style w:type="character" w:styleId="Fontepargpadro41" w:customStyle="1">
    <w:name w:val="Fonte parág. padrão41"/>
    <w:qFormat/>
    <w:rsid w:val="005c3759"/>
    <w:rPr/>
  </w:style>
  <w:style w:type="character" w:styleId="WW8Num8z3" w:customStyle="1">
    <w:name w:val="WW8Num8z3"/>
    <w:qFormat/>
    <w:rsid w:val="005c3759"/>
    <w:rPr/>
  </w:style>
  <w:style w:type="character" w:styleId="WW8Num8z4" w:customStyle="1">
    <w:name w:val="WW8Num8z4"/>
    <w:qFormat/>
    <w:rsid w:val="005c3759"/>
    <w:rPr/>
  </w:style>
  <w:style w:type="character" w:styleId="WW8Num8z5" w:customStyle="1">
    <w:name w:val="WW8Num8z5"/>
    <w:qFormat/>
    <w:rsid w:val="005c3759"/>
    <w:rPr/>
  </w:style>
  <w:style w:type="character" w:styleId="WW8Num8z6" w:customStyle="1">
    <w:name w:val="WW8Num8z6"/>
    <w:qFormat/>
    <w:rsid w:val="005c3759"/>
    <w:rPr/>
  </w:style>
  <w:style w:type="character" w:styleId="WW8Num8z7" w:customStyle="1">
    <w:name w:val="WW8Num8z7"/>
    <w:qFormat/>
    <w:rsid w:val="005c3759"/>
    <w:rPr/>
  </w:style>
  <w:style w:type="character" w:styleId="WW8Num8z8" w:customStyle="1">
    <w:name w:val="WW8Num8z8"/>
    <w:qFormat/>
    <w:rsid w:val="005c3759"/>
    <w:rPr/>
  </w:style>
  <w:style w:type="character" w:styleId="Fontepargpadro40" w:customStyle="1">
    <w:name w:val="Fonte parág. padrão40"/>
    <w:qFormat/>
    <w:rsid w:val="005c3759"/>
    <w:rPr/>
  </w:style>
  <w:style w:type="character" w:styleId="Fontepargpadro39" w:customStyle="1">
    <w:name w:val="Fonte parág. padrão39"/>
    <w:qFormat/>
    <w:rsid w:val="005c3759"/>
    <w:rPr/>
  </w:style>
  <w:style w:type="character" w:styleId="Fontepargpadro38" w:customStyle="1">
    <w:name w:val="Fonte parág. padrão38"/>
    <w:qFormat/>
    <w:rsid w:val="005c3759"/>
    <w:rPr/>
  </w:style>
  <w:style w:type="character" w:styleId="Fontepargpadro37" w:customStyle="1">
    <w:name w:val="Fonte parág. padrão37"/>
    <w:qFormat/>
    <w:rsid w:val="005c3759"/>
    <w:rPr/>
  </w:style>
  <w:style w:type="character" w:styleId="Fontepargpadro36" w:customStyle="1">
    <w:name w:val="Fonte parág. padrão36"/>
    <w:qFormat/>
    <w:rsid w:val="005c3759"/>
    <w:rPr/>
  </w:style>
  <w:style w:type="character" w:styleId="Fontepargpadro35" w:customStyle="1">
    <w:name w:val="Fonte parág. padrão35"/>
    <w:qFormat/>
    <w:rsid w:val="005c3759"/>
    <w:rPr/>
  </w:style>
  <w:style w:type="character" w:styleId="Fontepargpadro34" w:customStyle="1">
    <w:name w:val="Fonte parág. padrão34"/>
    <w:qFormat/>
    <w:rsid w:val="005c3759"/>
    <w:rPr/>
  </w:style>
  <w:style w:type="character" w:styleId="Fontepargpadro33" w:customStyle="1">
    <w:name w:val="Fonte parág. padrão33"/>
    <w:qFormat/>
    <w:rsid w:val="005c3759"/>
    <w:rPr/>
  </w:style>
  <w:style w:type="character" w:styleId="Fontepargpadro32" w:customStyle="1">
    <w:name w:val="Fonte parág. padrão32"/>
    <w:qFormat/>
    <w:rsid w:val="005c3759"/>
    <w:rPr/>
  </w:style>
  <w:style w:type="character" w:styleId="Fontepargpadro31" w:customStyle="1">
    <w:name w:val="Fonte parág. padrão31"/>
    <w:qFormat/>
    <w:rsid w:val="005c3759"/>
    <w:rPr/>
  </w:style>
  <w:style w:type="character" w:styleId="Fontepargpadro30" w:customStyle="1">
    <w:name w:val="Fonte parág. padrão30"/>
    <w:qFormat/>
    <w:rsid w:val="005c3759"/>
    <w:rPr/>
  </w:style>
  <w:style w:type="character" w:styleId="Fontepargpadro29" w:customStyle="1">
    <w:name w:val="Fonte parág. padrão29"/>
    <w:qFormat/>
    <w:rsid w:val="005c3759"/>
    <w:rPr/>
  </w:style>
  <w:style w:type="character" w:styleId="Fontepargpadro28" w:customStyle="1">
    <w:name w:val="Fonte parág. padrão28"/>
    <w:qFormat/>
    <w:rsid w:val="005c3759"/>
    <w:rPr/>
  </w:style>
  <w:style w:type="character" w:styleId="Fontepargpadro27" w:customStyle="1">
    <w:name w:val="Fonte parág. padrão27"/>
    <w:qFormat/>
    <w:rsid w:val="005c3759"/>
    <w:rPr/>
  </w:style>
  <w:style w:type="character" w:styleId="Fontepargpadro26" w:customStyle="1">
    <w:name w:val="Fonte parág. padrão26"/>
    <w:qFormat/>
    <w:rsid w:val="005c3759"/>
    <w:rPr/>
  </w:style>
  <w:style w:type="character" w:styleId="Fontepargpadro25" w:customStyle="1">
    <w:name w:val="Fonte parág. padrão25"/>
    <w:qFormat/>
    <w:rsid w:val="005c3759"/>
    <w:rPr/>
  </w:style>
  <w:style w:type="character" w:styleId="Fontepargpadro24" w:customStyle="1">
    <w:name w:val="Fonte parág. padrão24"/>
    <w:qFormat/>
    <w:rsid w:val="005c3759"/>
    <w:rPr/>
  </w:style>
  <w:style w:type="character" w:styleId="Fontepargpadro23" w:customStyle="1">
    <w:name w:val="Fonte parág. padrão23"/>
    <w:qFormat/>
    <w:rsid w:val="005c3759"/>
    <w:rPr/>
  </w:style>
  <w:style w:type="character" w:styleId="Fontepargpadro22" w:customStyle="1">
    <w:name w:val="Fonte parág. padrão22"/>
    <w:qFormat/>
    <w:rsid w:val="005c3759"/>
    <w:rPr/>
  </w:style>
  <w:style w:type="character" w:styleId="Fontepargpadro21" w:customStyle="1">
    <w:name w:val="Fonte parág. padrão21"/>
    <w:qFormat/>
    <w:rsid w:val="005c3759"/>
    <w:rPr/>
  </w:style>
  <w:style w:type="character" w:styleId="Fontepargpadro20" w:customStyle="1">
    <w:name w:val="Fonte parág. padrão20"/>
    <w:qFormat/>
    <w:rsid w:val="005c3759"/>
    <w:rPr/>
  </w:style>
  <w:style w:type="character" w:styleId="Fontepargpadro19" w:customStyle="1">
    <w:name w:val="Fonte parág. padrão19"/>
    <w:qFormat/>
    <w:rsid w:val="005c3759"/>
    <w:rPr/>
  </w:style>
  <w:style w:type="character" w:styleId="Fontepargpadro18" w:customStyle="1">
    <w:name w:val="Fonte parág. padrão18"/>
    <w:qFormat/>
    <w:rsid w:val="005c3759"/>
    <w:rPr/>
  </w:style>
  <w:style w:type="character" w:styleId="Fontepargpadro17" w:customStyle="1">
    <w:name w:val="Fonte parág. padrão17"/>
    <w:qFormat/>
    <w:rsid w:val="005c3759"/>
    <w:rPr/>
  </w:style>
  <w:style w:type="character" w:styleId="Fontepargpadro16" w:customStyle="1">
    <w:name w:val="Fonte parág. padrão16"/>
    <w:qFormat/>
    <w:rsid w:val="005c3759"/>
    <w:rPr/>
  </w:style>
  <w:style w:type="character" w:styleId="Fontepargpadro15" w:customStyle="1">
    <w:name w:val="Fonte parág. padrão15"/>
    <w:qFormat/>
    <w:rsid w:val="005c3759"/>
    <w:rPr/>
  </w:style>
  <w:style w:type="character" w:styleId="Fontepargpadro14" w:customStyle="1">
    <w:name w:val="Fonte parág. padrão14"/>
    <w:qFormat/>
    <w:rsid w:val="005c3759"/>
    <w:rPr/>
  </w:style>
  <w:style w:type="character" w:styleId="Fontepargpadro13" w:customStyle="1">
    <w:name w:val="Fonte parág. padrão13"/>
    <w:qFormat/>
    <w:rsid w:val="005c3759"/>
    <w:rPr/>
  </w:style>
  <w:style w:type="character" w:styleId="Fontepargpadro12" w:customStyle="1">
    <w:name w:val="Fonte parág. padrão12"/>
    <w:qFormat/>
    <w:rsid w:val="005c3759"/>
    <w:rPr/>
  </w:style>
  <w:style w:type="character" w:styleId="Fontepargpadro11" w:customStyle="1">
    <w:name w:val="Fonte parág. padrão11"/>
    <w:qFormat/>
    <w:rsid w:val="005c3759"/>
    <w:rPr/>
  </w:style>
  <w:style w:type="character" w:styleId="Fontepargpadro10" w:customStyle="1">
    <w:name w:val="Fonte parág. padrão10"/>
    <w:qFormat/>
    <w:rsid w:val="005c3759"/>
    <w:rPr/>
  </w:style>
  <w:style w:type="character" w:styleId="Fontepargpadro9" w:customStyle="1">
    <w:name w:val="Fonte parág. padrão9"/>
    <w:qFormat/>
    <w:rsid w:val="005c3759"/>
    <w:rPr/>
  </w:style>
  <w:style w:type="character" w:styleId="Fontepargpadro8" w:customStyle="1">
    <w:name w:val="Fonte parág. padrão8"/>
    <w:qFormat/>
    <w:rsid w:val="005c3759"/>
    <w:rPr/>
  </w:style>
  <w:style w:type="character" w:styleId="Fontepargpadro7" w:customStyle="1">
    <w:name w:val="Fonte parág. padrão7"/>
    <w:qFormat/>
    <w:rsid w:val="005c3759"/>
    <w:rPr/>
  </w:style>
  <w:style w:type="character" w:styleId="Fontepargpadro6" w:customStyle="1">
    <w:name w:val="Fonte parág. padrão6"/>
    <w:qFormat/>
    <w:rsid w:val="005c3759"/>
    <w:rPr/>
  </w:style>
  <w:style w:type="character" w:styleId="Fontepargpadro5" w:customStyle="1">
    <w:name w:val="Fonte parág. padrão5"/>
    <w:qFormat/>
    <w:rsid w:val="005c3759"/>
    <w:rPr/>
  </w:style>
  <w:style w:type="character" w:styleId="WW8Num9z3" w:customStyle="1">
    <w:name w:val="WW8Num9z3"/>
    <w:qFormat/>
    <w:rsid w:val="005c3759"/>
    <w:rPr/>
  </w:style>
  <w:style w:type="character" w:styleId="WW8Num9z4" w:customStyle="1">
    <w:name w:val="WW8Num9z4"/>
    <w:qFormat/>
    <w:rsid w:val="005c3759"/>
    <w:rPr/>
  </w:style>
  <w:style w:type="character" w:styleId="WW8Num9z5" w:customStyle="1">
    <w:name w:val="WW8Num9z5"/>
    <w:qFormat/>
    <w:rsid w:val="005c3759"/>
    <w:rPr/>
  </w:style>
  <w:style w:type="character" w:styleId="WW8Num9z6" w:customStyle="1">
    <w:name w:val="WW8Num9z6"/>
    <w:qFormat/>
    <w:rsid w:val="005c3759"/>
    <w:rPr/>
  </w:style>
  <w:style w:type="character" w:styleId="WW8Num9z7" w:customStyle="1">
    <w:name w:val="WW8Num9z7"/>
    <w:qFormat/>
    <w:rsid w:val="005c3759"/>
    <w:rPr/>
  </w:style>
  <w:style w:type="character" w:styleId="WW8Num9z8" w:customStyle="1">
    <w:name w:val="WW8Num9z8"/>
    <w:qFormat/>
    <w:rsid w:val="005c3759"/>
    <w:rPr/>
  </w:style>
  <w:style w:type="character" w:styleId="WW8Num18z2" w:customStyle="1">
    <w:name w:val="WW8Num18z2"/>
    <w:qFormat/>
    <w:rsid w:val="005c3759"/>
    <w:rPr/>
  </w:style>
  <w:style w:type="character" w:styleId="WW8Num18z3" w:customStyle="1">
    <w:name w:val="WW8Num18z3"/>
    <w:qFormat/>
    <w:rsid w:val="005c3759"/>
    <w:rPr/>
  </w:style>
  <w:style w:type="character" w:styleId="WW8Num18z4" w:customStyle="1">
    <w:name w:val="WW8Num18z4"/>
    <w:qFormat/>
    <w:rsid w:val="005c3759"/>
    <w:rPr/>
  </w:style>
  <w:style w:type="character" w:styleId="WW8Num18z5" w:customStyle="1">
    <w:name w:val="WW8Num18z5"/>
    <w:qFormat/>
    <w:rsid w:val="005c3759"/>
    <w:rPr/>
  </w:style>
  <w:style w:type="character" w:styleId="WW8Num18z6" w:customStyle="1">
    <w:name w:val="WW8Num18z6"/>
    <w:qFormat/>
    <w:rsid w:val="005c3759"/>
    <w:rPr/>
  </w:style>
  <w:style w:type="character" w:styleId="WW8Num18z7" w:customStyle="1">
    <w:name w:val="WW8Num18z7"/>
    <w:qFormat/>
    <w:rsid w:val="005c3759"/>
    <w:rPr/>
  </w:style>
  <w:style w:type="character" w:styleId="WW8Num18z8" w:customStyle="1">
    <w:name w:val="WW8Num18z8"/>
    <w:qFormat/>
    <w:rsid w:val="005c3759"/>
    <w:rPr/>
  </w:style>
  <w:style w:type="character" w:styleId="WW8Num19z1" w:customStyle="1">
    <w:name w:val="WW8Num19z1"/>
    <w:qFormat/>
    <w:rsid w:val="005c3759"/>
    <w:rPr/>
  </w:style>
  <w:style w:type="character" w:styleId="WW8Num19z2" w:customStyle="1">
    <w:name w:val="WW8Num19z2"/>
    <w:qFormat/>
    <w:rsid w:val="005c3759"/>
    <w:rPr/>
  </w:style>
  <w:style w:type="character" w:styleId="WW8Num19z3" w:customStyle="1">
    <w:name w:val="WW8Num19z3"/>
    <w:qFormat/>
    <w:rsid w:val="005c3759"/>
    <w:rPr/>
  </w:style>
  <w:style w:type="character" w:styleId="WW8Num19z4" w:customStyle="1">
    <w:name w:val="WW8Num19z4"/>
    <w:qFormat/>
    <w:rsid w:val="005c3759"/>
    <w:rPr/>
  </w:style>
  <w:style w:type="character" w:styleId="WW8Num19z5" w:customStyle="1">
    <w:name w:val="WW8Num19z5"/>
    <w:qFormat/>
    <w:rsid w:val="005c3759"/>
    <w:rPr/>
  </w:style>
  <w:style w:type="character" w:styleId="WW8Num19z6" w:customStyle="1">
    <w:name w:val="WW8Num19z6"/>
    <w:qFormat/>
    <w:rsid w:val="005c3759"/>
    <w:rPr/>
  </w:style>
  <w:style w:type="character" w:styleId="WW8Num19z7" w:customStyle="1">
    <w:name w:val="WW8Num19z7"/>
    <w:qFormat/>
    <w:rsid w:val="005c3759"/>
    <w:rPr/>
  </w:style>
  <w:style w:type="character" w:styleId="WW8Num19z8" w:customStyle="1">
    <w:name w:val="WW8Num19z8"/>
    <w:qFormat/>
    <w:rsid w:val="005c3759"/>
    <w:rPr/>
  </w:style>
  <w:style w:type="character" w:styleId="WW8Num21z1" w:customStyle="1">
    <w:name w:val="WW8Num21z1"/>
    <w:qFormat/>
    <w:rsid w:val="005c3759"/>
    <w:rPr/>
  </w:style>
  <w:style w:type="character" w:styleId="WW8Num21z2" w:customStyle="1">
    <w:name w:val="WW8Num21z2"/>
    <w:qFormat/>
    <w:rsid w:val="005c3759"/>
    <w:rPr/>
  </w:style>
  <w:style w:type="character" w:styleId="WW8Num21z3" w:customStyle="1">
    <w:name w:val="WW8Num21z3"/>
    <w:qFormat/>
    <w:rsid w:val="005c3759"/>
    <w:rPr/>
  </w:style>
  <w:style w:type="character" w:styleId="WW8Num21z4" w:customStyle="1">
    <w:name w:val="WW8Num21z4"/>
    <w:qFormat/>
    <w:rsid w:val="005c3759"/>
    <w:rPr/>
  </w:style>
  <w:style w:type="character" w:styleId="WW8Num21z5" w:customStyle="1">
    <w:name w:val="WW8Num21z5"/>
    <w:qFormat/>
    <w:rsid w:val="005c3759"/>
    <w:rPr/>
  </w:style>
  <w:style w:type="character" w:styleId="WW8Num21z6" w:customStyle="1">
    <w:name w:val="WW8Num21z6"/>
    <w:qFormat/>
    <w:rsid w:val="005c3759"/>
    <w:rPr/>
  </w:style>
  <w:style w:type="character" w:styleId="WW8Num21z7" w:customStyle="1">
    <w:name w:val="WW8Num21z7"/>
    <w:qFormat/>
    <w:rsid w:val="005c3759"/>
    <w:rPr/>
  </w:style>
  <w:style w:type="character" w:styleId="WW8Num21z8" w:customStyle="1">
    <w:name w:val="WW8Num21z8"/>
    <w:qFormat/>
    <w:rsid w:val="005c3759"/>
    <w:rPr/>
  </w:style>
  <w:style w:type="character" w:styleId="WW8Num22z1" w:customStyle="1">
    <w:name w:val="WW8Num22z1"/>
    <w:qFormat/>
    <w:rsid w:val="005c3759"/>
    <w:rPr/>
  </w:style>
  <w:style w:type="character" w:styleId="WW8Num22z2" w:customStyle="1">
    <w:name w:val="WW8Num22z2"/>
    <w:qFormat/>
    <w:rsid w:val="005c3759"/>
    <w:rPr/>
  </w:style>
  <w:style w:type="character" w:styleId="WW8Num22z3" w:customStyle="1">
    <w:name w:val="WW8Num22z3"/>
    <w:qFormat/>
    <w:rsid w:val="005c3759"/>
    <w:rPr/>
  </w:style>
  <w:style w:type="character" w:styleId="WW8Num22z4" w:customStyle="1">
    <w:name w:val="WW8Num22z4"/>
    <w:qFormat/>
    <w:rsid w:val="005c3759"/>
    <w:rPr/>
  </w:style>
  <w:style w:type="character" w:styleId="WW8Num22z5" w:customStyle="1">
    <w:name w:val="WW8Num22z5"/>
    <w:qFormat/>
    <w:rsid w:val="005c3759"/>
    <w:rPr/>
  </w:style>
  <w:style w:type="character" w:styleId="WW8Num22z6" w:customStyle="1">
    <w:name w:val="WW8Num22z6"/>
    <w:qFormat/>
    <w:rsid w:val="005c3759"/>
    <w:rPr/>
  </w:style>
  <w:style w:type="character" w:styleId="WW8Num22z7" w:customStyle="1">
    <w:name w:val="WW8Num22z7"/>
    <w:qFormat/>
    <w:rsid w:val="005c3759"/>
    <w:rPr/>
  </w:style>
  <w:style w:type="character" w:styleId="WW8Num22z8" w:customStyle="1">
    <w:name w:val="WW8Num22z8"/>
    <w:qFormat/>
    <w:rsid w:val="005c3759"/>
    <w:rPr/>
  </w:style>
  <w:style w:type="character" w:styleId="WW8Num23z1" w:customStyle="1">
    <w:name w:val="WW8Num23z1"/>
    <w:qFormat/>
    <w:rsid w:val="005c3759"/>
    <w:rPr/>
  </w:style>
  <w:style w:type="character" w:styleId="WW8Num23z2" w:customStyle="1">
    <w:name w:val="WW8Num23z2"/>
    <w:qFormat/>
    <w:rsid w:val="005c3759"/>
    <w:rPr/>
  </w:style>
  <w:style w:type="character" w:styleId="WW8Num23z3" w:customStyle="1">
    <w:name w:val="WW8Num23z3"/>
    <w:qFormat/>
    <w:rsid w:val="005c3759"/>
    <w:rPr/>
  </w:style>
  <w:style w:type="character" w:styleId="WW8Num23z4" w:customStyle="1">
    <w:name w:val="WW8Num23z4"/>
    <w:qFormat/>
    <w:rsid w:val="005c3759"/>
    <w:rPr/>
  </w:style>
  <w:style w:type="character" w:styleId="WW8Num23z5" w:customStyle="1">
    <w:name w:val="WW8Num23z5"/>
    <w:qFormat/>
    <w:rsid w:val="005c3759"/>
    <w:rPr/>
  </w:style>
  <w:style w:type="character" w:styleId="WW8Num23z6" w:customStyle="1">
    <w:name w:val="WW8Num23z6"/>
    <w:qFormat/>
    <w:rsid w:val="005c3759"/>
    <w:rPr/>
  </w:style>
  <w:style w:type="character" w:styleId="WW8Num23z7" w:customStyle="1">
    <w:name w:val="WW8Num23z7"/>
    <w:qFormat/>
    <w:rsid w:val="005c3759"/>
    <w:rPr/>
  </w:style>
  <w:style w:type="character" w:styleId="WW8Num23z8" w:customStyle="1">
    <w:name w:val="WW8Num23z8"/>
    <w:qFormat/>
    <w:rsid w:val="005c3759"/>
    <w:rPr/>
  </w:style>
  <w:style w:type="character" w:styleId="WW8Num24z1" w:customStyle="1">
    <w:name w:val="WW8Num24z1"/>
    <w:qFormat/>
    <w:rsid w:val="005c3759"/>
    <w:rPr/>
  </w:style>
  <w:style w:type="character" w:styleId="WW8Num24z2" w:customStyle="1">
    <w:name w:val="WW8Num24z2"/>
    <w:qFormat/>
    <w:rsid w:val="005c3759"/>
    <w:rPr/>
  </w:style>
  <w:style w:type="character" w:styleId="WW8Num24z3" w:customStyle="1">
    <w:name w:val="WW8Num24z3"/>
    <w:qFormat/>
    <w:rsid w:val="005c3759"/>
    <w:rPr/>
  </w:style>
  <w:style w:type="character" w:styleId="WW8Num24z4" w:customStyle="1">
    <w:name w:val="WW8Num24z4"/>
    <w:qFormat/>
    <w:rsid w:val="005c3759"/>
    <w:rPr/>
  </w:style>
  <w:style w:type="character" w:styleId="WW8Num24z5" w:customStyle="1">
    <w:name w:val="WW8Num24z5"/>
    <w:qFormat/>
    <w:rsid w:val="005c3759"/>
    <w:rPr/>
  </w:style>
  <w:style w:type="character" w:styleId="WW8Num24z6" w:customStyle="1">
    <w:name w:val="WW8Num24z6"/>
    <w:qFormat/>
    <w:rsid w:val="005c3759"/>
    <w:rPr/>
  </w:style>
  <w:style w:type="character" w:styleId="WW8Num24z7" w:customStyle="1">
    <w:name w:val="WW8Num24z7"/>
    <w:qFormat/>
    <w:rsid w:val="005c3759"/>
    <w:rPr/>
  </w:style>
  <w:style w:type="character" w:styleId="WW8Num24z8" w:customStyle="1">
    <w:name w:val="WW8Num24z8"/>
    <w:qFormat/>
    <w:rsid w:val="005c3759"/>
    <w:rPr/>
  </w:style>
  <w:style w:type="character" w:styleId="WW8Num26z1" w:customStyle="1">
    <w:name w:val="WW8Num26z1"/>
    <w:qFormat/>
    <w:rsid w:val="005c3759"/>
    <w:rPr/>
  </w:style>
  <w:style w:type="character" w:styleId="WW8Num26z2" w:customStyle="1">
    <w:name w:val="WW8Num26z2"/>
    <w:qFormat/>
    <w:rsid w:val="005c3759"/>
    <w:rPr/>
  </w:style>
  <w:style w:type="character" w:styleId="WW8Num26z3" w:customStyle="1">
    <w:name w:val="WW8Num26z3"/>
    <w:qFormat/>
    <w:rsid w:val="005c3759"/>
    <w:rPr/>
  </w:style>
  <w:style w:type="character" w:styleId="WW8Num26z4" w:customStyle="1">
    <w:name w:val="WW8Num26z4"/>
    <w:qFormat/>
    <w:rsid w:val="005c3759"/>
    <w:rPr/>
  </w:style>
  <w:style w:type="character" w:styleId="WW8Num26z5" w:customStyle="1">
    <w:name w:val="WW8Num26z5"/>
    <w:qFormat/>
    <w:rsid w:val="005c3759"/>
    <w:rPr/>
  </w:style>
  <w:style w:type="character" w:styleId="WW8Num26z6" w:customStyle="1">
    <w:name w:val="WW8Num26z6"/>
    <w:qFormat/>
    <w:rsid w:val="005c3759"/>
    <w:rPr/>
  </w:style>
  <w:style w:type="character" w:styleId="WW8Num26z7" w:customStyle="1">
    <w:name w:val="WW8Num26z7"/>
    <w:qFormat/>
    <w:rsid w:val="005c3759"/>
    <w:rPr/>
  </w:style>
  <w:style w:type="character" w:styleId="WW8Num26z8" w:customStyle="1">
    <w:name w:val="WW8Num26z8"/>
    <w:qFormat/>
    <w:rsid w:val="005c3759"/>
    <w:rPr/>
  </w:style>
  <w:style w:type="character" w:styleId="WW8Num27z1" w:customStyle="1">
    <w:name w:val="WW8Num27z1"/>
    <w:qFormat/>
    <w:rsid w:val="005c3759"/>
    <w:rPr/>
  </w:style>
  <w:style w:type="character" w:styleId="WW8Num27z2" w:customStyle="1">
    <w:name w:val="WW8Num27z2"/>
    <w:qFormat/>
    <w:rsid w:val="005c3759"/>
    <w:rPr/>
  </w:style>
  <w:style w:type="character" w:styleId="WW8Num27z3" w:customStyle="1">
    <w:name w:val="WW8Num27z3"/>
    <w:qFormat/>
    <w:rsid w:val="005c3759"/>
    <w:rPr/>
  </w:style>
  <w:style w:type="character" w:styleId="WW8Num27z4" w:customStyle="1">
    <w:name w:val="WW8Num27z4"/>
    <w:qFormat/>
    <w:rsid w:val="005c3759"/>
    <w:rPr/>
  </w:style>
  <w:style w:type="character" w:styleId="WW8Num27z5" w:customStyle="1">
    <w:name w:val="WW8Num27z5"/>
    <w:qFormat/>
    <w:rsid w:val="005c3759"/>
    <w:rPr/>
  </w:style>
  <w:style w:type="character" w:styleId="WW8Num27z6" w:customStyle="1">
    <w:name w:val="WW8Num27z6"/>
    <w:qFormat/>
    <w:rsid w:val="005c3759"/>
    <w:rPr/>
  </w:style>
  <w:style w:type="character" w:styleId="WW8Num27z7" w:customStyle="1">
    <w:name w:val="WW8Num27z7"/>
    <w:qFormat/>
    <w:rsid w:val="005c3759"/>
    <w:rPr/>
  </w:style>
  <w:style w:type="character" w:styleId="WW8Num27z8" w:customStyle="1">
    <w:name w:val="WW8Num27z8"/>
    <w:qFormat/>
    <w:rsid w:val="005c3759"/>
    <w:rPr/>
  </w:style>
  <w:style w:type="character" w:styleId="WW8Num28z3" w:customStyle="1">
    <w:name w:val="WW8Num28z3"/>
    <w:qFormat/>
    <w:rsid w:val="005c3759"/>
    <w:rPr/>
  </w:style>
  <w:style w:type="character" w:styleId="WW8Num28z4" w:customStyle="1">
    <w:name w:val="WW8Num28z4"/>
    <w:qFormat/>
    <w:rsid w:val="005c3759"/>
    <w:rPr/>
  </w:style>
  <w:style w:type="character" w:styleId="WW8Num28z5" w:customStyle="1">
    <w:name w:val="WW8Num28z5"/>
    <w:qFormat/>
    <w:rsid w:val="005c3759"/>
    <w:rPr/>
  </w:style>
  <w:style w:type="character" w:styleId="WW8Num28z6" w:customStyle="1">
    <w:name w:val="WW8Num28z6"/>
    <w:qFormat/>
    <w:rsid w:val="005c3759"/>
    <w:rPr/>
  </w:style>
  <w:style w:type="character" w:styleId="WW8Num28z7" w:customStyle="1">
    <w:name w:val="WW8Num28z7"/>
    <w:qFormat/>
    <w:rsid w:val="005c3759"/>
    <w:rPr/>
  </w:style>
  <w:style w:type="character" w:styleId="WW8Num28z8" w:customStyle="1">
    <w:name w:val="WW8Num28z8"/>
    <w:qFormat/>
    <w:rsid w:val="005c3759"/>
    <w:rPr/>
  </w:style>
  <w:style w:type="character" w:styleId="WW8Num29z1" w:customStyle="1">
    <w:name w:val="WW8Num29z1"/>
    <w:qFormat/>
    <w:rsid w:val="005c3759"/>
    <w:rPr>
      <w:rFonts w:ascii="Courier New" w:hAnsi="Courier New" w:cs="Courier New"/>
    </w:rPr>
  </w:style>
  <w:style w:type="character" w:styleId="WW8Num29z3" w:customStyle="1">
    <w:name w:val="WW8Num29z3"/>
    <w:qFormat/>
    <w:rsid w:val="005c3759"/>
    <w:rPr>
      <w:rFonts w:ascii="Symbol" w:hAnsi="Symbol" w:cs="Symbol"/>
    </w:rPr>
  </w:style>
  <w:style w:type="character" w:styleId="WW8Num30z1" w:customStyle="1">
    <w:name w:val="WW8Num30z1"/>
    <w:qFormat/>
    <w:rsid w:val="005c3759"/>
    <w:rPr/>
  </w:style>
  <w:style w:type="character" w:styleId="WW8Num30z2" w:customStyle="1">
    <w:name w:val="WW8Num30z2"/>
    <w:qFormat/>
    <w:rsid w:val="005c3759"/>
    <w:rPr/>
  </w:style>
  <w:style w:type="character" w:styleId="WW8Num30z3" w:customStyle="1">
    <w:name w:val="WW8Num30z3"/>
    <w:qFormat/>
    <w:rsid w:val="005c3759"/>
    <w:rPr/>
  </w:style>
  <w:style w:type="character" w:styleId="WW8Num30z4" w:customStyle="1">
    <w:name w:val="WW8Num30z4"/>
    <w:qFormat/>
    <w:rsid w:val="005c3759"/>
    <w:rPr/>
  </w:style>
  <w:style w:type="character" w:styleId="WW8Num30z5" w:customStyle="1">
    <w:name w:val="WW8Num30z5"/>
    <w:qFormat/>
    <w:rsid w:val="005c3759"/>
    <w:rPr/>
  </w:style>
  <w:style w:type="character" w:styleId="WW8Num30z6" w:customStyle="1">
    <w:name w:val="WW8Num30z6"/>
    <w:qFormat/>
    <w:rsid w:val="005c3759"/>
    <w:rPr/>
  </w:style>
  <w:style w:type="character" w:styleId="WW8Num30z7" w:customStyle="1">
    <w:name w:val="WW8Num30z7"/>
    <w:qFormat/>
    <w:rsid w:val="005c3759"/>
    <w:rPr/>
  </w:style>
  <w:style w:type="character" w:styleId="WW8Num30z8" w:customStyle="1">
    <w:name w:val="WW8Num30z8"/>
    <w:qFormat/>
    <w:rsid w:val="005c3759"/>
    <w:rPr/>
  </w:style>
  <w:style w:type="character" w:styleId="WW8Num31z3" w:customStyle="1">
    <w:name w:val="WW8Num31z3"/>
    <w:qFormat/>
    <w:rsid w:val="005c3759"/>
    <w:rPr/>
  </w:style>
  <w:style w:type="character" w:styleId="WW8Num31z4" w:customStyle="1">
    <w:name w:val="WW8Num31z4"/>
    <w:qFormat/>
    <w:rsid w:val="005c3759"/>
    <w:rPr/>
  </w:style>
  <w:style w:type="character" w:styleId="WW8Num31z5" w:customStyle="1">
    <w:name w:val="WW8Num31z5"/>
    <w:qFormat/>
    <w:rsid w:val="005c3759"/>
    <w:rPr/>
  </w:style>
  <w:style w:type="character" w:styleId="WW8Num31z6" w:customStyle="1">
    <w:name w:val="WW8Num31z6"/>
    <w:qFormat/>
    <w:rsid w:val="005c3759"/>
    <w:rPr/>
  </w:style>
  <w:style w:type="character" w:styleId="WW8Num31z7" w:customStyle="1">
    <w:name w:val="WW8Num31z7"/>
    <w:qFormat/>
    <w:rsid w:val="005c3759"/>
    <w:rPr/>
  </w:style>
  <w:style w:type="character" w:styleId="WW8Num31z8" w:customStyle="1">
    <w:name w:val="WW8Num31z8"/>
    <w:qFormat/>
    <w:rsid w:val="005c3759"/>
    <w:rPr/>
  </w:style>
  <w:style w:type="character" w:styleId="WW8Num32z1" w:customStyle="1">
    <w:name w:val="WW8Num32z1"/>
    <w:qFormat/>
    <w:rsid w:val="005c3759"/>
    <w:rPr/>
  </w:style>
  <w:style w:type="character" w:styleId="WW8Num32z2" w:customStyle="1">
    <w:name w:val="WW8Num32z2"/>
    <w:qFormat/>
    <w:rsid w:val="005c3759"/>
    <w:rPr/>
  </w:style>
  <w:style w:type="character" w:styleId="WW8Num32z3" w:customStyle="1">
    <w:name w:val="WW8Num32z3"/>
    <w:qFormat/>
    <w:rsid w:val="005c3759"/>
    <w:rPr/>
  </w:style>
  <w:style w:type="character" w:styleId="WW8Num32z4" w:customStyle="1">
    <w:name w:val="WW8Num32z4"/>
    <w:qFormat/>
    <w:rsid w:val="005c3759"/>
    <w:rPr/>
  </w:style>
  <w:style w:type="character" w:styleId="WW8Num32z5" w:customStyle="1">
    <w:name w:val="WW8Num32z5"/>
    <w:qFormat/>
    <w:rsid w:val="005c3759"/>
    <w:rPr/>
  </w:style>
  <w:style w:type="character" w:styleId="WW8Num32z6" w:customStyle="1">
    <w:name w:val="WW8Num32z6"/>
    <w:qFormat/>
    <w:rsid w:val="005c3759"/>
    <w:rPr/>
  </w:style>
  <w:style w:type="character" w:styleId="WW8Num32z7" w:customStyle="1">
    <w:name w:val="WW8Num32z7"/>
    <w:qFormat/>
    <w:rsid w:val="005c3759"/>
    <w:rPr/>
  </w:style>
  <w:style w:type="character" w:styleId="WW8Num32z8" w:customStyle="1">
    <w:name w:val="WW8Num32z8"/>
    <w:qFormat/>
    <w:rsid w:val="005c3759"/>
    <w:rPr/>
  </w:style>
  <w:style w:type="character" w:styleId="WW8Num33z1" w:customStyle="1">
    <w:name w:val="WW8Num33z1"/>
    <w:qFormat/>
    <w:rsid w:val="005c3759"/>
    <w:rPr/>
  </w:style>
  <w:style w:type="character" w:styleId="WW8Num33z2" w:customStyle="1">
    <w:name w:val="WW8Num33z2"/>
    <w:qFormat/>
    <w:rsid w:val="005c3759"/>
    <w:rPr/>
  </w:style>
  <w:style w:type="character" w:styleId="WW8Num33z3" w:customStyle="1">
    <w:name w:val="WW8Num33z3"/>
    <w:qFormat/>
    <w:rsid w:val="005c3759"/>
    <w:rPr/>
  </w:style>
  <w:style w:type="character" w:styleId="WW8Num33z4" w:customStyle="1">
    <w:name w:val="WW8Num33z4"/>
    <w:qFormat/>
    <w:rsid w:val="005c3759"/>
    <w:rPr/>
  </w:style>
  <w:style w:type="character" w:styleId="WW8Num33z5" w:customStyle="1">
    <w:name w:val="WW8Num33z5"/>
    <w:qFormat/>
    <w:rsid w:val="005c3759"/>
    <w:rPr/>
  </w:style>
  <w:style w:type="character" w:styleId="WW8Num33z6" w:customStyle="1">
    <w:name w:val="WW8Num33z6"/>
    <w:qFormat/>
    <w:rsid w:val="005c3759"/>
    <w:rPr/>
  </w:style>
  <w:style w:type="character" w:styleId="WW8Num33z7" w:customStyle="1">
    <w:name w:val="WW8Num33z7"/>
    <w:qFormat/>
    <w:rsid w:val="005c3759"/>
    <w:rPr/>
  </w:style>
  <w:style w:type="character" w:styleId="WW8Num33z8" w:customStyle="1">
    <w:name w:val="WW8Num33z8"/>
    <w:qFormat/>
    <w:rsid w:val="005c3759"/>
    <w:rPr/>
  </w:style>
  <w:style w:type="character" w:styleId="WW8Num34z1" w:customStyle="1">
    <w:name w:val="WW8Num34z1"/>
    <w:qFormat/>
    <w:rsid w:val="005c3759"/>
    <w:rPr/>
  </w:style>
  <w:style w:type="character" w:styleId="WW8Num34z2" w:customStyle="1">
    <w:name w:val="WW8Num34z2"/>
    <w:qFormat/>
    <w:rsid w:val="005c3759"/>
    <w:rPr/>
  </w:style>
  <w:style w:type="character" w:styleId="WW8Num34z3" w:customStyle="1">
    <w:name w:val="WW8Num34z3"/>
    <w:qFormat/>
    <w:rsid w:val="005c3759"/>
    <w:rPr/>
  </w:style>
  <w:style w:type="character" w:styleId="WW8Num34z4" w:customStyle="1">
    <w:name w:val="WW8Num34z4"/>
    <w:qFormat/>
    <w:rsid w:val="005c3759"/>
    <w:rPr/>
  </w:style>
  <w:style w:type="character" w:styleId="WW8Num34z5" w:customStyle="1">
    <w:name w:val="WW8Num34z5"/>
    <w:qFormat/>
    <w:rsid w:val="005c3759"/>
    <w:rPr/>
  </w:style>
  <w:style w:type="character" w:styleId="WW8Num34z6" w:customStyle="1">
    <w:name w:val="WW8Num34z6"/>
    <w:qFormat/>
    <w:rsid w:val="005c3759"/>
    <w:rPr/>
  </w:style>
  <w:style w:type="character" w:styleId="WW8Num34z7" w:customStyle="1">
    <w:name w:val="WW8Num34z7"/>
    <w:qFormat/>
    <w:rsid w:val="005c3759"/>
    <w:rPr/>
  </w:style>
  <w:style w:type="character" w:styleId="WW8Num34z8" w:customStyle="1">
    <w:name w:val="WW8Num34z8"/>
    <w:qFormat/>
    <w:rsid w:val="005c3759"/>
    <w:rPr/>
  </w:style>
  <w:style w:type="character" w:styleId="WW8Num35z0" w:customStyle="1">
    <w:name w:val="WW8Num35z0"/>
    <w:qFormat/>
    <w:rsid w:val="005c3759"/>
    <w:rPr>
      <w:rFonts w:ascii="Tahoma" w:hAnsi="Tahoma" w:cs="Tahoma"/>
      <w:bCs/>
      <w:color w:val="000000"/>
      <w:sz w:val="23"/>
      <w:szCs w:val="23"/>
    </w:rPr>
  </w:style>
  <w:style w:type="character" w:styleId="WW8Num35z1" w:customStyle="1">
    <w:name w:val="WW8Num35z1"/>
    <w:qFormat/>
    <w:rsid w:val="005c3759"/>
    <w:rPr/>
  </w:style>
  <w:style w:type="character" w:styleId="WW8Num35z2" w:customStyle="1">
    <w:name w:val="WW8Num35z2"/>
    <w:qFormat/>
    <w:rsid w:val="005c3759"/>
    <w:rPr/>
  </w:style>
  <w:style w:type="character" w:styleId="WW8Num35z3" w:customStyle="1">
    <w:name w:val="WW8Num35z3"/>
    <w:qFormat/>
    <w:rsid w:val="005c3759"/>
    <w:rPr/>
  </w:style>
  <w:style w:type="character" w:styleId="WW8Num35z4" w:customStyle="1">
    <w:name w:val="WW8Num35z4"/>
    <w:qFormat/>
    <w:rsid w:val="005c3759"/>
    <w:rPr/>
  </w:style>
  <w:style w:type="character" w:styleId="WW8Num35z5" w:customStyle="1">
    <w:name w:val="WW8Num35z5"/>
    <w:qFormat/>
    <w:rsid w:val="005c3759"/>
    <w:rPr/>
  </w:style>
  <w:style w:type="character" w:styleId="WW8Num35z6" w:customStyle="1">
    <w:name w:val="WW8Num35z6"/>
    <w:qFormat/>
    <w:rsid w:val="005c3759"/>
    <w:rPr/>
  </w:style>
  <w:style w:type="character" w:styleId="WW8Num35z7" w:customStyle="1">
    <w:name w:val="WW8Num35z7"/>
    <w:qFormat/>
    <w:rsid w:val="005c3759"/>
    <w:rPr/>
  </w:style>
  <w:style w:type="character" w:styleId="WW8Num35z8" w:customStyle="1">
    <w:name w:val="WW8Num35z8"/>
    <w:qFormat/>
    <w:rsid w:val="005c3759"/>
    <w:rPr/>
  </w:style>
  <w:style w:type="character" w:styleId="WW8Num36z1" w:customStyle="1">
    <w:name w:val="WW8Num36z1"/>
    <w:qFormat/>
    <w:rsid w:val="005c3759"/>
    <w:rPr/>
  </w:style>
  <w:style w:type="character" w:styleId="WW8Num36z2" w:customStyle="1">
    <w:name w:val="WW8Num36z2"/>
    <w:qFormat/>
    <w:rsid w:val="005c3759"/>
    <w:rPr/>
  </w:style>
  <w:style w:type="character" w:styleId="WW8Num36z3" w:customStyle="1">
    <w:name w:val="WW8Num36z3"/>
    <w:qFormat/>
    <w:rsid w:val="005c3759"/>
    <w:rPr/>
  </w:style>
  <w:style w:type="character" w:styleId="WW8Num36z4" w:customStyle="1">
    <w:name w:val="WW8Num36z4"/>
    <w:qFormat/>
    <w:rsid w:val="005c3759"/>
    <w:rPr/>
  </w:style>
  <w:style w:type="character" w:styleId="WW8Num36z5" w:customStyle="1">
    <w:name w:val="WW8Num36z5"/>
    <w:qFormat/>
    <w:rsid w:val="005c3759"/>
    <w:rPr/>
  </w:style>
  <w:style w:type="character" w:styleId="WW8Num36z6" w:customStyle="1">
    <w:name w:val="WW8Num36z6"/>
    <w:qFormat/>
    <w:rsid w:val="005c3759"/>
    <w:rPr/>
  </w:style>
  <w:style w:type="character" w:styleId="WW8Num36z7" w:customStyle="1">
    <w:name w:val="WW8Num36z7"/>
    <w:qFormat/>
    <w:rsid w:val="005c3759"/>
    <w:rPr/>
  </w:style>
  <w:style w:type="character" w:styleId="WW8Num36z8" w:customStyle="1">
    <w:name w:val="WW8Num36z8"/>
    <w:qFormat/>
    <w:rsid w:val="005c3759"/>
    <w:rPr/>
  </w:style>
  <w:style w:type="character" w:styleId="WW8Num37z0" w:customStyle="1">
    <w:name w:val="WW8Num37z0"/>
    <w:qFormat/>
    <w:rsid w:val="005c3759"/>
    <w:rPr/>
  </w:style>
  <w:style w:type="character" w:styleId="WW8Num37z1" w:customStyle="1">
    <w:name w:val="WW8Num37z1"/>
    <w:qFormat/>
    <w:rsid w:val="005c3759"/>
    <w:rPr/>
  </w:style>
  <w:style w:type="character" w:styleId="WW8Num37z2" w:customStyle="1">
    <w:name w:val="WW8Num37z2"/>
    <w:qFormat/>
    <w:rsid w:val="005c3759"/>
    <w:rPr/>
  </w:style>
  <w:style w:type="character" w:styleId="WW8Num37z3" w:customStyle="1">
    <w:name w:val="WW8Num37z3"/>
    <w:qFormat/>
    <w:rsid w:val="005c3759"/>
    <w:rPr/>
  </w:style>
  <w:style w:type="character" w:styleId="WW8Num37z4" w:customStyle="1">
    <w:name w:val="WW8Num37z4"/>
    <w:qFormat/>
    <w:rsid w:val="005c3759"/>
    <w:rPr/>
  </w:style>
  <w:style w:type="character" w:styleId="WW8Num37z5" w:customStyle="1">
    <w:name w:val="WW8Num37z5"/>
    <w:qFormat/>
    <w:rsid w:val="005c3759"/>
    <w:rPr/>
  </w:style>
  <w:style w:type="character" w:styleId="WW8Num37z6" w:customStyle="1">
    <w:name w:val="WW8Num37z6"/>
    <w:qFormat/>
    <w:rsid w:val="005c3759"/>
    <w:rPr/>
  </w:style>
  <w:style w:type="character" w:styleId="WW8Num37z7" w:customStyle="1">
    <w:name w:val="WW8Num37z7"/>
    <w:qFormat/>
    <w:rsid w:val="005c3759"/>
    <w:rPr/>
  </w:style>
  <w:style w:type="character" w:styleId="WW8Num37z8" w:customStyle="1">
    <w:name w:val="WW8Num37z8"/>
    <w:qFormat/>
    <w:rsid w:val="005c3759"/>
    <w:rPr/>
  </w:style>
  <w:style w:type="character" w:styleId="WW8Num38z0" w:customStyle="1">
    <w:name w:val="WW8Num38z0"/>
    <w:qFormat/>
    <w:rsid w:val="005c3759"/>
    <w:rPr>
      <w:rFonts w:ascii="Symbol" w:hAnsi="Symbol" w:cs="Symbol"/>
    </w:rPr>
  </w:style>
  <w:style w:type="character" w:styleId="WW8Num38z1" w:customStyle="1">
    <w:name w:val="WW8Num38z1"/>
    <w:qFormat/>
    <w:rsid w:val="005c3759"/>
    <w:rPr>
      <w:rFonts w:ascii="Courier New" w:hAnsi="Courier New" w:cs="Courier New"/>
    </w:rPr>
  </w:style>
  <w:style w:type="character" w:styleId="WW8Num38z2" w:customStyle="1">
    <w:name w:val="WW8Num38z2"/>
    <w:qFormat/>
    <w:rsid w:val="005c3759"/>
    <w:rPr>
      <w:rFonts w:ascii="Wingdings" w:hAnsi="Wingdings" w:cs="Wingdings"/>
    </w:rPr>
  </w:style>
  <w:style w:type="character" w:styleId="WW8Num39z0" w:customStyle="1">
    <w:name w:val="WW8Num39z0"/>
    <w:qFormat/>
    <w:rsid w:val="005c3759"/>
    <w:rPr>
      <w:sz w:val="24"/>
      <w:szCs w:val="24"/>
    </w:rPr>
  </w:style>
  <w:style w:type="character" w:styleId="WW8Num39z1" w:customStyle="1">
    <w:name w:val="WW8Num39z1"/>
    <w:qFormat/>
    <w:rsid w:val="005c3759"/>
    <w:rPr/>
  </w:style>
  <w:style w:type="character" w:styleId="WW8Num39z2" w:customStyle="1">
    <w:name w:val="WW8Num39z2"/>
    <w:qFormat/>
    <w:rsid w:val="005c3759"/>
    <w:rPr/>
  </w:style>
  <w:style w:type="character" w:styleId="WW8Num39z3" w:customStyle="1">
    <w:name w:val="WW8Num39z3"/>
    <w:qFormat/>
    <w:rsid w:val="005c3759"/>
    <w:rPr/>
  </w:style>
  <w:style w:type="character" w:styleId="WW8Num39z4" w:customStyle="1">
    <w:name w:val="WW8Num39z4"/>
    <w:qFormat/>
    <w:rsid w:val="005c3759"/>
    <w:rPr/>
  </w:style>
  <w:style w:type="character" w:styleId="WW8Num39z5" w:customStyle="1">
    <w:name w:val="WW8Num39z5"/>
    <w:qFormat/>
    <w:rsid w:val="005c3759"/>
    <w:rPr/>
  </w:style>
  <w:style w:type="character" w:styleId="WW8Num39z6" w:customStyle="1">
    <w:name w:val="WW8Num39z6"/>
    <w:qFormat/>
    <w:rsid w:val="005c3759"/>
    <w:rPr/>
  </w:style>
  <w:style w:type="character" w:styleId="WW8Num39z7" w:customStyle="1">
    <w:name w:val="WW8Num39z7"/>
    <w:qFormat/>
    <w:rsid w:val="005c3759"/>
    <w:rPr/>
  </w:style>
  <w:style w:type="character" w:styleId="WW8Num39z8" w:customStyle="1">
    <w:name w:val="WW8Num39z8"/>
    <w:qFormat/>
    <w:rsid w:val="005c3759"/>
    <w:rPr/>
  </w:style>
  <w:style w:type="character" w:styleId="WW8Num40z0" w:customStyle="1">
    <w:name w:val="WW8Num40z0"/>
    <w:qFormat/>
    <w:rsid w:val="005c3759"/>
    <w:rPr/>
  </w:style>
  <w:style w:type="character" w:styleId="WW8Num40z1" w:customStyle="1">
    <w:name w:val="WW8Num40z1"/>
    <w:qFormat/>
    <w:rsid w:val="005c3759"/>
    <w:rPr/>
  </w:style>
  <w:style w:type="character" w:styleId="WW8Num40z2" w:customStyle="1">
    <w:name w:val="WW8Num40z2"/>
    <w:qFormat/>
    <w:rsid w:val="005c3759"/>
    <w:rPr/>
  </w:style>
  <w:style w:type="character" w:styleId="WW8Num40z3" w:customStyle="1">
    <w:name w:val="WW8Num40z3"/>
    <w:qFormat/>
    <w:rsid w:val="005c3759"/>
    <w:rPr/>
  </w:style>
  <w:style w:type="character" w:styleId="WW8Num40z4" w:customStyle="1">
    <w:name w:val="WW8Num40z4"/>
    <w:qFormat/>
    <w:rsid w:val="005c3759"/>
    <w:rPr/>
  </w:style>
  <w:style w:type="character" w:styleId="WW8Num40z5" w:customStyle="1">
    <w:name w:val="WW8Num40z5"/>
    <w:qFormat/>
    <w:rsid w:val="005c3759"/>
    <w:rPr/>
  </w:style>
  <w:style w:type="character" w:styleId="WW8Num40z6" w:customStyle="1">
    <w:name w:val="WW8Num40z6"/>
    <w:qFormat/>
    <w:rsid w:val="005c3759"/>
    <w:rPr/>
  </w:style>
  <w:style w:type="character" w:styleId="WW8Num40z7" w:customStyle="1">
    <w:name w:val="WW8Num40z7"/>
    <w:qFormat/>
    <w:rsid w:val="005c3759"/>
    <w:rPr/>
  </w:style>
  <w:style w:type="character" w:styleId="WW8Num40z8" w:customStyle="1">
    <w:name w:val="WW8Num40z8"/>
    <w:qFormat/>
    <w:rsid w:val="005c3759"/>
    <w:rPr/>
  </w:style>
  <w:style w:type="character" w:styleId="WW8Num41z0" w:customStyle="1">
    <w:name w:val="WW8Num41z0"/>
    <w:qFormat/>
    <w:rsid w:val="005c3759"/>
    <w:rPr/>
  </w:style>
  <w:style w:type="character" w:styleId="WW8Num41z1" w:customStyle="1">
    <w:name w:val="WW8Num41z1"/>
    <w:qFormat/>
    <w:rsid w:val="005c3759"/>
    <w:rPr/>
  </w:style>
  <w:style w:type="character" w:styleId="WW8Num41z2" w:customStyle="1">
    <w:name w:val="WW8Num41z2"/>
    <w:qFormat/>
    <w:rsid w:val="005c3759"/>
    <w:rPr/>
  </w:style>
  <w:style w:type="character" w:styleId="WW8Num41z3" w:customStyle="1">
    <w:name w:val="WW8Num41z3"/>
    <w:qFormat/>
    <w:rsid w:val="005c3759"/>
    <w:rPr/>
  </w:style>
  <w:style w:type="character" w:styleId="WW8Num41z4" w:customStyle="1">
    <w:name w:val="WW8Num41z4"/>
    <w:qFormat/>
    <w:rsid w:val="005c3759"/>
    <w:rPr/>
  </w:style>
  <w:style w:type="character" w:styleId="WW8Num41z5" w:customStyle="1">
    <w:name w:val="WW8Num41z5"/>
    <w:qFormat/>
    <w:rsid w:val="005c3759"/>
    <w:rPr/>
  </w:style>
  <w:style w:type="character" w:styleId="WW8Num41z6" w:customStyle="1">
    <w:name w:val="WW8Num41z6"/>
    <w:qFormat/>
    <w:rsid w:val="005c3759"/>
    <w:rPr/>
  </w:style>
  <w:style w:type="character" w:styleId="WW8Num41z7" w:customStyle="1">
    <w:name w:val="WW8Num41z7"/>
    <w:qFormat/>
    <w:rsid w:val="005c3759"/>
    <w:rPr/>
  </w:style>
  <w:style w:type="character" w:styleId="WW8Num41z8" w:customStyle="1">
    <w:name w:val="WW8Num41z8"/>
    <w:qFormat/>
    <w:rsid w:val="005c3759"/>
    <w:rPr/>
  </w:style>
  <w:style w:type="character" w:styleId="Fontepargpadro4" w:customStyle="1">
    <w:name w:val="Fonte parág. padrão4"/>
    <w:qFormat/>
    <w:rsid w:val="005c3759"/>
    <w:rPr/>
  </w:style>
  <w:style w:type="character" w:styleId="Absatz-Standardschriftart" w:customStyle="1">
    <w:name w:val="Absatz-Standardschriftart"/>
    <w:qFormat/>
    <w:rsid w:val="005c3759"/>
    <w:rPr/>
  </w:style>
  <w:style w:type="character" w:styleId="WW-Absatz-Standardschriftart" w:customStyle="1">
    <w:name w:val="WW-Absatz-Standardschriftart"/>
    <w:qFormat/>
    <w:rsid w:val="005c3759"/>
    <w:rPr/>
  </w:style>
  <w:style w:type="character" w:styleId="WW-Absatz-Standardschriftart1" w:customStyle="1">
    <w:name w:val="WW-Absatz-Standardschriftart1"/>
    <w:qFormat/>
    <w:rsid w:val="005c3759"/>
    <w:rPr/>
  </w:style>
  <w:style w:type="character" w:styleId="WW-Absatz-Standardschriftart11" w:customStyle="1">
    <w:name w:val="WW-Absatz-Standardschriftart11"/>
    <w:qFormat/>
    <w:rsid w:val="005c3759"/>
    <w:rPr/>
  </w:style>
  <w:style w:type="character" w:styleId="WW-Absatz-Standardschriftart111" w:customStyle="1">
    <w:name w:val="WW-Absatz-Standardschriftart111"/>
    <w:qFormat/>
    <w:rsid w:val="005c3759"/>
    <w:rPr/>
  </w:style>
  <w:style w:type="character" w:styleId="WW-Absatz-Standardschriftart1111" w:customStyle="1">
    <w:name w:val="WW-Absatz-Standardschriftart1111"/>
    <w:qFormat/>
    <w:rsid w:val="005c3759"/>
    <w:rPr/>
  </w:style>
  <w:style w:type="character" w:styleId="WW-Absatz-Standardschriftart11111" w:customStyle="1">
    <w:name w:val="WW-Absatz-Standardschriftart11111"/>
    <w:qFormat/>
    <w:rsid w:val="005c3759"/>
    <w:rPr/>
  </w:style>
  <w:style w:type="character" w:styleId="Fontepargpadro3" w:customStyle="1">
    <w:name w:val="Fonte parág. padrão3"/>
    <w:qFormat/>
    <w:rsid w:val="005c3759"/>
    <w:rPr/>
  </w:style>
  <w:style w:type="character" w:styleId="WW-Absatz-Standardschriftart111111" w:customStyle="1">
    <w:name w:val="WW-Absatz-Standardschriftart111111"/>
    <w:qFormat/>
    <w:rsid w:val="005c3759"/>
    <w:rPr/>
  </w:style>
  <w:style w:type="character" w:styleId="WW-Absatz-Standardschriftart1111111" w:customStyle="1">
    <w:name w:val="WW-Absatz-Standardschriftart1111111"/>
    <w:qFormat/>
    <w:rsid w:val="005c3759"/>
    <w:rPr/>
  </w:style>
  <w:style w:type="character" w:styleId="WW-Absatz-Standardschriftart11111111" w:customStyle="1">
    <w:name w:val="WW-Absatz-Standardschriftart11111111"/>
    <w:qFormat/>
    <w:rsid w:val="005c3759"/>
    <w:rPr/>
  </w:style>
  <w:style w:type="character" w:styleId="WW-Absatz-Standardschriftart111111111" w:customStyle="1">
    <w:name w:val="WW-Absatz-Standardschriftart111111111"/>
    <w:qFormat/>
    <w:rsid w:val="005c3759"/>
    <w:rPr/>
  </w:style>
  <w:style w:type="character" w:styleId="WW-Absatz-Standardschriftart1111111111" w:customStyle="1">
    <w:name w:val="WW-Absatz-Standardschriftart1111111111"/>
    <w:qFormat/>
    <w:rsid w:val="005c3759"/>
    <w:rPr/>
  </w:style>
  <w:style w:type="character" w:styleId="WW-Absatz-Standardschriftart11111111111" w:customStyle="1">
    <w:name w:val="WW-Absatz-Standardschriftart11111111111"/>
    <w:qFormat/>
    <w:rsid w:val="005c3759"/>
    <w:rPr/>
  </w:style>
  <w:style w:type="character" w:styleId="WW-Absatz-Standardschriftart111111111111" w:customStyle="1">
    <w:name w:val="WW-Absatz-Standardschriftart111111111111"/>
    <w:qFormat/>
    <w:rsid w:val="005c3759"/>
    <w:rPr/>
  </w:style>
  <w:style w:type="character" w:styleId="WW8Num20z1" w:customStyle="1">
    <w:name w:val="WW8Num20z1"/>
    <w:qFormat/>
    <w:rsid w:val="005c3759"/>
    <w:rPr>
      <w:rFonts w:ascii="Courier New" w:hAnsi="Courier New" w:cs="Courier New"/>
    </w:rPr>
  </w:style>
  <w:style w:type="character" w:styleId="WW8Num20z2" w:customStyle="1">
    <w:name w:val="WW8Num20z2"/>
    <w:qFormat/>
    <w:rsid w:val="005c3759"/>
    <w:rPr>
      <w:rFonts w:ascii="Wingdings" w:hAnsi="Wingdings" w:cs="Wingdings"/>
    </w:rPr>
  </w:style>
  <w:style w:type="character" w:styleId="WW8Num20z3" w:customStyle="1">
    <w:name w:val="WW8Num20z3"/>
    <w:qFormat/>
    <w:rsid w:val="005c3759"/>
    <w:rPr>
      <w:rFonts w:ascii="Symbol" w:hAnsi="Symbol" w:cs="Symbol"/>
    </w:rPr>
  </w:style>
  <w:style w:type="character" w:styleId="Fontepargpadro2" w:customStyle="1">
    <w:name w:val="Fonte parág. padrão2"/>
    <w:qFormat/>
    <w:rsid w:val="005c3759"/>
    <w:rPr/>
  </w:style>
  <w:style w:type="character" w:styleId="InternetLink" w:customStyle="1">
    <w:name w:val="Internet Link"/>
    <w:qFormat/>
    <w:rsid w:val="005c3759"/>
    <w:rPr>
      <w:color w:val="0000FF"/>
      <w:u w:val="single"/>
    </w:rPr>
  </w:style>
  <w:style w:type="character" w:styleId="PageNumber">
    <w:name w:val="page number"/>
    <w:basedOn w:val="Fontepargpadro2"/>
    <w:rsid w:val="005c3759"/>
    <w:rPr/>
  </w:style>
  <w:style w:type="character" w:styleId="Strong">
    <w:name w:val="Strong"/>
    <w:qFormat/>
    <w:rsid w:val="005c3759"/>
    <w:rPr>
      <w:b/>
      <w:bCs/>
    </w:rPr>
  </w:style>
  <w:style w:type="character" w:styleId="Caracteresdenotaderodap" w:customStyle="1">
    <w:name w:val="Caracteres de nota de rodapé"/>
    <w:qFormat/>
    <w:rsid w:val="005c3759"/>
    <w:rPr>
      <w:vertAlign w:val="superscript"/>
    </w:rPr>
  </w:style>
  <w:style w:type="character" w:styleId="textoaviso1" w:customStyle="1">
    <w:name w:val="texto_aviso1"/>
    <w:qFormat/>
    <w:rsid w:val="005c3759"/>
    <w:rPr>
      <w:rFonts w:ascii="Verdana" w:hAnsi="Verdana" w:cs="Verdana"/>
      <w:b w:val="false"/>
      <w:bCs w:val="false"/>
      <w:strike w:val="false"/>
      <w:dstrike w:val="false"/>
      <w:color w:val="000000"/>
      <w:sz w:val="13"/>
      <w:szCs w:val="13"/>
      <w:u w:val="none"/>
    </w:rPr>
  </w:style>
  <w:style w:type="character" w:styleId="Fontepargpadro1" w:customStyle="1">
    <w:name w:val="Fonte parág. padrão1"/>
    <w:qFormat/>
    <w:rsid w:val="005c3759"/>
    <w:rPr/>
  </w:style>
  <w:style w:type="character" w:styleId="Emphasis">
    <w:name w:val="Emphasis"/>
    <w:qFormat/>
    <w:rsid w:val="005c3759"/>
    <w:rPr>
      <w:i/>
      <w:iCs/>
    </w:rPr>
  </w:style>
  <w:style w:type="character" w:styleId="FollowedHyperlink">
    <w:name w:val="FollowedHyperlink"/>
    <w:rsid w:val="005c3759"/>
    <w:rPr>
      <w:color w:val="800080"/>
      <w:u w:val="single"/>
    </w:rPr>
  </w:style>
  <w:style w:type="character" w:styleId="CorpodetextoChar" w:customStyle="1">
    <w:name w:val="Corpo de texto Char"/>
    <w:qFormat/>
    <w:rsid w:val="005c3759"/>
    <w:rPr>
      <w:lang w:val="pt-BR" w:bidi="ar-SA"/>
    </w:rPr>
  </w:style>
  <w:style w:type="character" w:styleId="Jeferson" w:customStyle="1">
    <w:name w:val="Jeferson"/>
    <w:qFormat/>
    <w:rsid w:val="005c3759"/>
    <w:rPr>
      <w:sz w:val="22"/>
    </w:rPr>
  </w:style>
  <w:style w:type="character" w:styleId="Recuodecorpodetexto2Char" w:customStyle="1">
    <w:name w:val="Recuo de corpo de texto 2 Char"/>
    <w:qFormat/>
    <w:rsid w:val="005c3759"/>
    <w:rPr>
      <w:sz w:val="24"/>
      <w:szCs w:val="24"/>
      <w:lang w:val="pt-BR" w:bidi="ar-SA"/>
    </w:rPr>
  </w:style>
  <w:style w:type="character" w:styleId="CorpoChar" w:customStyle="1">
    <w:name w:val="Corpo Char"/>
    <w:qFormat/>
    <w:rsid w:val="005c3759"/>
    <w:rPr>
      <w:rFonts w:ascii="Times New" w:hAnsi="Times New" w:cs="Times New"/>
      <w:lang w:val="pt-BR" w:bidi="ar-SA"/>
    </w:rPr>
  </w:style>
  <w:style w:type="character" w:styleId="style33" w:customStyle="1">
    <w:name w:val="style33"/>
    <w:basedOn w:val="Fontepargpadro2"/>
    <w:qFormat/>
    <w:rsid w:val="005c3759"/>
    <w:rPr/>
  </w:style>
  <w:style w:type="character" w:styleId="style112" w:customStyle="1">
    <w:name w:val="style112"/>
    <w:basedOn w:val="Fontepargpadro2"/>
    <w:qFormat/>
    <w:rsid w:val="005c3759"/>
    <w:rPr/>
  </w:style>
  <w:style w:type="character" w:styleId="Refdecomentrio1" w:customStyle="1">
    <w:name w:val="Ref. de comentário1"/>
    <w:qFormat/>
    <w:rsid w:val="005c3759"/>
    <w:rPr>
      <w:sz w:val="16"/>
      <w:szCs w:val="16"/>
    </w:rPr>
  </w:style>
  <w:style w:type="character" w:styleId="TextodenotaderodapChar" w:customStyle="1">
    <w:name w:val="Texto de nota de rodapé Char"/>
    <w:qFormat/>
    <w:rsid w:val="005c3759"/>
    <w:rPr>
      <w:lang w:val="pt-BR" w:bidi="ar-SA"/>
    </w:rPr>
  </w:style>
  <w:style w:type="character" w:styleId="par1" w:customStyle="1">
    <w:name w:val="par1"/>
    <w:basedOn w:val="Fontepargpadro2"/>
    <w:qFormat/>
    <w:rsid w:val="005c3759"/>
    <w:rPr/>
  </w:style>
  <w:style w:type="character" w:styleId="texto" w:customStyle="1">
    <w:name w:val="texto"/>
    <w:basedOn w:val="Fontepargpadro2"/>
    <w:qFormat/>
    <w:rsid w:val="005c3759"/>
    <w:rPr/>
  </w:style>
  <w:style w:type="character" w:styleId="A4" w:customStyle="1">
    <w:name w:val="A4"/>
    <w:qFormat/>
    <w:rsid w:val="005c3759"/>
    <w:rPr>
      <w:rFonts w:cs="Helvetica LT Light"/>
      <w:color w:val="000000"/>
      <w:sz w:val="16"/>
      <w:szCs w:val="16"/>
    </w:rPr>
  </w:style>
  <w:style w:type="character" w:styleId="timesnewChar" w:customStyle="1">
    <w:name w:val="times new Char"/>
    <w:basedOn w:val="CorpoChar"/>
    <w:qFormat/>
    <w:rsid w:val="005c3759"/>
    <w:rPr>
      <w:rFonts w:ascii="Times New" w:hAnsi="Times New" w:cs="Times New"/>
      <w:lang w:val="pt-BR" w:bidi="ar-SA"/>
    </w:rPr>
  </w:style>
  <w:style w:type="character" w:styleId="CharChar6" w:customStyle="1">
    <w:name w:val="Char Char6"/>
    <w:qFormat/>
    <w:rsid w:val="005c3759"/>
    <w:rPr>
      <w:rFonts w:ascii="Arial" w:hAnsi="Arial" w:cs="Arial"/>
      <w:b/>
      <w:bCs/>
      <w:kern w:val="2"/>
      <w:sz w:val="32"/>
      <w:szCs w:val="32"/>
      <w:lang w:val="pt-BR" w:bidi="ar-SA"/>
    </w:rPr>
  </w:style>
  <w:style w:type="character" w:styleId="apple-style-span" w:customStyle="1">
    <w:name w:val="apple-style-span"/>
    <w:basedOn w:val="Fontepargpadro2"/>
    <w:qFormat/>
    <w:rsid w:val="005c3759"/>
    <w:rPr/>
  </w:style>
  <w:style w:type="character" w:styleId="TextodenotadefimChar" w:customStyle="1">
    <w:name w:val="Texto de nota de fim Char"/>
    <w:basedOn w:val="Fontepargpadro2"/>
    <w:qFormat/>
    <w:rsid w:val="005c3759"/>
    <w:rPr/>
  </w:style>
  <w:style w:type="character" w:styleId="Caracteresdenotadefim" w:customStyle="1">
    <w:name w:val="Caracteres de nota de fim"/>
    <w:qFormat/>
    <w:rsid w:val="005c3759"/>
    <w:rPr>
      <w:vertAlign w:val="superscript"/>
    </w:rPr>
  </w:style>
  <w:style w:type="character" w:styleId="apple-converted-space" w:customStyle="1">
    <w:name w:val="apple-converted-space"/>
    <w:basedOn w:val="Fontepargpadro2"/>
    <w:qFormat/>
    <w:rsid w:val="005c3759"/>
    <w:rPr/>
  </w:style>
  <w:style w:type="character" w:styleId="Corpodetexto2Char" w:customStyle="1">
    <w:name w:val="Corpo de texto 2 Char"/>
    <w:qFormat/>
    <w:rsid w:val="005c3759"/>
    <w:rPr>
      <w:sz w:val="24"/>
      <w:szCs w:val="24"/>
    </w:rPr>
  </w:style>
  <w:style w:type="character" w:styleId="Corpodetexto3Char" w:customStyle="1">
    <w:name w:val="Corpo de texto 3 Char"/>
    <w:qFormat/>
    <w:rsid w:val="005c3759"/>
    <w:rPr>
      <w:sz w:val="24"/>
    </w:rPr>
  </w:style>
  <w:style w:type="character" w:styleId="Refdenotaderodap1" w:customStyle="1">
    <w:name w:val="Ref. de nota de rodapé1"/>
    <w:qFormat/>
    <w:rsid w:val="005c3759"/>
    <w:rPr>
      <w:vertAlign w:val="superscript"/>
    </w:rPr>
  </w:style>
  <w:style w:type="character" w:styleId="Refdenotadefim1" w:customStyle="1">
    <w:name w:val="Ref. de nota de fim1"/>
    <w:qFormat/>
    <w:rsid w:val="005c3759"/>
    <w:rPr>
      <w:vertAlign w:val="superscript"/>
    </w:rPr>
  </w:style>
  <w:style w:type="character" w:styleId="Marcas" w:customStyle="1">
    <w:name w:val="Marcas"/>
    <w:qFormat/>
    <w:rsid w:val="005c3759"/>
    <w:rPr>
      <w:rFonts w:ascii="OpenSymbol" w:hAnsi="OpenSymbol" w:eastAsia="OpenSymbol" w:cs="OpenSymbol"/>
    </w:rPr>
  </w:style>
  <w:style w:type="character" w:styleId="Smbolosdenumerao" w:customStyle="1">
    <w:name w:val="Símbolos de numeração"/>
    <w:qFormat/>
    <w:rsid w:val="005c3759"/>
    <w:rPr/>
  </w:style>
  <w:style w:type="character" w:styleId="Refdenotaderodap2" w:customStyle="1">
    <w:name w:val="Ref. de nota de rodapé2"/>
    <w:qFormat/>
    <w:rsid w:val="005c3759"/>
    <w:rPr>
      <w:vertAlign w:val="superscript"/>
    </w:rPr>
  </w:style>
  <w:style w:type="character" w:styleId="Refdenotadefim2" w:customStyle="1">
    <w:name w:val="Ref. de nota de fim2"/>
    <w:qFormat/>
    <w:rsid w:val="005c3759"/>
    <w:rPr>
      <w:vertAlign w:val="superscript"/>
    </w:rPr>
  </w:style>
  <w:style w:type="character" w:styleId="Corpodetexto2Char1" w:customStyle="1">
    <w:name w:val="Corpo de texto 2 Char1"/>
    <w:qFormat/>
    <w:rsid w:val="005c3759"/>
    <w:rPr>
      <w:lang w:eastAsia="zh-CN"/>
    </w:rPr>
  </w:style>
  <w:style w:type="character" w:styleId="Refdecomentrio2" w:customStyle="1">
    <w:name w:val="Ref. de comentário2"/>
    <w:qFormat/>
    <w:rsid w:val="005c3759"/>
    <w:rPr>
      <w:sz w:val="16"/>
      <w:szCs w:val="16"/>
    </w:rPr>
  </w:style>
  <w:style w:type="character" w:styleId="st" w:customStyle="1">
    <w:name w:val="st"/>
    <w:basedOn w:val="Fontepargpadro4"/>
    <w:qFormat/>
    <w:rsid w:val="005c3759"/>
    <w:rPr/>
  </w:style>
  <w:style w:type="character" w:styleId="valor" w:customStyle="1">
    <w:name w:val="valor"/>
    <w:basedOn w:val="Fontepargpadro4"/>
    <w:qFormat/>
    <w:rsid w:val="005c3759"/>
    <w:rPr/>
  </w:style>
  <w:style w:type="character" w:styleId="A9" w:customStyle="1">
    <w:name w:val="A9"/>
    <w:qFormat/>
    <w:rsid w:val="005c3759"/>
    <w:rPr>
      <w:rFonts w:cs="Conduit ITC Light"/>
      <w:color w:val="000000"/>
      <w:sz w:val="19"/>
      <w:szCs w:val="19"/>
    </w:rPr>
  </w:style>
  <w:style w:type="character" w:styleId="CabealhoChar" w:customStyle="1">
    <w:name w:val="Cabeçalho Char"/>
    <w:qFormat/>
    <w:rsid w:val="005c3759"/>
    <w:rPr>
      <w:lang w:eastAsia="zh-CN"/>
    </w:rPr>
  </w:style>
  <w:style w:type="character" w:styleId="il" w:customStyle="1">
    <w:name w:val="il"/>
    <w:basedOn w:val="Fontepargpadro4"/>
    <w:qFormat/>
    <w:rsid w:val="005c3759"/>
    <w:rPr/>
  </w:style>
  <w:style w:type="character" w:styleId="RecuodecorpodetextoChar" w:customStyle="1">
    <w:name w:val="Recuo de corpo de texto Char"/>
    <w:qFormat/>
    <w:rsid w:val="005c3759"/>
    <w:rPr>
      <w:lang w:eastAsia="zh-CN"/>
    </w:rPr>
  </w:style>
  <w:style w:type="character" w:styleId="Refdenotaderodap3" w:customStyle="1">
    <w:name w:val="Ref. de nota de rodapé3"/>
    <w:qFormat/>
    <w:rsid w:val="005c3759"/>
    <w:rPr>
      <w:vertAlign w:val="superscript"/>
    </w:rPr>
  </w:style>
  <w:style w:type="character" w:styleId="Refdenotadefim3" w:customStyle="1">
    <w:name w:val="Ref. de nota de fim3"/>
    <w:qFormat/>
    <w:rsid w:val="005c3759"/>
    <w:rPr>
      <w:vertAlign w:val="superscript"/>
    </w:rPr>
  </w:style>
  <w:style w:type="character" w:styleId="Refdenotaderodap4" w:customStyle="1">
    <w:name w:val="Ref. de nota de rodapé4"/>
    <w:qFormat/>
    <w:rsid w:val="005c3759"/>
    <w:rPr>
      <w:vertAlign w:val="superscript"/>
    </w:rPr>
  </w:style>
  <w:style w:type="character" w:styleId="Refdenotadefim4" w:customStyle="1">
    <w:name w:val="Ref. de nota de fim4"/>
    <w:qFormat/>
    <w:rsid w:val="005c3759"/>
    <w:rPr>
      <w:vertAlign w:val="superscript"/>
    </w:rPr>
  </w:style>
  <w:style w:type="character" w:styleId="Refdenotaderodap5" w:customStyle="1">
    <w:name w:val="Ref. de nota de rodapé5"/>
    <w:qFormat/>
    <w:rsid w:val="005c3759"/>
    <w:rPr>
      <w:vertAlign w:val="superscript"/>
    </w:rPr>
  </w:style>
  <w:style w:type="character" w:styleId="Refdenotadefim5" w:customStyle="1">
    <w:name w:val="Ref. de nota de fim5"/>
    <w:qFormat/>
    <w:rsid w:val="005c3759"/>
    <w:rPr>
      <w:vertAlign w:val="superscript"/>
    </w:rPr>
  </w:style>
  <w:style w:type="character" w:styleId="Refdenotaderodap6" w:customStyle="1">
    <w:name w:val="Ref. de nota de rodapé6"/>
    <w:qFormat/>
    <w:rsid w:val="005c3759"/>
    <w:rPr>
      <w:vertAlign w:val="superscript"/>
    </w:rPr>
  </w:style>
  <w:style w:type="character" w:styleId="Refdenotadefim6" w:customStyle="1">
    <w:name w:val="Ref. de nota de fim6"/>
    <w:qFormat/>
    <w:rsid w:val="005c3759"/>
    <w:rPr>
      <w:vertAlign w:val="superscript"/>
    </w:rPr>
  </w:style>
  <w:style w:type="character" w:styleId="Refdenotaderodap7" w:customStyle="1">
    <w:name w:val="Ref. de nota de rodapé7"/>
    <w:qFormat/>
    <w:rsid w:val="005c3759"/>
    <w:rPr>
      <w:vertAlign w:val="superscript"/>
    </w:rPr>
  </w:style>
  <w:style w:type="character" w:styleId="Refdenotadefim7" w:customStyle="1">
    <w:name w:val="Ref. de nota de fim7"/>
    <w:qFormat/>
    <w:rsid w:val="005c3759"/>
    <w:rPr>
      <w:vertAlign w:val="superscript"/>
    </w:rPr>
  </w:style>
  <w:style w:type="character" w:styleId="Refdenotaderodap8" w:customStyle="1">
    <w:name w:val="Ref. de nota de rodapé8"/>
    <w:qFormat/>
    <w:rsid w:val="005c3759"/>
    <w:rPr>
      <w:vertAlign w:val="superscript"/>
    </w:rPr>
  </w:style>
  <w:style w:type="character" w:styleId="Refdenotadefim8" w:customStyle="1">
    <w:name w:val="Ref. de nota de fim8"/>
    <w:qFormat/>
    <w:rsid w:val="005c3759"/>
    <w:rPr>
      <w:vertAlign w:val="superscript"/>
    </w:rPr>
  </w:style>
  <w:style w:type="character" w:styleId="Refdenotaderodap9" w:customStyle="1">
    <w:name w:val="Ref. de nota de rodapé9"/>
    <w:qFormat/>
    <w:rsid w:val="005c3759"/>
    <w:rPr>
      <w:vertAlign w:val="superscript"/>
    </w:rPr>
  </w:style>
  <w:style w:type="character" w:styleId="Refdenotadefim9" w:customStyle="1">
    <w:name w:val="Ref. de nota de fim9"/>
    <w:qFormat/>
    <w:rsid w:val="005c3759"/>
    <w:rPr>
      <w:vertAlign w:val="superscript"/>
    </w:rPr>
  </w:style>
  <w:style w:type="character" w:styleId="Refdenotaderodap10" w:customStyle="1">
    <w:name w:val="Ref. de nota de rodapé10"/>
    <w:qFormat/>
    <w:rsid w:val="005c3759"/>
    <w:rPr>
      <w:vertAlign w:val="superscript"/>
    </w:rPr>
  </w:style>
  <w:style w:type="character" w:styleId="Refdenotadefim10" w:customStyle="1">
    <w:name w:val="Ref. de nota de fim10"/>
    <w:qFormat/>
    <w:rsid w:val="005c3759"/>
    <w:rPr>
      <w:vertAlign w:val="superscript"/>
    </w:rPr>
  </w:style>
  <w:style w:type="character" w:styleId="Refdenotaderodap11" w:customStyle="1">
    <w:name w:val="Ref. de nota de rodapé11"/>
    <w:qFormat/>
    <w:rsid w:val="005c3759"/>
    <w:rPr>
      <w:vertAlign w:val="superscript"/>
    </w:rPr>
  </w:style>
  <w:style w:type="character" w:styleId="Refdenotadefim11" w:customStyle="1">
    <w:name w:val="Ref. de nota de fim11"/>
    <w:qFormat/>
    <w:rsid w:val="005c3759"/>
    <w:rPr>
      <w:vertAlign w:val="superscript"/>
    </w:rPr>
  </w:style>
  <w:style w:type="character" w:styleId="Refdenotaderodap12" w:customStyle="1">
    <w:name w:val="Ref. de nota de rodapé12"/>
    <w:qFormat/>
    <w:rsid w:val="005c3759"/>
    <w:rPr>
      <w:vertAlign w:val="superscript"/>
    </w:rPr>
  </w:style>
  <w:style w:type="character" w:styleId="Refdenotadefim12" w:customStyle="1">
    <w:name w:val="Ref. de nota de fim12"/>
    <w:qFormat/>
    <w:rsid w:val="005c3759"/>
    <w:rPr>
      <w:vertAlign w:val="superscript"/>
    </w:rPr>
  </w:style>
  <w:style w:type="character" w:styleId="Refdenotaderodap13" w:customStyle="1">
    <w:name w:val="Ref. de nota de rodapé13"/>
    <w:qFormat/>
    <w:rsid w:val="005c3759"/>
    <w:rPr>
      <w:vertAlign w:val="superscript"/>
    </w:rPr>
  </w:style>
  <w:style w:type="character" w:styleId="Refdenotadefim13" w:customStyle="1">
    <w:name w:val="Ref. de nota de fim13"/>
    <w:qFormat/>
    <w:rsid w:val="005c3759"/>
    <w:rPr>
      <w:vertAlign w:val="superscript"/>
    </w:rPr>
  </w:style>
  <w:style w:type="character" w:styleId="Refdenotaderodap14" w:customStyle="1">
    <w:name w:val="Ref. de nota de rodapé14"/>
    <w:qFormat/>
    <w:rsid w:val="005c3759"/>
    <w:rPr>
      <w:vertAlign w:val="superscript"/>
    </w:rPr>
  </w:style>
  <w:style w:type="character" w:styleId="Refdenotadefim14" w:customStyle="1">
    <w:name w:val="Ref. de nota de fim14"/>
    <w:qFormat/>
    <w:rsid w:val="005c3759"/>
    <w:rPr>
      <w:vertAlign w:val="superscript"/>
    </w:rPr>
  </w:style>
  <w:style w:type="character" w:styleId="WW-Caracteresdenotadefim" w:customStyle="1">
    <w:name w:val="WW-Caracteres de nota de fim"/>
    <w:qFormat/>
    <w:rsid w:val="005c3759"/>
    <w:rPr/>
  </w:style>
  <w:style w:type="character" w:styleId="TextodebaloChar" w:customStyle="1">
    <w:name w:val="Texto de balão Char"/>
    <w:qFormat/>
    <w:rsid w:val="005c3759"/>
    <w:rPr>
      <w:rFonts w:ascii="Tahoma" w:hAnsi="Tahoma" w:cs="Tahoma"/>
      <w:sz w:val="16"/>
      <w:szCs w:val="16"/>
    </w:rPr>
  </w:style>
  <w:style w:type="character" w:styleId="RodapChar" w:customStyle="1">
    <w:name w:val="Rodapé Char"/>
    <w:uiPriority w:val="99"/>
    <w:qFormat/>
    <w:rsid w:val="005c3759"/>
    <w:rPr>
      <w:sz w:val="24"/>
      <w:szCs w:val="24"/>
    </w:rPr>
  </w:style>
  <w:style w:type="character" w:styleId="CharChar1" w:customStyle="1">
    <w:name w:val="Char Char1"/>
    <w:qFormat/>
    <w:rsid w:val="005c3759"/>
    <w:rPr>
      <w:sz w:val="24"/>
      <w:szCs w:val="24"/>
      <w:lang w:val="pt-BR" w:bidi="ar-SA"/>
    </w:rPr>
  </w:style>
  <w:style w:type="character" w:styleId="WW8Num3z8" w:customStyle="1">
    <w:name w:val="WW8Num3z8"/>
    <w:qFormat/>
    <w:rsid w:val="005c3759"/>
    <w:rPr/>
  </w:style>
  <w:style w:type="character" w:styleId="WW8Num3z7" w:customStyle="1">
    <w:name w:val="WW8Num3z7"/>
    <w:qFormat/>
    <w:rsid w:val="005c3759"/>
    <w:rPr/>
  </w:style>
  <w:style w:type="character" w:styleId="WW8Num3z6" w:customStyle="1">
    <w:name w:val="WW8Num3z6"/>
    <w:qFormat/>
    <w:rsid w:val="005c3759"/>
    <w:rPr/>
  </w:style>
  <w:style w:type="character" w:styleId="WW8Num3z5" w:customStyle="1">
    <w:name w:val="WW8Num3z5"/>
    <w:qFormat/>
    <w:rsid w:val="005c3759"/>
    <w:rPr/>
  </w:style>
  <w:style w:type="character" w:styleId="WW8Num3z4" w:customStyle="1">
    <w:name w:val="WW8Num3z4"/>
    <w:qFormat/>
    <w:rsid w:val="005c3759"/>
    <w:rPr/>
  </w:style>
  <w:style w:type="character" w:styleId="WW8Num3z3" w:customStyle="1">
    <w:name w:val="WW8Num3z3"/>
    <w:qFormat/>
    <w:rsid w:val="005c3759"/>
    <w:rPr/>
  </w:style>
  <w:style w:type="character" w:styleId="WW8Num2z8" w:customStyle="1">
    <w:name w:val="WW8Num2z8"/>
    <w:qFormat/>
    <w:rsid w:val="005c3759"/>
    <w:rPr/>
  </w:style>
  <w:style w:type="character" w:styleId="WW8Num2z7" w:customStyle="1">
    <w:name w:val="WW8Num2z7"/>
    <w:qFormat/>
    <w:rsid w:val="005c3759"/>
    <w:rPr/>
  </w:style>
  <w:style w:type="character" w:styleId="WW8Num2z6" w:customStyle="1">
    <w:name w:val="WW8Num2z6"/>
    <w:qFormat/>
    <w:rsid w:val="005c3759"/>
    <w:rPr/>
  </w:style>
  <w:style w:type="character" w:styleId="WW8Num2z5" w:customStyle="1">
    <w:name w:val="WW8Num2z5"/>
    <w:qFormat/>
    <w:rsid w:val="005c3759"/>
    <w:rPr/>
  </w:style>
  <w:style w:type="character" w:styleId="WW8Num2z4" w:customStyle="1">
    <w:name w:val="WW8Num2z4"/>
    <w:qFormat/>
    <w:rsid w:val="005c3759"/>
    <w:rPr/>
  </w:style>
  <w:style w:type="character" w:styleId="WW8Num2z2" w:customStyle="1">
    <w:name w:val="WW8Num2z2"/>
    <w:qFormat/>
    <w:rsid w:val="005c3759"/>
    <w:rPr/>
  </w:style>
  <w:style w:type="character" w:styleId="WW8Num2z1" w:customStyle="1">
    <w:name w:val="WW8Num2z1"/>
    <w:qFormat/>
    <w:rsid w:val="005c3759"/>
    <w:rPr/>
  </w:style>
  <w:style w:type="character" w:styleId="Refdenotaderodap15" w:customStyle="1">
    <w:name w:val="Ref. de nota de rodapé15"/>
    <w:qFormat/>
    <w:rsid w:val="005c3759"/>
    <w:rPr>
      <w:vertAlign w:val="superscript"/>
    </w:rPr>
  </w:style>
  <w:style w:type="character" w:styleId="Refdenotadefim15" w:customStyle="1">
    <w:name w:val="Ref. de nota de fim15"/>
    <w:qFormat/>
    <w:rsid w:val="005c3759"/>
    <w:rPr>
      <w:vertAlign w:val="superscript"/>
    </w:rPr>
  </w:style>
  <w:style w:type="character" w:styleId="Refdenotaderodap16" w:customStyle="1">
    <w:name w:val="Ref. de nota de rodapé16"/>
    <w:qFormat/>
    <w:rsid w:val="005c3759"/>
    <w:rPr>
      <w:vertAlign w:val="superscript"/>
    </w:rPr>
  </w:style>
  <w:style w:type="character" w:styleId="Refdenotadefim16" w:customStyle="1">
    <w:name w:val="Ref. de nota de fim16"/>
    <w:qFormat/>
    <w:rsid w:val="005c3759"/>
    <w:rPr>
      <w:vertAlign w:val="superscript"/>
    </w:rPr>
  </w:style>
  <w:style w:type="character" w:styleId="Refdenotaderodap17" w:customStyle="1">
    <w:name w:val="Ref. de nota de rodapé17"/>
    <w:qFormat/>
    <w:rsid w:val="005c3759"/>
    <w:rPr>
      <w:vertAlign w:val="superscript"/>
    </w:rPr>
  </w:style>
  <w:style w:type="character" w:styleId="Refdenotaderodap19" w:customStyle="1">
    <w:name w:val="Ref. de nota de rodapé19"/>
    <w:qFormat/>
    <w:rsid w:val="005c3759"/>
    <w:rPr>
      <w:vertAlign w:val="superscript"/>
    </w:rPr>
  </w:style>
  <w:style w:type="character" w:styleId="Refdecomentrio3" w:customStyle="1">
    <w:name w:val="Ref. de comentário3"/>
    <w:qFormat/>
    <w:rsid w:val="005c3759"/>
    <w:rPr>
      <w:sz w:val="16"/>
      <w:szCs w:val="16"/>
    </w:rPr>
  </w:style>
  <w:style w:type="character" w:styleId="Refdenotadefim17" w:customStyle="1">
    <w:name w:val="Ref. de nota de fim17"/>
    <w:qFormat/>
    <w:rsid w:val="005c3759"/>
    <w:rPr>
      <w:vertAlign w:val="superscript"/>
    </w:rPr>
  </w:style>
  <w:style w:type="character" w:styleId="Refdenotaderodap18" w:customStyle="1">
    <w:name w:val="Ref. de nota de rodapé18"/>
    <w:qFormat/>
    <w:rsid w:val="005c3759"/>
    <w:rPr>
      <w:vertAlign w:val="superscript"/>
    </w:rPr>
  </w:style>
  <w:style w:type="character" w:styleId="WW8Num29z8" w:customStyle="1">
    <w:name w:val="WW8Num29z8"/>
    <w:qFormat/>
    <w:rsid w:val="005c3759"/>
    <w:rPr/>
  </w:style>
  <w:style w:type="character" w:styleId="WW8Num29z7" w:customStyle="1">
    <w:name w:val="WW8Num29z7"/>
    <w:qFormat/>
    <w:rsid w:val="005c3759"/>
    <w:rPr/>
  </w:style>
  <w:style w:type="character" w:styleId="WW8Num29z6" w:customStyle="1">
    <w:name w:val="WW8Num29z6"/>
    <w:qFormat/>
    <w:rsid w:val="005c3759"/>
    <w:rPr/>
  </w:style>
  <w:style w:type="character" w:styleId="WW8Num29z5" w:customStyle="1">
    <w:name w:val="WW8Num29z5"/>
    <w:qFormat/>
    <w:rsid w:val="005c3759"/>
    <w:rPr/>
  </w:style>
  <w:style w:type="character" w:styleId="WW8Num29z4" w:customStyle="1">
    <w:name w:val="WW8Num29z4"/>
    <w:qFormat/>
    <w:rsid w:val="005c3759"/>
    <w:rPr/>
  </w:style>
  <w:style w:type="character" w:styleId="WW8Num29z2" w:customStyle="1">
    <w:name w:val="WW8Num29z2"/>
    <w:qFormat/>
    <w:rsid w:val="005c3759"/>
    <w:rPr/>
  </w:style>
  <w:style w:type="character" w:styleId="WW8Num25z8" w:customStyle="1">
    <w:name w:val="WW8Num25z8"/>
    <w:qFormat/>
    <w:rsid w:val="005c3759"/>
    <w:rPr/>
  </w:style>
  <w:style w:type="character" w:styleId="WW8Num25z7" w:customStyle="1">
    <w:name w:val="WW8Num25z7"/>
    <w:qFormat/>
    <w:rsid w:val="005c3759"/>
    <w:rPr/>
  </w:style>
  <w:style w:type="character" w:styleId="WW8Num25z6" w:customStyle="1">
    <w:name w:val="WW8Num25z6"/>
    <w:qFormat/>
    <w:rsid w:val="005c3759"/>
    <w:rPr/>
  </w:style>
  <w:style w:type="character" w:styleId="WW8Num25z5" w:customStyle="1">
    <w:name w:val="WW8Num25z5"/>
    <w:qFormat/>
    <w:rsid w:val="005c3759"/>
    <w:rPr/>
  </w:style>
  <w:style w:type="character" w:styleId="WW8Num25z4" w:customStyle="1">
    <w:name w:val="WW8Num25z4"/>
    <w:qFormat/>
    <w:rsid w:val="005c3759"/>
    <w:rPr/>
  </w:style>
  <w:style w:type="character" w:styleId="WW8Num25z2" w:customStyle="1">
    <w:name w:val="WW8Num25z2"/>
    <w:qFormat/>
    <w:rsid w:val="005c3759"/>
    <w:rPr/>
  </w:style>
  <w:style w:type="character" w:styleId="Refdenotaderodap20" w:customStyle="1">
    <w:name w:val="Ref. de nota de rodapé20"/>
    <w:qFormat/>
    <w:rsid w:val="005c3759"/>
    <w:rPr>
      <w:vertAlign w:val="superscript"/>
    </w:rPr>
  </w:style>
  <w:style w:type="character" w:styleId="Refdenotaderodap21" w:customStyle="1">
    <w:name w:val="Ref. de nota de rodapé21"/>
    <w:qFormat/>
    <w:rsid w:val="005c3759"/>
    <w:rPr>
      <w:vertAlign w:val="superscript"/>
    </w:rPr>
  </w:style>
  <w:style w:type="character" w:styleId="Refdenotadefim18" w:customStyle="1">
    <w:name w:val="Ref. de nota de fim18"/>
    <w:qFormat/>
    <w:rsid w:val="005c3759"/>
    <w:rPr>
      <w:vertAlign w:val="superscript"/>
    </w:rPr>
  </w:style>
  <w:style w:type="character" w:styleId="Refdenotaderodap22" w:customStyle="1">
    <w:name w:val="Ref. de nota de rodapé22"/>
    <w:qFormat/>
    <w:rsid w:val="005c3759"/>
    <w:rPr>
      <w:vertAlign w:val="superscript"/>
    </w:rPr>
  </w:style>
  <w:style w:type="character" w:styleId="Refdenotadefim19" w:customStyle="1">
    <w:name w:val="Ref. de nota de fim19"/>
    <w:qFormat/>
    <w:rsid w:val="005c3759"/>
    <w:rPr>
      <w:vertAlign w:val="superscript"/>
    </w:rPr>
  </w:style>
  <w:style w:type="character" w:styleId="Refdenotaderodap23" w:customStyle="1">
    <w:name w:val="Ref. de nota de rodapé23"/>
    <w:qFormat/>
    <w:rsid w:val="005c3759"/>
    <w:rPr>
      <w:vertAlign w:val="superscript"/>
    </w:rPr>
  </w:style>
  <w:style w:type="character" w:styleId="Refdenotadefim20" w:customStyle="1">
    <w:name w:val="Ref. de nota de fim20"/>
    <w:qFormat/>
    <w:rsid w:val="005c3759"/>
    <w:rPr>
      <w:vertAlign w:val="superscript"/>
    </w:rPr>
  </w:style>
  <w:style w:type="character" w:styleId="Refdenotaderodap24" w:customStyle="1">
    <w:name w:val="Ref. de nota de rodapé24"/>
    <w:qFormat/>
    <w:rsid w:val="005c3759"/>
    <w:rPr>
      <w:vertAlign w:val="superscript"/>
    </w:rPr>
  </w:style>
  <w:style w:type="character" w:styleId="Refdenotadefim21" w:customStyle="1">
    <w:name w:val="Ref. de nota de fim21"/>
    <w:qFormat/>
    <w:rsid w:val="005c3759"/>
    <w:rPr>
      <w:vertAlign w:val="superscript"/>
    </w:rPr>
  </w:style>
  <w:style w:type="character" w:styleId="Refdenotaderodap25" w:customStyle="1">
    <w:name w:val="Ref. de nota de rodapé25"/>
    <w:qFormat/>
    <w:rsid w:val="005c3759"/>
    <w:rPr>
      <w:vertAlign w:val="superscript"/>
    </w:rPr>
  </w:style>
  <w:style w:type="character" w:styleId="Refdenotadefim22" w:customStyle="1">
    <w:name w:val="Ref. de nota de fim22"/>
    <w:qFormat/>
    <w:rsid w:val="005c3759"/>
    <w:rPr>
      <w:vertAlign w:val="superscript"/>
    </w:rPr>
  </w:style>
  <w:style w:type="character" w:styleId="Refdenotaderodap26" w:customStyle="1">
    <w:name w:val="Ref. de nota de rodapé26"/>
    <w:qFormat/>
    <w:rsid w:val="005c3759"/>
    <w:rPr>
      <w:vertAlign w:val="superscript"/>
    </w:rPr>
  </w:style>
  <w:style w:type="character" w:styleId="Refdenotadefim23" w:customStyle="1">
    <w:name w:val="Ref. de nota de fim23"/>
    <w:qFormat/>
    <w:rsid w:val="005c3759"/>
    <w:rPr>
      <w:vertAlign w:val="superscript"/>
    </w:rPr>
  </w:style>
  <w:style w:type="character" w:styleId="Refdenotaderodap27" w:customStyle="1">
    <w:name w:val="Ref. de nota de rodapé27"/>
    <w:qFormat/>
    <w:rsid w:val="005c3759"/>
    <w:rPr>
      <w:vertAlign w:val="superscript"/>
    </w:rPr>
  </w:style>
  <w:style w:type="character" w:styleId="Refdenotadefim24" w:customStyle="1">
    <w:name w:val="Ref. de nota de fim24"/>
    <w:qFormat/>
    <w:rsid w:val="005c3759"/>
    <w:rPr>
      <w:vertAlign w:val="superscript"/>
    </w:rPr>
  </w:style>
  <w:style w:type="character" w:styleId="Refdenotaderodap28" w:customStyle="1">
    <w:name w:val="Ref. de nota de rodapé28"/>
    <w:qFormat/>
    <w:rsid w:val="005c3759"/>
    <w:rPr>
      <w:vertAlign w:val="superscript"/>
    </w:rPr>
  </w:style>
  <w:style w:type="character" w:styleId="Refdenotadefim25" w:customStyle="1">
    <w:name w:val="Ref. de nota de fim25"/>
    <w:qFormat/>
    <w:rsid w:val="005c3759"/>
    <w:rPr>
      <w:vertAlign w:val="superscript"/>
    </w:rPr>
  </w:style>
  <w:style w:type="character" w:styleId="Refdenotaderodap29" w:customStyle="1">
    <w:name w:val="Ref. de nota de rodapé29"/>
    <w:qFormat/>
    <w:rsid w:val="005c3759"/>
    <w:rPr>
      <w:vertAlign w:val="superscript"/>
    </w:rPr>
  </w:style>
  <w:style w:type="character" w:styleId="Refdenotadefim26" w:customStyle="1">
    <w:name w:val="Ref. de nota de fim26"/>
    <w:qFormat/>
    <w:rsid w:val="005c3759"/>
    <w:rPr>
      <w:vertAlign w:val="superscript"/>
    </w:rPr>
  </w:style>
  <w:style w:type="character" w:styleId="Refdenotaderodap30" w:customStyle="1">
    <w:name w:val="Ref. de nota de rodapé30"/>
    <w:qFormat/>
    <w:rsid w:val="005c3759"/>
    <w:rPr>
      <w:vertAlign w:val="superscript"/>
    </w:rPr>
  </w:style>
  <w:style w:type="character" w:styleId="Refdenotadefim27" w:customStyle="1">
    <w:name w:val="Ref. de nota de fim27"/>
    <w:qFormat/>
    <w:rsid w:val="005c3759"/>
    <w:rPr>
      <w:vertAlign w:val="superscript"/>
    </w:rPr>
  </w:style>
  <w:style w:type="character" w:styleId="Refdenotaderodap31" w:customStyle="1">
    <w:name w:val="Ref. de nota de rodapé31"/>
    <w:qFormat/>
    <w:rsid w:val="005c3759"/>
    <w:rPr>
      <w:vertAlign w:val="superscript"/>
    </w:rPr>
  </w:style>
  <w:style w:type="character" w:styleId="Refdenotadefim28" w:customStyle="1">
    <w:name w:val="Ref. de nota de fim28"/>
    <w:qFormat/>
    <w:rsid w:val="005c3759"/>
    <w:rPr>
      <w:vertAlign w:val="superscript"/>
    </w:rPr>
  </w:style>
  <w:style w:type="character" w:styleId="Refdenotaderodap32" w:customStyle="1">
    <w:name w:val="Ref. de nota de rodapé32"/>
    <w:qFormat/>
    <w:rsid w:val="005c3759"/>
    <w:rPr>
      <w:vertAlign w:val="superscript"/>
    </w:rPr>
  </w:style>
  <w:style w:type="character" w:styleId="Refdenotadefim29" w:customStyle="1">
    <w:name w:val="Ref. de nota de fim29"/>
    <w:qFormat/>
    <w:rsid w:val="005c3759"/>
    <w:rPr>
      <w:vertAlign w:val="superscript"/>
    </w:rPr>
  </w:style>
  <w:style w:type="character" w:styleId="Refdenotaderodap33" w:customStyle="1">
    <w:name w:val="Ref. de nota de rodapé33"/>
    <w:qFormat/>
    <w:rsid w:val="005c3759"/>
    <w:rPr>
      <w:vertAlign w:val="superscript"/>
    </w:rPr>
  </w:style>
  <w:style w:type="character" w:styleId="Refdenotadefim30" w:customStyle="1">
    <w:name w:val="Ref. de nota de fim30"/>
    <w:qFormat/>
    <w:rsid w:val="005c3759"/>
    <w:rPr>
      <w:vertAlign w:val="superscript"/>
    </w:rPr>
  </w:style>
  <w:style w:type="character" w:styleId="Refdenotaderodap34" w:customStyle="1">
    <w:name w:val="Ref. de nota de rodapé34"/>
    <w:qFormat/>
    <w:rsid w:val="005c3759"/>
    <w:rPr>
      <w:vertAlign w:val="superscript"/>
    </w:rPr>
  </w:style>
  <w:style w:type="character" w:styleId="Refdenotadefim31" w:customStyle="1">
    <w:name w:val="Ref. de nota de fim31"/>
    <w:qFormat/>
    <w:rsid w:val="005c3759"/>
    <w:rPr>
      <w:vertAlign w:val="superscript"/>
    </w:rPr>
  </w:style>
  <w:style w:type="character" w:styleId="Refdenotaderodap35" w:customStyle="1">
    <w:name w:val="Ref. de nota de rodapé35"/>
    <w:qFormat/>
    <w:rsid w:val="005c3759"/>
    <w:rPr>
      <w:vertAlign w:val="superscript"/>
    </w:rPr>
  </w:style>
  <w:style w:type="character" w:styleId="Refdenotadefim32" w:customStyle="1">
    <w:name w:val="Ref. de nota de fim32"/>
    <w:qFormat/>
    <w:rsid w:val="005c3759"/>
    <w:rPr>
      <w:vertAlign w:val="superscript"/>
    </w:rPr>
  </w:style>
  <w:style w:type="character" w:styleId="Refdenotaderodap36" w:customStyle="1">
    <w:name w:val="Ref. de nota de rodapé36"/>
    <w:qFormat/>
    <w:rsid w:val="005c3759"/>
    <w:rPr>
      <w:vertAlign w:val="superscript"/>
    </w:rPr>
  </w:style>
  <w:style w:type="character" w:styleId="Refdenotadefim33" w:customStyle="1">
    <w:name w:val="Ref. de nota de fim33"/>
    <w:qFormat/>
    <w:rsid w:val="005c3759"/>
    <w:rPr>
      <w:vertAlign w:val="superscript"/>
    </w:rPr>
  </w:style>
  <w:style w:type="character" w:styleId="Refdenotaderodap37" w:customStyle="1">
    <w:name w:val="Ref. de nota de rodapé37"/>
    <w:qFormat/>
    <w:rsid w:val="005c3759"/>
    <w:rPr>
      <w:vertAlign w:val="superscript"/>
    </w:rPr>
  </w:style>
  <w:style w:type="character" w:styleId="Refdenotadefim34" w:customStyle="1">
    <w:name w:val="Ref. de nota de fim34"/>
    <w:qFormat/>
    <w:rsid w:val="005c3759"/>
    <w:rPr>
      <w:vertAlign w:val="superscript"/>
    </w:rPr>
  </w:style>
  <w:style w:type="character" w:styleId="Refdenotaderodap38" w:customStyle="1">
    <w:name w:val="Ref. de nota de rodapé38"/>
    <w:qFormat/>
    <w:rsid w:val="005c3759"/>
    <w:rPr>
      <w:vertAlign w:val="superscript"/>
    </w:rPr>
  </w:style>
  <w:style w:type="character" w:styleId="Refdenotadefim35" w:customStyle="1">
    <w:name w:val="Ref. de nota de fim35"/>
    <w:qFormat/>
    <w:rsid w:val="005c3759"/>
    <w:rPr>
      <w:vertAlign w:val="superscript"/>
    </w:rPr>
  </w:style>
  <w:style w:type="character" w:styleId="Refdenotaderodap39" w:customStyle="1">
    <w:name w:val="Ref. de nota de rodapé39"/>
    <w:qFormat/>
    <w:rsid w:val="005c3759"/>
    <w:rPr>
      <w:vertAlign w:val="superscript"/>
    </w:rPr>
  </w:style>
  <w:style w:type="character" w:styleId="Refdenotadefim36" w:customStyle="1">
    <w:name w:val="Ref. de nota de fim36"/>
    <w:qFormat/>
    <w:rsid w:val="005c3759"/>
    <w:rPr>
      <w:vertAlign w:val="superscript"/>
    </w:rPr>
  </w:style>
  <w:style w:type="character" w:styleId="Refdenotaderodap40" w:customStyle="1">
    <w:name w:val="Ref. de nota de rodapé40"/>
    <w:qFormat/>
    <w:rsid w:val="005c3759"/>
    <w:rPr>
      <w:vertAlign w:val="superscript"/>
    </w:rPr>
  </w:style>
  <w:style w:type="character" w:styleId="Refdenotadefim37" w:customStyle="1">
    <w:name w:val="Ref. de nota de fim37"/>
    <w:qFormat/>
    <w:rsid w:val="005c3759"/>
    <w:rPr>
      <w:vertAlign w:val="superscript"/>
    </w:rPr>
  </w:style>
  <w:style w:type="character" w:styleId="Refdenotaderodap41" w:customStyle="1">
    <w:name w:val="Ref. de nota de rodapé41"/>
    <w:qFormat/>
    <w:rsid w:val="005c3759"/>
    <w:rPr>
      <w:vertAlign w:val="superscript"/>
    </w:rPr>
  </w:style>
  <w:style w:type="character" w:styleId="Refdenotadefim38" w:customStyle="1">
    <w:name w:val="Ref. de nota de fim38"/>
    <w:qFormat/>
    <w:rsid w:val="005c3759"/>
    <w:rPr>
      <w:vertAlign w:val="superscript"/>
    </w:rPr>
  </w:style>
  <w:style w:type="character" w:styleId="Refdenotaderodap42" w:customStyle="1">
    <w:name w:val="Ref. de nota de rodapé42"/>
    <w:qFormat/>
    <w:rsid w:val="005c3759"/>
    <w:rPr>
      <w:vertAlign w:val="superscript"/>
    </w:rPr>
  </w:style>
  <w:style w:type="character" w:styleId="Refdenotadefim39" w:customStyle="1">
    <w:name w:val="Ref. de nota de fim39"/>
    <w:qFormat/>
    <w:rsid w:val="005c3759"/>
    <w:rPr>
      <w:vertAlign w:val="superscript"/>
    </w:rPr>
  </w:style>
  <w:style w:type="character" w:styleId="Refdenotaderodap43" w:customStyle="1">
    <w:name w:val="Ref. de nota de rodapé43"/>
    <w:qFormat/>
    <w:rsid w:val="005c3759"/>
    <w:rPr>
      <w:vertAlign w:val="superscript"/>
    </w:rPr>
  </w:style>
  <w:style w:type="character" w:styleId="Refdenotadefim40" w:customStyle="1">
    <w:name w:val="Ref. de nota de fim40"/>
    <w:qFormat/>
    <w:rsid w:val="005c3759"/>
    <w:rPr>
      <w:vertAlign w:val="superscript"/>
    </w:rPr>
  </w:style>
  <w:style w:type="character" w:styleId="Refdenotaderodap44" w:customStyle="1">
    <w:name w:val="Ref. de nota de rodapé44"/>
    <w:qFormat/>
    <w:rsid w:val="005c3759"/>
    <w:rPr>
      <w:vertAlign w:val="superscript"/>
    </w:rPr>
  </w:style>
  <w:style w:type="character" w:styleId="Refdenotadefim41" w:customStyle="1">
    <w:name w:val="Ref. de nota de fim41"/>
    <w:qFormat/>
    <w:rsid w:val="005c3759"/>
    <w:rPr>
      <w:vertAlign w:val="superscript"/>
    </w:rPr>
  </w:style>
  <w:style w:type="character" w:styleId="Refdenotaderodap45" w:customStyle="1">
    <w:name w:val="Ref. de nota de rodapé45"/>
    <w:qFormat/>
    <w:rsid w:val="005c3759"/>
    <w:rPr>
      <w:vertAlign w:val="superscript"/>
    </w:rPr>
  </w:style>
  <w:style w:type="character" w:styleId="Refdenotadefim42" w:customStyle="1">
    <w:name w:val="Ref. de nota de fim42"/>
    <w:qFormat/>
    <w:rsid w:val="005c3759"/>
    <w:rPr>
      <w:vertAlign w:val="superscript"/>
    </w:rPr>
  </w:style>
  <w:style w:type="character" w:styleId="Refdenotaderodap46" w:customStyle="1">
    <w:name w:val="Ref. de nota de rodapé46"/>
    <w:qFormat/>
    <w:rsid w:val="005c3759"/>
    <w:rPr>
      <w:vertAlign w:val="superscript"/>
    </w:rPr>
  </w:style>
  <w:style w:type="character" w:styleId="Refdenotadefim43" w:customStyle="1">
    <w:name w:val="Ref. de nota de fim43"/>
    <w:qFormat/>
    <w:rsid w:val="005c3759"/>
    <w:rPr>
      <w:vertAlign w:val="superscript"/>
    </w:rPr>
  </w:style>
  <w:style w:type="character" w:styleId="Refdenotaderodap47" w:customStyle="1">
    <w:name w:val="Ref. de nota de rodapé47"/>
    <w:qFormat/>
    <w:rsid w:val="005c3759"/>
    <w:rPr>
      <w:vertAlign w:val="superscript"/>
    </w:rPr>
  </w:style>
  <w:style w:type="character" w:styleId="Refdenotadefim44" w:customStyle="1">
    <w:name w:val="Ref. de nota de fim44"/>
    <w:qFormat/>
    <w:rsid w:val="005c3759"/>
    <w:rPr>
      <w:vertAlign w:val="superscript"/>
    </w:rPr>
  </w:style>
  <w:style w:type="character" w:styleId="Refdenotadefim46" w:customStyle="1">
    <w:name w:val="Ref. de nota de fim46"/>
    <w:qFormat/>
    <w:rsid w:val="005c3759"/>
    <w:rPr>
      <w:vertAlign w:val="superscript"/>
    </w:rPr>
  </w:style>
  <w:style w:type="character" w:styleId="Refdenotaderodap49" w:customStyle="1">
    <w:name w:val="Ref. de nota de rodapé49"/>
    <w:qFormat/>
    <w:rsid w:val="005c3759"/>
    <w:rPr>
      <w:vertAlign w:val="superscript"/>
    </w:rPr>
  </w:style>
  <w:style w:type="character" w:styleId="Refdenotadefim45" w:customStyle="1">
    <w:name w:val="Ref. de nota de fim45"/>
    <w:qFormat/>
    <w:rsid w:val="005c3759"/>
    <w:rPr>
      <w:vertAlign w:val="superscript"/>
    </w:rPr>
  </w:style>
  <w:style w:type="character" w:styleId="Refdenotaderodap48" w:customStyle="1">
    <w:name w:val="Ref. de nota de rodapé48"/>
    <w:qFormat/>
    <w:rsid w:val="005c3759"/>
    <w:rPr>
      <w:vertAlign w:val="superscript"/>
    </w:rPr>
  </w:style>
  <w:style w:type="character" w:styleId="Refdenotadefim48" w:customStyle="1">
    <w:name w:val="Ref. de nota de fim48"/>
    <w:qFormat/>
    <w:rsid w:val="005c3759"/>
    <w:rPr>
      <w:vertAlign w:val="superscript"/>
    </w:rPr>
  </w:style>
  <w:style w:type="character" w:styleId="Refdenotaderodap51" w:customStyle="1">
    <w:name w:val="Ref. de nota de rodapé51"/>
    <w:qFormat/>
    <w:rsid w:val="005c3759"/>
    <w:rPr>
      <w:vertAlign w:val="superscript"/>
    </w:rPr>
  </w:style>
  <w:style w:type="character" w:styleId="Refdenotadefim47" w:customStyle="1">
    <w:name w:val="Ref. de nota de fim47"/>
    <w:qFormat/>
    <w:rsid w:val="005c3759"/>
    <w:rPr>
      <w:vertAlign w:val="superscript"/>
    </w:rPr>
  </w:style>
  <w:style w:type="character" w:styleId="Refdenotaderodap50" w:customStyle="1">
    <w:name w:val="Ref. de nota de rodapé50"/>
    <w:qFormat/>
    <w:rsid w:val="005c3759"/>
    <w:rPr>
      <w:vertAlign w:val="superscript"/>
    </w:rPr>
  </w:style>
  <w:style w:type="character" w:styleId="Refdenotaderodap52" w:customStyle="1">
    <w:name w:val="Ref. de nota de rodapé52"/>
    <w:qFormat/>
    <w:rsid w:val="005c3759"/>
    <w:rPr>
      <w:vertAlign w:val="superscript"/>
    </w:rPr>
  </w:style>
  <w:style w:type="character" w:styleId="Refdenotadefim49" w:customStyle="1">
    <w:name w:val="Ref. de nota de fim49"/>
    <w:qFormat/>
    <w:rsid w:val="005c3759"/>
    <w:rPr>
      <w:vertAlign w:val="superscript"/>
    </w:rPr>
  </w:style>
  <w:style w:type="character" w:styleId="Refdenotaderodap53" w:customStyle="1">
    <w:name w:val="Ref. de nota de rodapé53"/>
    <w:qFormat/>
    <w:rsid w:val="005c3759"/>
    <w:rPr>
      <w:vertAlign w:val="superscript"/>
    </w:rPr>
  </w:style>
  <w:style w:type="character" w:styleId="Refdenotadefim50" w:customStyle="1">
    <w:name w:val="Ref. de nota de fim50"/>
    <w:qFormat/>
    <w:rsid w:val="005c3759"/>
    <w:rPr>
      <w:vertAlign w:val="superscript"/>
    </w:rPr>
  </w:style>
  <w:style w:type="character" w:styleId="Refdenotaderodap54" w:customStyle="1">
    <w:name w:val="Ref. de nota de rodapé54"/>
    <w:qFormat/>
    <w:rsid w:val="005c3759"/>
    <w:rPr>
      <w:vertAlign w:val="superscript"/>
    </w:rPr>
  </w:style>
  <w:style w:type="character" w:styleId="Refdenotadefim51" w:customStyle="1">
    <w:name w:val="Ref. de nota de fim51"/>
    <w:qFormat/>
    <w:rsid w:val="005c3759"/>
    <w:rPr>
      <w:vertAlign w:val="superscript"/>
    </w:rPr>
  </w:style>
  <w:style w:type="character" w:styleId="Refdenotaderodap55" w:customStyle="1">
    <w:name w:val="Ref. de nota de rodapé55"/>
    <w:qFormat/>
    <w:rsid w:val="005c3759"/>
    <w:rPr>
      <w:vertAlign w:val="superscript"/>
    </w:rPr>
  </w:style>
  <w:style w:type="character" w:styleId="Refdenotadefim52" w:customStyle="1">
    <w:name w:val="Ref. de nota de fim52"/>
    <w:qFormat/>
    <w:rsid w:val="005c3759"/>
    <w:rPr>
      <w:vertAlign w:val="superscript"/>
    </w:rPr>
  </w:style>
  <w:style w:type="character" w:styleId="Refdenotaderodap56" w:customStyle="1">
    <w:name w:val="Ref. de nota de rodapé56"/>
    <w:qFormat/>
    <w:rsid w:val="005c3759"/>
    <w:rPr>
      <w:vertAlign w:val="superscript"/>
    </w:rPr>
  </w:style>
  <w:style w:type="character" w:styleId="Refdenotadefim53" w:customStyle="1">
    <w:name w:val="Ref. de nota de fim53"/>
    <w:qFormat/>
    <w:rsid w:val="005c3759"/>
    <w:rPr>
      <w:vertAlign w:val="superscript"/>
    </w:rPr>
  </w:style>
  <w:style w:type="character" w:styleId="Refdenotaderodap57" w:customStyle="1">
    <w:name w:val="Ref. de nota de rodapé57"/>
    <w:qFormat/>
    <w:rsid w:val="005c3759"/>
    <w:rPr>
      <w:vertAlign w:val="superscript"/>
    </w:rPr>
  </w:style>
  <w:style w:type="character" w:styleId="Refdenotadefim54" w:customStyle="1">
    <w:name w:val="Ref. de nota de fim54"/>
    <w:qFormat/>
    <w:rsid w:val="005c3759"/>
    <w:rPr>
      <w:vertAlign w:val="superscript"/>
    </w:rPr>
  </w:style>
  <w:style w:type="character" w:styleId="Refdenotaderodap58" w:customStyle="1">
    <w:name w:val="Ref. de nota de rodapé58"/>
    <w:qFormat/>
    <w:rsid w:val="005c3759"/>
    <w:rPr>
      <w:vertAlign w:val="superscript"/>
    </w:rPr>
  </w:style>
  <w:style w:type="character" w:styleId="Refdenotadefim55" w:customStyle="1">
    <w:name w:val="Ref. de nota de fim55"/>
    <w:qFormat/>
    <w:rsid w:val="005c3759"/>
    <w:rPr>
      <w:vertAlign w:val="superscript"/>
    </w:rPr>
  </w:style>
  <w:style w:type="character" w:styleId="Refdenotaderodap59" w:customStyle="1">
    <w:name w:val="Ref. de nota de rodapé59"/>
    <w:qFormat/>
    <w:rsid w:val="005c3759"/>
    <w:rPr>
      <w:vertAlign w:val="superscript"/>
    </w:rPr>
  </w:style>
  <w:style w:type="character" w:styleId="Refdenotadefim56" w:customStyle="1">
    <w:name w:val="Ref. de nota de fim56"/>
    <w:qFormat/>
    <w:rsid w:val="005c3759"/>
    <w:rPr>
      <w:vertAlign w:val="superscript"/>
    </w:rPr>
  </w:style>
  <w:style w:type="character" w:styleId="Refdenotaderodap60" w:customStyle="1">
    <w:name w:val="Ref. de nota de rodapé60"/>
    <w:qFormat/>
    <w:rsid w:val="005c3759"/>
    <w:rPr>
      <w:vertAlign w:val="superscript"/>
    </w:rPr>
  </w:style>
  <w:style w:type="character" w:styleId="Refdenotadefim57" w:customStyle="1">
    <w:name w:val="Ref. de nota de fim57"/>
    <w:qFormat/>
    <w:rsid w:val="005c3759"/>
    <w:rPr>
      <w:vertAlign w:val="superscript"/>
    </w:rPr>
  </w:style>
  <w:style w:type="character" w:styleId="Refdenotaderodap61" w:customStyle="1">
    <w:name w:val="Ref. de nota de rodapé61"/>
    <w:qFormat/>
    <w:rsid w:val="005c3759"/>
    <w:rPr>
      <w:vertAlign w:val="superscript"/>
    </w:rPr>
  </w:style>
  <w:style w:type="character" w:styleId="Refdenotadefim58" w:customStyle="1">
    <w:name w:val="Ref. de nota de fim58"/>
    <w:qFormat/>
    <w:rsid w:val="005c3759"/>
    <w:rPr>
      <w:vertAlign w:val="superscript"/>
    </w:rPr>
  </w:style>
  <w:style w:type="character" w:styleId="Refdenotaderodap62" w:customStyle="1">
    <w:name w:val="Ref. de nota de rodapé62"/>
    <w:qFormat/>
    <w:rsid w:val="005c3759"/>
    <w:rPr>
      <w:vertAlign w:val="superscript"/>
    </w:rPr>
  </w:style>
  <w:style w:type="character" w:styleId="Refdenotadefim59" w:customStyle="1">
    <w:name w:val="Ref. de nota de fim59"/>
    <w:qFormat/>
    <w:rsid w:val="005c3759"/>
    <w:rPr>
      <w:vertAlign w:val="superscript"/>
    </w:rPr>
  </w:style>
  <w:style w:type="character" w:styleId="Refdenotaderodap63" w:customStyle="1">
    <w:name w:val="Ref. de nota de rodapé63"/>
    <w:qFormat/>
    <w:rsid w:val="005c3759"/>
    <w:rPr>
      <w:vertAlign w:val="superscript"/>
    </w:rPr>
  </w:style>
  <w:style w:type="character" w:styleId="Refdenotadefim60" w:customStyle="1">
    <w:name w:val="Ref. de nota de fim60"/>
    <w:qFormat/>
    <w:rsid w:val="005c3759"/>
    <w:rPr>
      <w:vertAlign w:val="superscript"/>
    </w:rPr>
  </w:style>
  <w:style w:type="character" w:styleId="Refdenotaderodap64" w:customStyle="1">
    <w:name w:val="Ref. de nota de rodapé64"/>
    <w:qFormat/>
    <w:rsid w:val="005c3759"/>
    <w:rPr>
      <w:vertAlign w:val="superscript"/>
    </w:rPr>
  </w:style>
  <w:style w:type="character" w:styleId="Refdenotadefim61" w:customStyle="1">
    <w:name w:val="Ref. de nota de fim61"/>
    <w:qFormat/>
    <w:rsid w:val="005c3759"/>
    <w:rPr>
      <w:vertAlign w:val="superscript"/>
    </w:rPr>
  </w:style>
  <w:style w:type="character" w:styleId="Refdenotaderodap65" w:customStyle="1">
    <w:name w:val="Ref. de nota de rodapé65"/>
    <w:qFormat/>
    <w:rsid w:val="005c3759"/>
    <w:rPr>
      <w:vertAlign w:val="superscript"/>
    </w:rPr>
  </w:style>
  <w:style w:type="character" w:styleId="Refdenotadefim62" w:customStyle="1">
    <w:name w:val="Ref. de nota de fim62"/>
    <w:qFormat/>
    <w:rsid w:val="005c3759"/>
    <w:rPr>
      <w:vertAlign w:val="superscript"/>
    </w:rPr>
  </w:style>
  <w:style w:type="character" w:styleId="Refdenotaderodap66" w:customStyle="1">
    <w:name w:val="Ref. de nota de rodapé66"/>
    <w:qFormat/>
    <w:rsid w:val="005c3759"/>
    <w:rPr>
      <w:vertAlign w:val="superscript"/>
    </w:rPr>
  </w:style>
  <w:style w:type="character" w:styleId="Refdenotadefim63" w:customStyle="1">
    <w:name w:val="Ref. de nota de fim63"/>
    <w:qFormat/>
    <w:rsid w:val="005c3759"/>
    <w:rPr>
      <w:vertAlign w:val="superscript"/>
    </w:rPr>
  </w:style>
  <w:style w:type="character" w:styleId="Refdenotadefim64" w:customStyle="1">
    <w:name w:val="Ref. de nota de fim64"/>
    <w:qFormat/>
    <w:rsid w:val="005c3759"/>
    <w:rPr>
      <w:vertAlign w:val="superscript"/>
    </w:rPr>
  </w:style>
  <w:style w:type="character" w:styleId="Refdenotaderodap67" w:customStyle="1">
    <w:name w:val="Ref. de nota de rodapé67"/>
    <w:qFormat/>
    <w:rsid w:val="005c3759"/>
    <w:rPr>
      <w:vertAlign w:val="superscript"/>
    </w:rPr>
  </w:style>
  <w:style w:type="character" w:styleId="Refdenotadefim65" w:customStyle="1">
    <w:name w:val="Ref. de nota de fim65"/>
    <w:qFormat/>
    <w:rsid w:val="005c3759"/>
    <w:rPr>
      <w:vertAlign w:val="superscript"/>
    </w:rPr>
  </w:style>
  <w:style w:type="character" w:styleId="Refdenotaderodap68" w:customStyle="1">
    <w:name w:val="Ref. de nota de rodapé68"/>
    <w:qFormat/>
    <w:rsid w:val="005c3759"/>
    <w:rPr>
      <w:vertAlign w:val="superscript"/>
    </w:rPr>
  </w:style>
  <w:style w:type="character" w:styleId="Refdenotadefim66" w:customStyle="1">
    <w:name w:val="Ref. de nota de fim66"/>
    <w:qFormat/>
    <w:rsid w:val="005c3759"/>
    <w:rPr>
      <w:vertAlign w:val="superscript"/>
    </w:rPr>
  </w:style>
  <w:style w:type="character" w:styleId="Refdenotaderodap69" w:customStyle="1">
    <w:name w:val="Ref. de nota de rodapé69"/>
    <w:qFormat/>
    <w:rsid w:val="005c3759"/>
    <w:rPr>
      <w:vertAlign w:val="superscript"/>
    </w:rPr>
  </w:style>
  <w:style w:type="character" w:styleId="Refdenotadefim67" w:customStyle="1">
    <w:name w:val="Ref. de nota de fim67"/>
    <w:qFormat/>
    <w:rsid w:val="005c3759"/>
    <w:rPr>
      <w:vertAlign w:val="superscript"/>
    </w:rPr>
  </w:style>
  <w:style w:type="character" w:styleId="Refdenotaderodap70" w:customStyle="1">
    <w:name w:val="Ref. de nota de rodapé70"/>
    <w:qFormat/>
    <w:rsid w:val="005c3759"/>
    <w:rPr>
      <w:vertAlign w:val="superscript"/>
    </w:rPr>
  </w:style>
  <w:style w:type="character" w:styleId="Refdenotaderodap72" w:customStyle="1">
    <w:name w:val="Ref. de nota de rodapé72"/>
    <w:qFormat/>
    <w:rsid w:val="005c3759"/>
    <w:rPr>
      <w:vertAlign w:val="superscript"/>
    </w:rPr>
  </w:style>
  <w:style w:type="character" w:styleId="Refdenotadefim69" w:customStyle="1">
    <w:name w:val="Ref. de nota de fim69"/>
    <w:qFormat/>
    <w:rsid w:val="005c3759"/>
    <w:rPr>
      <w:vertAlign w:val="superscript"/>
    </w:rPr>
  </w:style>
  <w:style w:type="character" w:styleId="Refdenotaderodap71" w:customStyle="1">
    <w:name w:val="Ref. de nota de rodapé71"/>
    <w:qFormat/>
    <w:rsid w:val="005c3759"/>
    <w:rPr>
      <w:vertAlign w:val="superscript"/>
    </w:rPr>
  </w:style>
  <w:style w:type="character" w:styleId="Refdenotadefim68" w:customStyle="1">
    <w:name w:val="Ref. de nota de fim68"/>
    <w:qFormat/>
    <w:rsid w:val="005c3759"/>
    <w:rPr>
      <w:vertAlign w:val="superscript"/>
    </w:rPr>
  </w:style>
  <w:style w:type="character" w:styleId="Refdenotaderodap73" w:customStyle="1">
    <w:name w:val="Ref. de nota de rodapé73"/>
    <w:qFormat/>
    <w:rsid w:val="005c3759"/>
    <w:rPr>
      <w:vertAlign w:val="superscript"/>
    </w:rPr>
  </w:style>
  <w:style w:type="character" w:styleId="Refdenotadefim70" w:customStyle="1">
    <w:name w:val="Ref. de nota de fim70"/>
    <w:qFormat/>
    <w:rsid w:val="005c3759"/>
    <w:rPr>
      <w:vertAlign w:val="superscript"/>
    </w:rPr>
  </w:style>
  <w:style w:type="character" w:styleId="Refdenotaderodap74" w:customStyle="1">
    <w:name w:val="Ref. de nota de rodapé74"/>
    <w:qFormat/>
    <w:rsid w:val="005c3759"/>
    <w:rPr>
      <w:vertAlign w:val="superscript"/>
    </w:rPr>
  </w:style>
  <w:style w:type="character" w:styleId="Refdenotadefim71" w:customStyle="1">
    <w:name w:val="Ref. de nota de fim71"/>
    <w:qFormat/>
    <w:rsid w:val="005c3759"/>
    <w:rPr>
      <w:vertAlign w:val="superscript"/>
    </w:rPr>
  </w:style>
  <w:style w:type="character" w:styleId="WW8Num11z3" w:customStyle="1">
    <w:name w:val="WW8Num11z3"/>
    <w:qFormat/>
    <w:rsid w:val="005c3759"/>
    <w:rPr>
      <w:rFonts w:ascii="Symbol" w:hAnsi="Symbol" w:cs="Symbol"/>
    </w:rPr>
  </w:style>
  <w:style w:type="character" w:styleId="WW8Num11z1" w:customStyle="1">
    <w:name w:val="WW8Num11z1"/>
    <w:qFormat/>
    <w:rsid w:val="005c3759"/>
    <w:rPr>
      <w:rFonts w:ascii="Courier New" w:hAnsi="Courier New" w:cs="Courier New"/>
    </w:rPr>
  </w:style>
  <w:style w:type="character" w:styleId="WW8Num7z3" w:customStyle="1">
    <w:name w:val="WW8Num7z3"/>
    <w:qFormat/>
    <w:rsid w:val="005c3759"/>
    <w:rPr>
      <w:rFonts w:ascii="Symbol" w:hAnsi="Symbol" w:cs="OpenSymbol"/>
    </w:rPr>
  </w:style>
  <w:style w:type="character" w:styleId="WW8Num7z1" w:customStyle="1">
    <w:name w:val="WW8Num7z1"/>
    <w:qFormat/>
    <w:rsid w:val="005c3759"/>
    <w:rPr>
      <w:rFonts w:ascii="OpenSymbol" w:hAnsi="OpenSymbol" w:cs="OpenSymbol"/>
    </w:rPr>
  </w:style>
  <w:style w:type="character" w:styleId="WW8Num4z4" w:customStyle="1">
    <w:name w:val="WW8Num4z4"/>
    <w:qFormat/>
    <w:rsid w:val="005c3759"/>
    <w:rPr>
      <w:rFonts w:ascii="Courier New" w:hAnsi="Courier New" w:cs="Courier New"/>
    </w:rPr>
  </w:style>
  <w:style w:type="character" w:styleId="Refdenotaderodap75" w:customStyle="1">
    <w:name w:val="Ref. de nota de rodapé75"/>
    <w:qFormat/>
    <w:rsid w:val="005c3759"/>
    <w:rPr>
      <w:vertAlign w:val="superscript"/>
    </w:rPr>
  </w:style>
  <w:style w:type="character" w:styleId="Refdenotadefim72" w:customStyle="1">
    <w:name w:val="Ref. de nota de fim72"/>
    <w:qFormat/>
    <w:rsid w:val="005c3759"/>
    <w:rPr>
      <w:vertAlign w:val="superscript"/>
    </w:rPr>
  </w:style>
  <w:style w:type="character" w:styleId="Refdenotaderodap76" w:customStyle="1">
    <w:name w:val="Ref. de nota de rodapé76"/>
    <w:qFormat/>
    <w:rsid w:val="005c3759"/>
    <w:rPr>
      <w:vertAlign w:val="superscript"/>
    </w:rPr>
  </w:style>
  <w:style w:type="character" w:styleId="Refdenotadefim73" w:customStyle="1">
    <w:name w:val="Ref. de nota de fim73"/>
    <w:qFormat/>
    <w:rsid w:val="005c3759"/>
    <w:rPr>
      <w:vertAlign w:val="superscript"/>
    </w:rPr>
  </w:style>
  <w:style w:type="character" w:styleId="Refdenotaderodap77" w:customStyle="1">
    <w:name w:val="Ref. de nota de rodapé77"/>
    <w:qFormat/>
    <w:rsid w:val="005c3759"/>
    <w:rPr>
      <w:vertAlign w:val="superscript"/>
    </w:rPr>
  </w:style>
  <w:style w:type="character" w:styleId="Refdenotadefim74" w:customStyle="1">
    <w:name w:val="Ref. de nota de fim74"/>
    <w:qFormat/>
    <w:rsid w:val="005c3759"/>
    <w:rPr>
      <w:vertAlign w:val="superscript"/>
    </w:rPr>
  </w:style>
  <w:style w:type="character" w:styleId="Refdenotaderodap78" w:customStyle="1">
    <w:name w:val="Ref. de nota de rodapé78"/>
    <w:qFormat/>
    <w:rsid w:val="005c3759"/>
    <w:rPr>
      <w:vertAlign w:val="superscript"/>
    </w:rPr>
  </w:style>
  <w:style w:type="character" w:styleId="Refdenotadefim75" w:customStyle="1">
    <w:name w:val="Ref. de nota de fim75"/>
    <w:qFormat/>
    <w:rsid w:val="005c3759"/>
    <w:rPr>
      <w:vertAlign w:val="superscript"/>
    </w:rPr>
  </w:style>
  <w:style w:type="character" w:styleId="Refdenotaderodap79" w:customStyle="1">
    <w:name w:val="Ref. de nota de rodapé79"/>
    <w:qFormat/>
    <w:rsid w:val="005c3759"/>
    <w:rPr>
      <w:vertAlign w:val="superscript"/>
    </w:rPr>
  </w:style>
  <w:style w:type="character" w:styleId="Refdenotadefim76" w:customStyle="1">
    <w:name w:val="Ref. de nota de fim76"/>
    <w:qFormat/>
    <w:rsid w:val="005c3759"/>
    <w:rPr>
      <w:vertAlign w:val="superscript"/>
    </w:rPr>
  </w:style>
  <w:style w:type="character" w:styleId="Refdenotaderodap80" w:customStyle="1">
    <w:name w:val="Ref. de nota de rodapé80"/>
    <w:qFormat/>
    <w:rsid w:val="005c3759"/>
    <w:rPr>
      <w:vertAlign w:val="superscript"/>
    </w:rPr>
  </w:style>
  <w:style w:type="character" w:styleId="Refdenotadefim77" w:customStyle="1">
    <w:name w:val="Ref. de nota de fim77"/>
    <w:qFormat/>
    <w:rsid w:val="005c3759"/>
    <w:rPr>
      <w:vertAlign w:val="superscript"/>
    </w:rPr>
  </w:style>
  <w:style w:type="character" w:styleId="Refdenotaderodap81" w:customStyle="1">
    <w:name w:val="Ref. de nota de rodapé81"/>
    <w:qFormat/>
    <w:rsid w:val="005c3759"/>
    <w:rPr>
      <w:vertAlign w:val="superscript"/>
    </w:rPr>
  </w:style>
  <w:style w:type="character" w:styleId="Refdenotadefim78" w:customStyle="1">
    <w:name w:val="Ref. de nota de fim78"/>
    <w:qFormat/>
    <w:rsid w:val="005c3759"/>
    <w:rPr>
      <w:vertAlign w:val="superscript"/>
    </w:rPr>
  </w:style>
  <w:style w:type="character" w:styleId="Refdenotaderodap82" w:customStyle="1">
    <w:name w:val="Ref. de nota de rodapé82"/>
    <w:qFormat/>
    <w:rsid w:val="005c3759"/>
    <w:rPr>
      <w:vertAlign w:val="superscript"/>
    </w:rPr>
  </w:style>
  <w:style w:type="character" w:styleId="Refdenotadefim79" w:customStyle="1">
    <w:name w:val="Ref. de nota de fim79"/>
    <w:qFormat/>
    <w:rsid w:val="005c3759"/>
    <w:rPr>
      <w:vertAlign w:val="superscript"/>
    </w:rPr>
  </w:style>
  <w:style w:type="character" w:styleId="Refdenotaderodap83" w:customStyle="1">
    <w:name w:val="Ref. de nota de rodapé83"/>
    <w:qFormat/>
    <w:rsid w:val="005c3759"/>
    <w:rPr>
      <w:vertAlign w:val="superscript"/>
    </w:rPr>
  </w:style>
  <w:style w:type="character" w:styleId="Refdenotadefim80" w:customStyle="1">
    <w:name w:val="Ref. de nota de fim80"/>
    <w:qFormat/>
    <w:rsid w:val="005c3759"/>
    <w:rPr>
      <w:vertAlign w:val="superscript"/>
    </w:rPr>
  </w:style>
  <w:style w:type="character" w:styleId="Refdenotaderodap84" w:customStyle="1">
    <w:name w:val="Ref. de nota de rodapé84"/>
    <w:qFormat/>
    <w:rsid w:val="005c3759"/>
    <w:rPr>
      <w:vertAlign w:val="superscript"/>
    </w:rPr>
  </w:style>
  <w:style w:type="character" w:styleId="Refdenotadefim81" w:customStyle="1">
    <w:name w:val="Ref. de nota de fim81"/>
    <w:qFormat/>
    <w:rsid w:val="005c3759"/>
    <w:rPr>
      <w:vertAlign w:val="superscript"/>
    </w:rPr>
  </w:style>
  <w:style w:type="character" w:styleId="Refdenotaderodap85" w:customStyle="1">
    <w:name w:val="Ref. de nota de rodapé85"/>
    <w:qFormat/>
    <w:rsid w:val="005c3759"/>
    <w:rPr>
      <w:vertAlign w:val="superscript"/>
    </w:rPr>
  </w:style>
  <w:style w:type="character" w:styleId="Refdenotadefim82" w:customStyle="1">
    <w:name w:val="Ref. de nota de fim82"/>
    <w:qFormat/>
    <w:rsid w:val="005c3759"/>
    <w:rPr>
      <w:vertAlign w:val="superscript"/>
    </w:rPr>
  </w:style>
  <w:style w:type="character" w:styleId="Refdenotaderodap86" w:customStyle="1">
    <w:name w:val="Ref. de nota de rodapé86"/>
    <w:qFormat/>
    <w:rsid w:val="005c3759"/>
    <w:rPr>
      <w:vertAlign w:val="superscript"/>
    </w:rPr>
  </w:style>
  <w:style w:type="character" w:styleId="Refdenotadefim83" w:customStyle="1">
    <w:name w:val="Ref. de nota de fim83"/>
    <w:qFormat/>
    <w:rsid w:val="005c3759"/>
    <w:rPr>
      <w:vertAlign w:val="superscript"/>
    </w:rPr>
  </w:style>
  <w:style w:type="character" w:styleId="Refdenotaderodap87" w:customStyle="1">
    <w:name w:val="Ref. de nota de rodapé87"/>
    <w:qFormat/>
    <w:rsid w:val="005c3759"/>
    <w:rPr>
      <w:vertAlign w:val="superscript"/>
    </w:rPr>
  </w:style>
  <w:style w:type="character" w:styleId="Refdenotadefim84" w:customStyle="1">
    <w:name w:val="Ref. de nota de fim84"/>
    <w:qFormat/>
    <w:rsid w:val="005c3759"/>
    <w:rPr>
      <w:vertAlign w:val="superscript"/>
    </w:rPr>
  </w:style>
  <w:style w:type="character" w:styleId="Refdenotaderodap88" w:customStyle="1">
    <w:name w:val="Ref. de nota de rodapé88"/>
    <w:qFormat/>
    <w:rsid w:val="005c3759"/>
    <w:rPr>
      <w:vertAlign w:val="superscript"/>
    </w:rPr>
  </w:style>
  <w:style w:type="character" w:styleId="Refdenotadefim85" w:customStyle="1">
    <w:name w:val="Ref. de nota de fim85"/>
    <w:qFormat/>
    <w:rsid w:val="005c3759"/>
    <w:rPr>
      <w:vertAlign w:val="superscript"/>
    </w:rPr>
  </w:style>
  <w:style w:type="character" w:styleId="Refdenotaderodap89" w:customStyle="1">
    <w:name w:val="Ref. de nota de rodapé89"/>
    <w:qFormat/>
    <w:rsid w:val="005c3759"/>
    <w:rPr>
      <w:vertAlign w:val="superscript"/>
    </w:rPr>
  </w:style>
  <w:style w:type="character" w:styleId="Refdenotadefim86" w:customStyle="1">
    <w:name w:val="Ref. de nota de fim86"/>
    <w:qFormat/>
    <w:rsid w:val="005c3759"/>
    <w:rPr>
      <w:vertAlign w:val="superscript"/>
    </w:rPr>
  </w:style>
  <w:style w:type="character" w:styleId="Refdenotaderodap90" w:customStyle="1">
    <w:name w:val="Ref. de nota de rodapé90"/>
    <w:qFormat/>
    <w:rsid w:val="005c3759"/>
    <w:rPr>
      <w:vertAlign w:val="superscript"/>
    </w:rPr>
  </w:style>
  <w:style w:type="character" w:styleId="Refdenotadefim87" w:customStyle="1">
    <w:name w:val="Ref. de nota de fim87"/>
    <w:qFormat/>
    <w:rsid w:val="005c3759"/>
    <w:rPr>
      <w:vertAlign w:val="superscript"/>
    </w:rPr>
  </w:style>
  <w:style w:type="character" w:styleId="Refdenotaderodap91" w:customStyle="1">
    <w:name w:val="Ref. de nota de rodapé91"/>
    <w:qFormat/>
    <w:rsid w:val="005c3759"/>
    <w:rPr>
      <w:vertAlign w:val="superscript"/>
    </w:rPr>
  </w:style>
  <w:style w:type="character" w:styleId="Refdenotadefim88" w:customStyle="1">
    <w:name w:val="Ref. de nota de fim88"/>
    <w:qFormat/>
    <w:rsid w:val="005c3759"/>
    <w:rPr>
      <w:vertAlign w:val="superscript"/>
    </w:rPr>
  </w:style>
  <w:style w:type="character" w:styleId="CabealhoChar1" w:customStyle="1">
    <w:name w:val="Cabeçalho Char1"/>
    <w:qFormat/>
    <w:rsid w:val="005c3759"/>
    <w:rPr>
      <w:kern w:val="2"/>
      <w:lang w:val="x-none" w:eastAsia="zh-CN"/>
    </w:rPr>
  </w:style>
  <w:style w:type="character" w:styleId="Refdecomentrio4" w:customStyle="1">
    <w:name w:val="Ref. de comentário4"/>
    <w:qFormat/>
    <w:rsid w:val="005c3759"/>
    <w:rPr>
      <w:sz w:val="16"/>
      <w:szCs w:val="16"/>
    </w:rPr>
  </w:style>
  <w:style w:type="character" w:styleId="TextodecomentrioChar" w:customStyle="1">
    <w:name w:val="Texto de comentário Char"/>
    <w:qFormat/>
    <w:rsid w:val="005c3759"/>
    <w:rPr>
      <w:rFonts w:ascii="Ecofont_Spranq_eco_Sans" w:hAnsi="Ecofont_Spranq_eco_Sans" w:eastAsia="MS Mincho" w:cs="Tahoma"/>
    </w:rPr>
  </w:style>
  <w:style w:type="character" w:styleId="Nivel01Char" w:customStyle="1">
    <w:name w:val="Nivel 01 Char"/>
    <w:qFormat/>
    <w:rsid w:val="005c3759"/>
    <w:rPr>
      <w:rFonts w:ascii="Arial" w:hAnsi="Arial" w:eastAsia="MS Gothic" w:cs="Arial"/>
      <w:b/>
      <w:bCs/>
    </w:rPr>
  </w:style>
  <w:style w:type="character" w:styleId="Nivel2Char" w:customStyle="1">
    <w:name w:val="Nivel 2 Char"/>
    <w:qFormat/>
    <w:rsid w:val="005c3759"/>
    <w:rPr>
      <w:rFonts w:ascii="Arial" w:hAnsi="Arial" w:eastAsia="MS Mincho" w:cs="Arial"/>
      <w:color w:val="000000"/>
    </w:rPr>
  </w:style>
  <w:style w:type="character" w:styleId="citao2Char" w:customStyle="1">
    <w:name w:val="citação 2 Char"/>
    <w:qFormat/>
    <w:rsid w:val="005c3759"/>
    <w:rPr>
      <w:rFonts w:ascii="Arial" w:hAnsi="Arial" w:eastAsia="Calibri" w:cs="Tahoma"/>
      <w:i/>
      <w:iCs/>
      <w:color w:val="000000"/>
      <w:shd w:fill="FFFFCC" w:val="clear"/>
    </w:rPr>
  </w:style>
  <w:style w:type="character" w:styleId="Nivel4Char" w:customStyle="1">
    <w:name w:val="Nivel 4 Char"/>
    <w:qFormat/>
    <w:rsid w:val="005c3759"/>
    <w:rPr>
      <w:rFonts w:ascii="Arial" w:hAnsi="Arial" w:eastAsia="MS Mincho" w:cs="Arial"/>
    </w:rPr>
  </w:style>
  <w:style w:type="character" w:styleId="PargrafodaListaChar" w:customStyle="1">
    <w:name w:val="Parágrafo da Lista Char"/>
    <w:uiPriority w:val="34"/>
    <w:qFormat/>
    <w:rsid w:val="005c3759"/>
    <w:rPr>
      <w:kern w:val="2"/>
      <w:sz w:val="24"/>
      <w:szCs w:val="24"/>
      <w:lang w:eastAsia="zh-CN"/>
    </w:rPr>
  </w:style>
  <w:style w:type="character" w:styleId="Nivel3Char" w:customStyle="1">
    <w:name w:val="Nivel 3 Char"/>
    <w:qFormat/>
    <w:rsid w:val="005c3759"/>
    <w:rPr>
      <w:rFonts w:ascii="Arial" w:hAnsi="Arial" w:eastAsia="MS Mincho" w:cs="Arial"/>
      <w:color w:val="000000"/>
    </w:rPr>
  </w:style>
  <w:style w:type="character" w:styleId="UnresolvedMention">
    <w:name w:val="Unresolved Mention"/>
    <w:qFormat/>
    <w:rsid w:val="005c3759"/>
    <w:rPr>
      <w:color w:val="605E5C"/>
      <w:shd w:fill="E1DFDD" w:val="clear"/>
    </w:rPr>
  </w:style>
  <w:style w:type="character" w:styleId="AssuntodocomentrioChar" w:customStyle="1">
    <w:name w:val="Assunto do comentário Char"/>
    <w:qFormat/>
    <w:rsid w:val="005c3759"/>
    <w:rPr>
      <w:rFonts w:ascii="Ecofont_Spranq_eco_Sans" w:hAnsi="Ecofont_Spranq_eco_Sans" w:eastAsia="MS Mincho" w:cs="Tahoma"/>
      <w:b/>
      <w:bCs/>
      <w:kern w:val="2"/>
      <w:lang w:eastAsia="zh-CN"/>
    </w:rPr>
  </w:style>
  <w:style w:type="character" w:styleId="Nvel2-RedChar" w:customStyle="1">
    <w:name w:val="Nível 2 -Red Char"/>
    <w:qFormat/>
    <w:rsid w:val="005c3759"/>
    <w:rPr>
      <w:rFonts w:ascii="Arial" w:hAnsi="Arial" w:cs="Arial"/>
      <w:i/>
      <w:iCs/>
      <w:color w:val="FF0000"/>
    </w:rPr>
  </w:style>
  <w:style w:type="character" w:styleId="ouChar" w:customStyle="1">
    <w:name w:val="ou Char"/>
    <w:qFormat/>
    <w:rsid w:val="005c3759"/>
    <w:rPr>
      <w:rFonts w:ascii="Arial" w:hAnsi="Arial" w:eastAsia="Calibri" w:cs="Arial"/>
      <w:b/>
      <w:bCs/>
      <w:i/>
      <w:iCs/>
      <w:color w:val="FF0000"/>
      <w:sz w:val="24"/>
      <w:szCs w:val="24"/>
      <w:u w:val="single"/>
    </w:rPr>
  </w:style>
  <w:style w:type="character" w:styleId="Nvel3-RChar" w:customStyle="1">
    <w:name w:val="Nível 3-R Char"/>
    <w:qFormat/>
    <w:rsid w:val="005c3759"/>
    <w:rPr>
      <w:rFonts w:ascii="Arial" w:hAnsi="Arial" w:cs="Arial"/>
      <w:i/>
      <w:iCs/>
      <w:color w:val="FF0000"/>
    </w:rPr>
  </w:style>
  <w:style w:type="character" w:styleId="Nvel4-RChar" w:customStyle="1">
    <w:name w:val="Nível 4-R Char"/>
    <w:qFormat/>
    <w:rsid w:val="005c3759"/>
    <w:rPr>
      <w:rFonts w:ascii="Arial" w:hAnsi="Arial" w:eastAsia="MS Mincho" w:cs="Arial"/>
      <w:i/>
      <w:iCs/>
      <w:color w:val="FF0000"/>
    </w:rPr>
  </w:style>
  <w:style w:type="character" w:styleId="Nvel1-SemNumChar" w:customStyle="1">
    <w:name w:val="Nível 1-Sem Num Char"/>
    <w:qFormat/>
    <w:rsid w:val="005c3759"/>
    <w:rPr>
      <w:rFonts w:ascii="Arial" w:hAnsi="Arial" w:eastAsia="MS Gothic" w:cs="Arial"/>
      <w:b/>
      <w:bCs/>
      <w:color w:val="FF0000"/>
    </w:rPr>
  </w:style>
  <w:style w:type="character" w:styleId="CorpodetextoChar1" w:customStyle="1">
    <w:name w:val="Corpo de texto Char1"/>
    <w:basedOn w:val="DefaultParagraphFont"/>
    <w:qFormat/>
    <w:rsid w:val="005c3759"/>
    <w:rPr>
      <w:rFonts w:ascii="Times New Roman" w:hAnsi="Times New Roman" w:eastAsia="Times New Roman" w:cs="Times New Roman"/>
      <w:sz w:val="20"/>
      <w:szCs w:val="20"/>
      <w:lang w:eastAsia="zh-CN"/>
      <w14:ligatures w14:val="none"/>
    </w:rPr>
  </w:style>
  <w:style w:type="character" w:styleId="CabealhoChar2" w:customStyle="1">
    <w:name w:val="Cabeçalho Char2"/>
    <w:basedOn w:val="DefaultParagraphFont"/>
    <w:qFormat/>
    <w:rsid w:val="005c3759"/>
    <w:rPr>
      <w:rFonts w:ascii="Times New Roman" w:hAnsi="Times New Roman" w:eastAsia="Times New Roman" w:cs="Times New Roman"/>
      <w:sz w:val="20"/>
      <w:szCs w:val="20"/>
      <w:lang w:val="x-none" w:eastAsia="zh-CN"/>
      <w14:ligatures w14:val="none"/>
    </w:rPr>
  </w:style>
  <w:style w:type="character" w:styleId="RodapChar1" w:customStyle="1">
    <w:name w:val="Rodapé Char1"/>
    <w:basedOn w:val="DefaultParagraphFont"/>
    <w:uiPriority w:val="99"/>
    <w:qFormat/>
    <w:rsid w:val="005c3759"/>
    <w:rPr>
      <w:rFonts w:ascii="Times New Roman" w:hAnsi="Times New Roman" w:eastAsia="Times New Roman" w:cs="Times New Roman"/>
      <w:sz w:val="20"/>
      <w:szCs w:val="20"/>
      <w:lang w:eastAsia="zh-CN"/>
      <w14:ligatures w14:val="none"/>
    </w:rPr>
  </w:style>
  <w:style w:type="character" w:styleId="RecuodecorpodetextoChar1" w:customStyle="1">
    <w:name w:val="Recuo de corpo de texto Char1"/>
    <w:basedOn w:val="DefaultParagraphFont"/>
    <w:link w:val="BodyTextIndented"/>
    <w:qFormat/>
    <w:rsid w:val="005c3759"/>
    <w:rPr>
      <w:rFonts w:ascii="Times New Roman" w:hAnsi="Times New Roman" w:eastAsia="Times New Roman" w:cs="Times New Roman"/>
      <w:sz w:val="20"/>
      <w:szCs w:val="20"/>
      <w:lang w:val="x-none" w:eastAsia="zh-CN"/>
      <w14:ligatures w14:val="none"/>
    </w:rPr>
  </w:style>
  <w:style w:type="character" w:styleId="TextodenotaderodapChar1" w:customStyle="1">
    <w:name w:val="Texto de nota de rodapé Char1"/>
    <w:basedOn w:val="DefaultParagraphFont"/>
    <w:qFormat/>
    <w:rsid w:val="005c3759"/>
    <w:rPr>
      <w:rFonts w:ascii="Times New Roman" w:hAnsi="Times New Roman" w:eastAsia="Times New Roman" w:cs="Times New Roman"/>
      <w:sz w:val="20"/>
      <w:szCs w:val="20"/>
      <w:lang w:eastAsia="zh-CN"/>
      <w14:ligatures w14:val="none"/>
    </w:rPr>
  </w:style>
  <w:style w:type="character" w:styleId="TextodebaloChar1" w:customStyle="1">
    <w:name w:val="Texto de balão Char1"/>
    <w:basedOn w:val="DefaultParagraphFont"/>
    <w:link w:val="BalloonText"/>
    <w:qFormat/>
    <w:rsid w:val="005c3759"/>
    <w:rPr>
      <w:rFonts w:ascii="Tahoma" w:hAnsi="Tahoma" w:eastAsia="Times New Roman" w:cs="Tahoma"/>
      <w:sz w:val="16"/>
      <w:szCs w:val="16"/>
      <w:lang w:eastAsia="zh-CN"/>
      <w14:ligatures w14:val="none"/>
    </w:rPr>
  </w:style>
  <w:style w:type="character" w:styleId="TextodenotadefimChar1" w:customStyle="1">
    <w:name w:val="Texto de nota de fim Char1"/>
    <w:basedOn w:val="DefaultParagraphFont"/>
    <w:qFormat/>
    <w:rsid w:val="005c3759"/>
    <w:rPr>
      <w:rFonts w:ascii="Times New Roman" w:hAnsi="Times New Roman" w:eastAsia="Times New Roman" w:cs="Times New Roman"/>
      <w:sz w:val="20"/>
      <w:szCs w:val="20"/>
      <w:lang w:eastAsia="zh-CN"/>
      <w14:ligatures w14:val="none"/>
    </w:rPr>
  </w:style>
  <w:style w:type="character" w:styleId="TextodecomentrioChar1" w:customStyle="1">
    <w:name w:val="Texto de comentário Char1"/>
    <w:basedOn w:val="DefaultParagraphFont"/>
    <w:uiPriority w:val="99"/>
    <w:semiHidden/>
    <w:qFormat/>
    <w:rsid w:val="005c3759"/>
    <w:rPr>
      <w:rFonts w:ascii="Times New Roman" w:hAnsi="Times New Roman" w:eastAsia="Times New Roman" w:cs="Times New Roman"/>
      <w:sz w:val="20"/>
      <w:szCs w:val="20"/>
      <w:lang w:eastAsia="zh-CN"/>
      <w14:ligatures w14:val="none"/>
    </w:rPr>
  </w:style>
  <w:style w:type="character" w:styleId="AssuntodocomentrioChar1" w:customStyle="1">
    <w:name w:val="Assunto do comentário Char1"/>
    <w:basedOn w:val="TextodecomentrioChar1"/>
    <w:link w:val="annotationsubject"/>
    <w:qFormat/>
    <w:rsid w:val="005c3759"/>
    <w:rPr>
      <w:rFonts w:ascii="Times New Roman" w:hAnsi="Times New Roman" w:eastAsia="Times New Roman" w:cs="Times New Roman"/>
      <w:b/>
      <w:bCs/>
      <w:sz w:val="20"/>
      <w:szCs w:val="20"/>
      <w:lang w:eastAsia="zh-CN"/>
      <w14:ligatures w14:val="non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1"/>
    <w:rsid w:val="005c3759"/>
    <w:pPr>
      <w:spacing w:before="0" w:after="120"/>
    </w:pPr>
    <w:rPr/>
  </w:style>
  <w:style w:type="paragraph" w:styleId="List">
    <w:name w:val="List"/>
    <w:basedOn w:val="BodyText"/>
    <w:rsid w:val="005c3759"/>
    <w:pPr/>
    <w:rPr>
      <w:rFonts w:cs="Tahoma"/>
      <w:sz w:val="24"/>
      <w:szCs w:val="24"/>
    </w:rPr>
  </w:style>
  <w:style w:type="paragraph" w:styleId="Caption">
    <w:name w:val="caption"/>
    <w:basedOn w:val="Normal"/>
    <w:qFormat/>
    <w:rsid w:val="005c3759"/>
    <w:pPr>
      <w:suppressLineNumbers/>
      <w:spacing w:before="120" w:after="120"/>
    </w:pPr>
    <w:rPr>
      <w:rFonts w:cs="Mangal"/>
      <w:i/>
      <w:iCs/>
      <w:sz w:val="24"/>
      <w:szCs w:val="24"/>
    </w:rPr>
  </w:style>
  <w:style w:type="paragraph" w:styleId="ndice" w:customStyle="1">
    <w:name w:val="Índice"/>
    <w:basedOn w:val="Normal"/>
    <w:qFormat/>
    <w:rsid w:val="005c3759"/>
    <w:pPr>
      <w:suppressLineNumbers/>
    </w:pPr>
    <w:rPr>
      <w:rFonts w:cs="Tahoma"/>
      <w:sz w:val="24"/>
      <w:szCs w:val="24"/>
    </w:rPr>
  </w:style>
  <w:style w:type="paragraph" w:styleId="Title">
    <w:name w:val="Title"/>
    <w:basedOn w:val="Normal"/>
    <w:next w:val="BodyText"/>
    <w:link w:val="TtuloChar"/>
    <w:uiPriority w:val="10"/>
    <w:qFormat/>
    <w:rsid w:val="005c3759"/>
    <w:pPr>
      <w:spacing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SubttuloChar"/>
    <w:uiPriority w:val="11"/>
    <w:qFormat/>
    <w:rsid w:val="005c375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qFormat/>
    <w:rsid w:val="005c3759"/>
    <w:pPr>
      <w:spacing w:before="160" w:after="0"/>
      <w:jc w:val="center"/>
    </w:pPr>
    <w:rPr>
      <w:i/>
      <w:iCs/>
      <w:color w:themeColor="text1" w:themeTint="bf" w:val="404040"/>
    </w:rPr>
  </w:style>
  <w:style w:type="paragraph" w:styleId="ListParagraph">
    <w:name w:val="List Paragraph"/>
    <w:basedOn w:val="Normal"/>
    <w:qFormat/>
    <w:rsid w:val="005c3759"/>
    <w:pPr>
      <w:spacing w:before="0" w:after="0"/>
      <w:ind w:left="720"/>
      <w:contextualSpacing/>
    </w:pPr>
    <w:rPr/>
  </w:style>
  <w:style w:type="paragraph" w:styleId="IntenseQuote">
    <w:name w:val="Intense Quote"/>
    <w:basedOn w:val="Normal"/>
    <w:next w:val="Normal"/>
    <w:link w:val="CitaoIntensaChar"/>
    <w:uiPriority w:val="30"/>
    <w:qFormat/>
    <w:rsid w:val="005c3759"/>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Ttulo137" w:customStyle="1">
    <w:name w:val="Título137"/>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6" w:customStyle="1">
    <w:name w:val="Título136"/>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5" w:customStyle="1">
    <w:name w:val="Título135"/>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4" w:customStyle="1">
    <w:name w:val="Título134"/>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3" w:customStyle="1">
    <w:name w:val="Título133"/>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rsid w:val="005c3759"/>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rsid w:val="005c3759"/>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rsid w:val="005c3759"/>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rsid w:val="005c3759"/>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rsid w:val="005c3759"/>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rsid w:val="005c3759"/>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rsid w:val="005c3759"/>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rsid w:val="005c3759"/>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rsid w:val="005c3759"/>
    <w:pPr>
      <w:widowControl w:val="false"/>
      <w:spacing w:before="10" w:after="0"/>
      <w:jc w:val="center"/>
    </w:pPr>
    <w:rPr>
      <w:b/>
      <w:bCs/>
      <w:sz w:val="32"/>
      <w:szCs w:val="32"/>
    </w:rPr>
  </w:style>
  <w:style w:type="paragraph" w:styleId="CabealhoeRodap" w:customStyle="1">
    <w:name w:val="Cabeçalho e Rodapé"/>
    <w:basedOn w:val="Normal"/>
    <w:qFormat/>
    <w:rsid w:val="005c3759"/>
    <w:pPr>
      <w:suppressLineNumbers/>
      <w:tabs>
        <w:tab w:val="clear" w:pos="708"/>
        <w:tab w:val="center" w:pos="4819" w:leader="none"/>
        <w:tab w:val="right" w:pos="9638" w:leader="none"/>
      </w:tabs>
    </w:pPr>
    <w:rPr/>
  </w:style>
  <w:style w:type="paragraph" w:styleId="Cabealhoerodap1" w:customStyle="1">
    <w:name w:val="Cabeçalho e rodapé1"/>
    <w:basedOn w:val="Normal"/>
    <w:qFormat/>
    <w:rsid w:val="005c3759"/>
    <w:pPr>
      <w:suppressLineNumbers/>
      <w:tabs>
        <w:tab w:val="clear" w:pos="708"/>
        <w:tab w:val="center" w:pos="4819" w:leader="none"/>
        <w:tab w:val="right" w:pos="9638" w:leader="none"/>
      </w:tabs>
    </w:pPr>
    <w:rPr/>
  </w:style>
  <w:style w:type="paragraph" w:styleId="Cabealhoerodap2" w:customStyle="1">
    <w:name w:val="Cabeçalho e rodapé2"/>
    <w:basedOn w:val="Normal"/>
    <w:qFormat/>
    <w:pPr/>
    <w:rPr/>
  </w:style>
  <w:style w:type="paragraph" w:styleId="Cabealhoerodap3" w:customStyle="1">
    <w:name w:val="Cabeçalho e rodapé3"/>
    <w:basedOn w:val="Normal"/>
    <w:qFormat/>
    <w:rsid w:val="00cf1ec6"/>
    <w:pPr>
      <w:suppressLineNumbers/>
      <w:tabs>
        <w:tab w:val="clear" w:pos="708"/>
        <w:tab w:val="center" w:pos="4819" w:leader="none"/>
        <w:tab w:val="right" w:pos="9638" w:leader="none"/>
      </w:tabs>
    </w:pPr>
    <w:rPr>
      <w:rFonts w:ascii="Liberation Serif" w:hAnsi="Liberation Serif" w:eastAsia="NSimSun" w:cs="Arial"/>
      <w:sz w:val="24"/>
      <w:szCs w:val="24"/>
      <w:lang w:bidi="hi-IN"/>
    </w:rPr>
  </w:style>
  <w:style w:type="paragraph" w:styleId="Header">
    <w:name w:val="header"/>
    <w:basedOn w:val="Normal"/>
    <w:link w:val="CabealhoChar2"/>
    <w:rsid w:val="005c3759"/>
    <w:pPr/>
    <w:rPr>
      <w:lang w:val="x-none"/>
    </w:rPr>
  </w:style>
  <w:style w:type="paragraph" w:styleId="Footer">
    <w:name w:val="footer"/>
    <w:basedOn w:val="Normal"/>
    <w:link w:val="RodapChar1"/>
    <w:rsid w:val="005c3759"/>
    <w:pPr/>
    <w:rPr/>
  </w:style>
  <w:style w:type="paragraph" w:styleId="BodyTextIndented" w:customStyle="1">
    <w:name w:val="Body Text;Indented"/>
    <w:basedOn w:val="Normal"/>
    <w:link w:val="RecuodecorpodetextoChar1"/>
    <w:qFormat/>
    <w:rsid w:val="005c3759"/>
    <w:pPr>
      <w:ind w:firstLine="708"/>
      <w:jc w:val="both"/>
    </w:pPr>
    <w:rPr>
      <w:lang w:val="x-none"/>
    </w:rPr>
  </w:style>
  <w:style w:type="paragraph" w:styleId="FootnoteText">
    <w:name w:val="footnote text"/>
    <w:basedOn w:val="Normal"/>
    <w:link w:val="TextodenotaderodapChar1"/>
    <w:rsid w:val="005c3759"/>
    <w:pPr/>
    <w:rPr/>
  </w:style>
  <w:style w:type="paragraph" w:styleId="Recuodecorpodetexto22" w:customStyle="1">
    <w:name w:val="Recuo de corpo de texto 22"/>
    <w:basedOn w:val="Normal"/>
    <w:qFormat/>
    <w:rsid w:val="005c3759"/>
    <w:pPr>
      <w:spacing w:lineRule="auto" w:line="480" w:before="0" w:after="120"/>
      <w:ind w:left="283"/>
    </w:pPr>
    <w:rPr>
      <w:sz w:val="24"/>
      <w:szCs w:val="24"/>
    </w:rPr>
  </w:style>
  <w:style w:type="paragraph" w:styleId="TextosemFormatao1" w:customStyle="1">
    <w:name w:val="Texto sem Formatação1"/>
    <w:basedOn w:val="Normal"/>
    <w:qFormat/>
    <w:rsid w:val="005c3759"/>
    <w:pPr>
      <w:spacing w:before="280" w:after="280"/>
    </w:pPr>
    <w:rPr>
      <w:sz w:val="24"/>
      <w:szCs w:val="24"/>
    </w:rPr>
  </w:style>
  <w:style w:type="paragraph" w:styleId="BalloonText">
    <w:name w:val="Balloon Text"/>
    <w:basedOn w:val="Normal"/>
    <w:link w:val="TextodebaloChar1"/>
    <w:qFormat/>
    <w:rsid w:val="005c3759"/>
    <w:pPr/>
    <w:rPr>
      <w:rFonts w:ascii="Tahoma" w:hAnsi="Tahoma" w:cs="Tahoma"/>
      <w:sz w:val="16"/>
      <w:szCs w:val="16"/>
    </w:rPr>
  </w:style>
  <w:style w:type="paragraph" w:styleId="NormalWeb">
    <w:name w:val="Normal (Web)"/>
    <w:basedOn w:val="Normal"/>
    <w:qFormat/>
    <w:rsid w:val="005c3759"/>
    <w:pPr>
      <w:spacing w:before="280" w:after="280"/>
    </w:pPr>
    <w:rPr>
      <w:sz w:val="24"/>
      <w:szCs w:val="24"/>
    </w:rPr>
  </w:style>
  <w:style w:type="paragraph" w:styleId="msonospacing" w:customStyle="1">
    <w:name w:val="msonospacing"/>
    <w:basedOn w:val="Normal"/>
    <w:qFormat/>
    <w:rsid w:val="005c3759"/>
    <w:pPr>
      <w:spacing w:before="280" w:after="280"/>
    </w:pPr>
    <w:rPr>
      <w:sz w:val="24"/>
      <w:szCs w:val="24"/>
    </w:rPr>
  </w:style>
  <w:style w:type="paragraph" w:styleId="Commarcadores1" w:customStyle="1">
    <w:name w:val="Com marcadores1"/>
    <w:basedOn w:val="Normal"/>
    <w:qFormat/>
    <w:rsid w:val="005c3759"/>
    <w:pPr/>
    <w:rPr>
      <w:sz w:val="24"/>
      <w:szCs w:val="24"/>
    </w:rPr>
  </w:style>
  <w:style w:type="paragraph" w:styleId="Ttulo1" w:customStyle="1">
    <w:name w:val="Título1"/>
    <w:basedOn w:val="Normal"/>
    <w:next w:val="BodyText"/>
    <w:qFormat/>
    <w:rsid w:val="005c3759"/>
    <w:pPr>
      <w:keepNext w:val="true"/>
      <w:spacing w:before="240" w:after="120"/>
    </w:pPr>
    <w:rPr>
      <w:rFonts w:ascii="Arial" w:hAnsi="Arial" w:eastAsia="SimSun" w:cs="Tahoma"/>
      <w:sz w:val="28"/>
      <w:szCs w:val="28"/>
    </w:rPr>
  </w:style>
  <w:style w:type="paragraph" w:styleId="Legenda1" w:customStyle="1">
    <w:name w:val="Legenda1"/>
    <w:basedOn w:val="Normal"/>
    <w:qFormat/>
    <w:rsid w:val="005c3759"/>
    <w:pPr>
      <w:suppressLineNumbers/>
      <w:spacing w:before="120" w:after="120"/>
    </w:pPr>
    <w:rPr>
      <w:rFonts w:cs="Tahoma"/>
      <w:i/>
      <w:iCs/>
      <w:sz w:val="24"/>
      <w:szCs w:val="24"/>
    </w:rPr>
  </w:style>
  <w:style w:type="paragraph" w:styleId="Corpodetexto21" w:customStyle="1">
    <w:name w:val="Corpo de texto 21"/>
    <w:basedOn w:val="Normal"/>
    <w:qFormat/>
    <w:rsid w:val="005c3759"/>
    <w:pPr>
      <w:spacing w:lineRule="auto" w:line="480" w:before="0" w:after="120"/>
    </w:pPr>
    <w:rPr>
      <w:sz w:val="24"/>
      <w:szCs w:val="24"/>
    </w:rPr>
  </w:style>
  <w:style w:type="paragraph" w:styleId="Recuodecorpodetexto21" w:customStyle="1">
    <w:name w:val="Recuo de corpo de texto 21"/>
    <w:basedOn w:val="Normal"/>
    <w:qFormat/>
    <w:rsid w:val="005c3759"/>
    <w:pPr>
      <w:spacing w:lineRule="auto" w:line="480" w:before="0" w:after="120"/>
      <w:ind w:left="283"/>
    </w:pPr>
    <w:rPr>
      <w:sz w:val="24"/>
      <w:szCs w:val="24"/>
    </w:rPr>
  </w:style>
  <w:style w:type="paragraph" w:styleId="Recuodecorpodetexto31" w:customStyle="1">
    <w:name w:val="Recuo de corpo de texto 31"/>
    <w:basedOn w:val="Normal"/>
    <w:qFormat/>
    <w:rsid w:val="005c3759"/>
    <w:pPr>
      <w:spacing w:before="0" w:after="120"/>
      <w:ind w:left="283"/>
    </w:pPr>
    <w:rPr>
      <w:sz w:val="16"/>
      <w:szCs w:val="16"/>
    </w:rPr>
  </w:style>
  <w:style w:type="paragraph" w:styleId="Corpodetexto31" w:customStyle="1">
    <w:name w:val="Corpo de texto 31"/>
    <w:basedOn w:val="Normal"/>
    <w:qFormat/>
    <w:rsid w:val="005c3759"/>
    <w:pPr>
      <w:spacing w:lineRule="atLeast" w:line="240"/>
      <w:jc w:val="both"/>
      <w:textAlignment w:val="baseline"/>
    </w:pPr>
    <w:rPr>
      <w:sz w:val="24"/>
    </w:rPr>
  </w:style>
  <w:style w:type="paragraph" w:styleId="WW-Corpodetexto31" w:customStyle="1">
    <w:name w:val="WW-Corpo de texto 31"/>
    <w:basedOn w:val="Normal"/>
    <w:qFormat/>
    <w:rsid w:val="005c3759"/>
    <w:pPr>
      <w:spacing w:lineRule="atLeast" w:line="240"/>
      <w:jc w:val="both"/>
    </w:pPr>
    <w:rPr>
      <w:sz w:val="24"/>
    </w:rPr>
  </w:style>
  <w:style w:type="paragraph" w:styleId="Style21" w:customStyle="1">
    <w:name w:val="Style2"/>
    <w:basedOn w:val="Normal"/>
    <w:qFormat/>
    <w:rsid w:val="005c3759"/>
    <w:pPr>
      <w:jc w:val="both"/>
      <w:textAlignment w:val="baseline"/>
    </w:pPr>
    <w:rPr>
      <w:b/>
      <w:caps/>
      <w:sz w:val="24"/>
    </w:rPr>
  </w:style>
  <w:style w:type="paragraph" w:styleId="Textoembloco1" w:customStyle="1">
    <w:name w:val="Texto em bloco1"/>
    <w:basedOn w:val="Normal"/>
    <w:qFormat/>
    <w:rsid w:val="005c3759"/>
    <w:pPr>
      <w:ind w:left="1418" w:right="-1"/>
      <w:jc w:val="both"/>
    </w:pPr>
    <w:rPr>
      <w:b/>
      <w:sz w:val="28"/>
    </w:rPr>
  </w:style>
  <w:style w:type="paragraph" w:styleId="Contedodetabela" w:customStyle="1">
    <w:name w:val="Conteúdo de tabela"/>
    <w:basedOn w:val="Normal"/>
    <w:qFormat/>
    <w:rsid w:val="005c3759"/>
    <w:pPr>
      <w:suppressLineNumbers/>
    </w:pPr>
    <w:rPr>
      <w:sz w:val="24"/>
      <w:szCs w:val="24"/>
    </w:rPr>
  </w:style>
  <w:style w:type="paragraph" w:styleId="Contedodatabela" w:customStyle="1">
    <w:name w:val="Conteúdo da tabela"/>
    <w:basedOn w:val="Normal"/>
    <w:qFormat/>
    <w:rsid w:val="005c3759"/>
    <w:pPr>
      <w:suppressLineNumbers/>
    </w:pPr>
    <w:rPr/>
  </w:style>
  <w:style w:type="paragraph" w:styleId="Ttulodetabela" w:customStyle="1">
    <w:name w:val="Título de tabela"/>
    <w:basedOn w:val="Contedodetabela"/>
    <w:qFormat/>
    <w:rsid w:val="005c3759"/>
    <w:pPr>
      <w:jc w:val="center"/>
    </w:pPr>
    <w:rPr>
      <w:b/>
      <w:bCs/>
    </w:rPr>
  </w:style>
  <w:style w:type="paragraph" w:styleId="Contedodequadro" w:customStyle="1">
    <w:name w:val="Conteúdo de quadro"/>
    <w:basedOn w:val="BodyText"/>
    <w:qFormat/>
    <w:rsid w:val="005c3759"/>
    <w:pPr/>
    <w:rPr>
      <w:sz w:val="24"/>
      <w:szCs w:val="24"/>
    </w:rPr>
  </w:style>
  <w:style w:type="paragraph" w:styleId="Paragrafo" w:customStyle="1">
    <w:name w:val="Paragrafo"/>
    <w:basedOn w:val="BodyTextIndented"/>
    <w:qFormat/>
    <w:rsid w:val="005c3759"/>
    <w:pPr>
      <w:ind w:hanging="567" w:left="1134"/>
    </w:pPr>
    <w:rPr>
      <w:rFonts w:ascii="Arial" w:hAnsi="Arial" w:cs="Arial"/>
    </w:rPr>
  </w:style>
  <w:style w:type="paragraph" w:styleId="Corpodetexto22" w:customStyle="1">
    <w:name w:val="Corpo de texto 22"/>
    <w:basedOn w:val="Normal"/>
    <w:qFormat/>
    <w:rsid w:val="005c3759"/>
    <w:pPr>
      <w:spacing w:lineRule="auto" w:line="480" w:before="0" w:after="120"/>
    </w:pPr>
    <w:rPr>
      <w:sz w:val="24"/>
      <w:szCs w:val="24"/>
    </w:rPr>
  </w:style>
  <w:style w:type="paragraph" w:styleId="Recuodecorpodetexto32" w:customStyle="1">
    <w:name w:val="Recuo de corpo de texto 32"/>
    <w:basedOn w:val="Normal"/>
    <w:qFormat/>
    <w:rsid w:val="005c3759"/>
    <w:pPr>
      <w:spacing w:before="0" w:after="120"/>
      <w:ind w:left="283"/>
    </w:pPr>
    <w:rPr>
      <w:sz w:val="16"/>
      <w:szCs w:val="16"/>
    </w:rPr>
  </w:style>
  <w:style w:type="paragraph" w:styleId="Corpo" w:customStyle="1">
    <w:name w:val="Corpo"/>
    <w:qFormat/>
    <w:rsid w:val="005c3759"/>
    <w:pPr>
      <w:widowControl/>
      <w:suppressAutoHyphens w:val="true"/>
      <w:bidi w:val="0"/>
      <w:spacing w:before="0" w:after="0"/>
      <w:jc w:val="left"/>
    </w:pPr>
    <w:rPr>
      <w:rFonts w:ascii="Times New" w:hAnsi="Times New" w:eastAsia="Times New Roman" w:cs="Times New"/>
      <w:color w:val="auto"/>
      <w:kern w:val="2"/>
      <w:sz w:val="20"/>
      <w:szCs w:val="20"/>
      <w:lang w:eastAsia="zh-CN" w:val="pt-BR" w:bidi="ar-SA"/>
      <w14:ligatures w14:val="none"/>
    </w:rPr>
  </w:style>
  <w:style w:type="paragraph" w:styleId="xl24" w:customStyle="1">
    <w:name w:val="xl24"/>
    <w:basedOn w:val="Normal"/>
    <w:qFormat/>
    <w:rsid w:val="005c3759"/>
    <w:pPr>
      <w:spacing w:before="280" w:after="280"/>
      <w:jc w:val="center"/>
    </w:pPr>
    <w:rPr>
      <w:sz w:val="16"/>
      <w:szCs w:val="16"/>
    </w:rPr>
  </w:style>
  <w:style w:type="paragraph" w:styleId="xl25" w:customStyle="1">
    <w:name w:val="xl25"/>
    <w:basedOn w:val="Normal"/>
    <w:qFormat/>
    <w:rsid w:val="005c3759"/>
    <w:pPr>
      <w:spacing w:before="280" w:after="280"/>
      <w:textAlignment w:val="center"/>
    </w:pPr>
    <w:rPr>
      <w:b/>
      <w:bCs/>
      <w:sz w:val="16"/>
      <w:szCs w:val="16"/>
    </w:rPr>
  </w:style>
  <w:style w:type="paragraph" w:styleId="xl26" w:customStyle="1">
    <w:name w:val="xl26"/>
    <w:basedOn w:val="Normal"/>
    <w:qFormat/>
    <w:rsid w:val="005c3759"/>
    <w:pPr>
      <w:spacing w:before="280" w:after="280"/>
    </w:pPr>
    <w:rPr>
      <w:sz w:val="16"/>
      <w:szCs w:val="16"/>
    </w:rPr>
  </w:style>
  <w:style w:type="paragraph" w:styleId="xl27" w:customStyle="1">
    <w:name w:val="xl27"/>
    <w:basedOn w:val="Normal"/>
    <w:qFormat/>
    <w:rsid w:val="005c3759"/>
    <w:pPr>
      <w:spacing w:before="280" w:after="280"/>
    </w:pPr>
    <w:rPr>
      <w:sz w:val="16"/>
      <w:szCs w:val="16"/>
    </w:rPr>
  </w:style>
  <w:style w:type="paragraph" w:styleId="xl28" w:customStyle="1">
    <w:name w:val="xl28"/>
    <w:basedOn w:val="Normal"/>
    <w:qFormat/>
    <w:rsid w:val="005c3759"/>
    <w:pPr>
      <w:spacing w:before="280" w:after="280"/>
      <w:jc w:val="center"/>
    </w:pPr>
    <w:rPr>
      <w:sz w:val="16"/>
      <w:szCs w:val="16"/>
    </w:rPr>
  </w:style>
  <w:style w:type="paragraph" w:styleId="xl29" w:customStyle="1">
    <w:name w:val="xl29"/>
    <w:basedOn w:val="Normal"/>
    <w:qFormat/>
    <w:rsid w:val="005c3759"/>
    <w:pPr>
      <w:spacing w:before="280" w:after="280"/>
      <w:jc w:val="center"/>
    </w:pPr>
    <w:rPr>
      <w:sz w:val="16"/>
      <w:szCs w:val="16"/>
    </w:rPr>
  </w:style>
  <w:style w:type="paragraph" w:styleId="xl30" w:customStyle="1">
    <w:name w:val="xl30"/>
    <w:basedOn w:val="Normal"/>
    <w:qFormat/>
    <w:rsid w:val="005c3759"/>
    <w:pPr>
      <w:spacing w:before="280" w:after="280"/>
      <w:jc w:val="center"/>
      <w:textAlignment w:val="center"/>
    </w:pPr>
    <w:rPr>
      <w:b/>
      <w:bCs/>
      <w:sz w:val="16"/>
      <w:szCs w:val="16"/>
    </w:rPr>
  </w:style>
  <w:style w:type="paragraph" w:styleId="xl31" w:customStyle="1">
    <w:name w:val="xl31"/>
    <w:basedOn w:val="Normal"/>
    <w:qFormat/>
    <w:rsid w:val="005c3759"/>
    <w:pPr>
      <w:spacing w:before="280" w:after="280"/>
      <w:jc w:val="center"/>
    </w:pPr>
    <w:rPr>
      <w:sz w:val="16"/>
      <w:szCs w:val="16"/>
    </w:rPr>
  </w:style>
  <w:style w:type="paragraph" w:styleId="xl32" w:customStyle="1">
    <w:name w:val="xl32"/>
    <w:basedOn w:val="Normal"/>
    <w:qFormat/>
    <w:rsid w:val="005c3759"/>
    <w:pPr>
      <w:spacing w:before="280" w:after="280"/>
    </w:pPr>
    <w:rPr>
      <w:sz w:val="16"/>
      <w:szCs w:val="16"/>
    </w:rPr>
  </w:style>
  <w:style w:type="paragraph" w:styleId="xl33" w:customStyle="1">
    <w:name w:val="xl33"/>
    <w:basedOn w:val="Normal"/>
    <w:qFormat/>
    <w:rsid w:val="005c3759"/>
    <w:pPr>
      <w:spacing w:before="280" w:after="280"/>
    </w:pPr>
    <w:rPr>
      <w:sz w:val="16"/>
      <w:szCs w:val="16"/>
    </w:rPr>
  </w:style>
  <w:style w:type="paragraph" w:styleId="xl34" w:customStyle="1">
    <w:name w:val="xl34"/>
    <w:basedOn w:val="Normal"/>
    <w:qFormat/>
    <w:rsid w:val="005c3759"/>
    <w:pPr>
      <w:spacing w:before="280" w:after="280"/>
      <w:jc w:val="center"/>
    </w:pPr>
    <w:rPr>
      <w:sz w:val="16"/>
      <w:szCs w:val="16"/>
    </w:rPr>
  </w:style>
  <w:style w:type="paragraph" w:styleId="xl35" w:customStyle="1">
    <w:name w:val="xl35"/>
    <w:basedOn w:val="Normal"/>
    <w:qFormat/>
    <w:rsid w:val="005c3759"/>
    <w:pPr>
      <w:spacing w:before="280" w:after="280"/>
      <w:jc w:val="center"/>
      <w:textAlignment w:val="center"/>
    </w:pPr>
    <w:rPr>
      <w:b/>
      <w:bCs/>
      <w:sz w:val="16"/>
      <w:szCs w:val="16"/>
    </w:rPr>
  </w:style>
  <w:style w:type="paragraph" w:styleId="xl36" w:customStyle="1">
    <w:name w:val="xl36"/>
    <w:basedOn w:val="Normal"/>
    <w:qFormat/>
    <w:rsid w:val="005c3759"/>
    <w:pPr>
      <w:spacing w:before="280" w:after="280"/>
    </w:pPr>
    <w:rPr>
      <w:b/>
      <w:bCs/>
      <w:sz w:val="16"/>
      <w:szCs w:val="16"/>
    </w:rPr>
  </w:style>
  <w:style w:type="paragraph" w:styleId="xl37" w:customStyle="1">
    <w:name w:val="xl37"/>
    <w:basedOn w:val="Normal"/>
    <w:qFormat/>
    <w:rsid w:val="005c3759"/>
    <w:pPr>
      <w:spacing w:before="280" w:after="280"/>
      <w:jc w:val="center"/>
    </w:pPr>
    <w:rPr>
      <w:b/>
      <w:bCs/>
      <w:sz w:val="16"/>
      <w:szCs w:val="16"/>
    </w:rPr>
  </w:style>
  <w:style w:type="paragraph" w:styleId="xl38" w:customStyle="1">
    <w:name w:val="xl38"/>
    <w:basedOn w:val="Normal"/>
    <w:qFormat/>
    <w:rsid w:val="005c3759"/>
    <w:pPr>
      <w:spacing w:before="280" w:after="280"/>
      <w:jc w:val="center"/>
    </w:pPr>
    <w:rPr>
      <w:b/>
      <w:bCs/>
      <w:sz w:val="16"/>
      <w:szCs w:val="16"/>
    </w:rPr>
  </w:style>
  <w:style w:type="paragraph" w:styleId="xl39" w:customStyle="1">
    <w:name w:val="xl39"/>
    <w:basedOn w:val="Normal"/>
    <w:qFormat/>
    <w:rsid w:val="005c3759"/>
    <w:pPr>
      <w:spacing w:before="280" w:after="280"/>
      <w:jc w:val="center"/>
    </w:pPr>
    <w:rPr>
      <w:b/>
      <w:bCs/>
      <w:sz w:val="16"/>
      <w:szCs w:val="16"/>
    </w:rPr>
  </w:style>
  <w:style w:type="paragraph" w:styleId="xl40" w:customStyle="1">
    <w:name w:val="xl40"/>
    <w:basedOn w:val="Normal"/>
    <w:qFormat/>
    <w:rsid w:val="005c3759"/>
    <w:pPr>
      <w:spacing w:before="280" w:after="280"/>
    </w:pPr>
    <w:rPr>
      <w:sz w:val="16"/>
      <w:szCs w:val="16"/>
    </w:rPr>
  </w:style>
  <w:style w:type="paragraph" w:styleId="xl41" w:customStyle="1">
    <w:name w:val="xl41"/>
    <w:basedOn w:val="Normal"/>
    <w:qFormat/>
    <w:rsid w:val="005c3759"/>
    <w:pPr>
      <w:spacing w:before="280" w:after="280"/>
    </w:pPr>
    <w:rPr>
      <w:sz w:val="16"/>
      <w:szCs w:val="16"/>
    </w:rPr>
  </w:style>
  <w:style w:type="paragraph" w:styleId="xl42" w:customStyle="1">
    <w:name w:val="xl42"/>
    <w:basedOn w:val="Normal"/>
    <w:qFormat/>
    <w:rsid w:val="005c3759"/>
    <w:pPr>
      <w:spacing w:before="280" w:after="280"/>
    </w:pPr>
    <w:rPr>
      <w:sz w:val="16"/>
      <w:szCs w:val="16"/>
    </w:rPr>
  </w:style>
  <w:style w:type="paragraph" w:styleId="xl43" w:customStyle="1">
    <w:name w:val="xl43"/>
    <w:basedOn w:val="Normal"/>
    <w:qFormat/>
    <w:rsid w:val="005c3759"/>
    <w:pPr>
      <w:spacing w:before="280" w:after="280"/>
      <w:jc w:val="center"/>
    </w:pPr>
    <w:rPr>
      <w:sz w:val="16"/>
      <w:szCs w:val="16"/>
    </w:rPr>
  </w:style>
  <w:style w:type="paragraph" w:styleId="xl44" w:customStyle="1">
    <w:name w:val="xl44"/>
    <w:basedOn w:val="Normal"/>
    <w:qFormat/>
    <w:rsid w:val="005c3759"/>
    <w:pPr>
      <w:spacing w:before="280" w:after="280"/>
      <w:jc w:val="center"/>
    </w:pPr>
    <w:rPr>
      <w:sz w:val="16"/>
      <w:szCs w:val="16"/>
    </w:rPr>
  </w:style>
  <w:style w:type="paragraph" w:styleId="xl45" w:customStyle="1">
    <w:name w:val="xl45"/>
    <w:basedOn w:val="Normal"/>
    <w:qFormat/>
    <w:rsid w:val="005c3759"/>
    <w:pPr>
      <w:spacing w:before="280" w:after="280"/>
    </w:pPr>
    <w:rPr>
      <w:sz w:val="16"/>
      <w:szCs w:val="16"/>
    </w:rPr>
  </w:style>
  <w:style w:type="paragraph" w:styleId="xl46" w:customStyle="1">
    <w:name w:val="xl46"/>
    <w:basedOn w:val="Normal"/>
    <w:qFormat/>
    <w:rsid w:val="005c3759"/>
    <w:pPr>
      <w:spacing w:before="280" w:after="280"/>
    </w:pPr>
    <w:rPr>
      <w:sz w:val="16"/>
      <w:szCs w:val="16"/>
    </w:rPr>
  </w:style>
  <w:style w:type="paragraph" w:styleId="xl47" w:customStyle="1">
    <w:name w:val="xl47"/>
    <w:basedOn w:val="Normal"/>
    <w:qFormat/>
    <w:rsid w:val="005c3759"/>
    <w:pPr>
      <w:spacing w:before="280" w:after="280"/>
    </w:pPr>
    <w:rPr>
      <w:sz w:val="16"/>
      <w:szCs w:val="16"/>
    </w:rPr>
  </w:style>
  <w:style w:type="paragraph" w:styleId="xl48" w:customStyle="1">
    <w:name w:val="xl48"/>
    <w:basedOn w:val="Normal"/>
    <w:qFormat/>
    <w:rsid w:val="005c3759"/>
    <w:pPr>
      <w:spacing w:before="280" w:after="280"/>
      <w:jc w:val="center"/>
    </w:pPr>
    <w:rPr>
      <w:sz w:val="16"/>
      <w:szCs w:val="16"/>
    </w:rPr>
  </w:style>
  <w:style w:type="paragraph" w:styleId="xl49" w:customStyle="1">
    <w:name w:val="xl49"/>
    <w:basedOn w:val="Normal"/>
    <w:qFormat/>
    <w:rsid w:val="005c3759"/>
    <w:pPr>
      <w:spacing w:before="280" w:after="280"/>
      <w:jc w:val="center"/>
    </w:pPr>
    <w:rPr>
      <w:sz w:val="16"/>
      <w:szCs w:val="16"/>
    </w:rPr>
  </w:style>
  <w:style w:type="paragraph" w:styleId="xl50" w:customStyle="1">
    <w:name w:val="xl50"/>
    <w:basedOn w:val="Normal"/>
    <w:qFormat/>
    <w:rsid w:val="005c3759"/>
    <w:pPr>
      <w:spacing w:before="280" w:after="280"/>
    </w:pPr>
    <w:rPr>
      <w:sz w:val="16"/>
      <w:szCs w:val="16"/>
    </w:rPr>
  </w:style>
  <w:style w:type="paragraph" w:styleId="Corpodetexto32" w:customStyle="1">
    <w:name w:val="Corpo de texto 32"/>
    <w:basedOn w:val="Normal"/>
    <w:qFormat/>
    <w:rsid w:val="005c3759"/>
    <w:pPr>
      <w:spacing w:lineRule="atLeast" w:line="240"/>
      <w:jc w:val="both"/>
    </w:pPr>
    <w:rPr>
      <w:sz w:val="24"/>
    </w:rPr>
  </w:style>
  <w:style w:type="paragraph" w:styleId="Commarcadores21" w:customStyle="1">
    <w:name w:val="Com marcadores 21"/>
    <w:basedOn w:val="Normal"/>
    <w:qFormat/>
    <w:rsid w:val="005c3759"/>
    <w:pPr>
      <w:ind w:hanging="283" w:left="566"/>
    </w:pPr>
    <w:rPr>
      <w:rFonts w:ascii="Arial" w:hAnsi="Arial" w:eastAsia="MS Mincho" w:cs="Arial"/>
    </w:rPr>
  </w:style>
  <w:style w:type="paragraph" w:styleId="Commarcadores41" w:customStyle="1">
    <w:name w:val="Com marcadores 41"/>
    <w:basedOn w:val="Normal"/>
    <w:qFormat/>
    <w:rsid w:val="005c3759"/>
    <w:pPr>
      <w:ind w:hanging="283" w:left="1132"/>
    </w:pPr>
    <w:rPr>
      <w:rFonts w:ascii="Arial" w:hAnsi="Arial" w:cs="Arial"/>
    </w:rPr>
  </w:style>
  <w:style w:type="paragraph" w:styleId="msolistparagraph" w:customStyle="1">
    <w:name w:val="msolistparagraph"/>
    <w:basedOn w:val="Normal"/>
    <w:qFormat/>
    <w:rsid w:val="005c3759"/>
    <w:pPr>
      <w:spacing w:before="280" w:after="280"/>
    </w:pPr>
    <w:rPr>
      <w:sz w:val="24"/>
      <w:szCs w:val="24"/>
    </w:rPr>
  </w:style>
  <w:style w:type="paragraph" w:styleId="Pa1" w:customStyle="1">
    <w:name w:val="Pa1"/>
    <w:basedOn w:val="Normal"/>
    <w:next w:val="Normal"/>
    <w:qFormat/>
    <w:rsid w:val="005c3759"/>
    <w:pPr>
      <w:spacing w:lineRule="atLeast" w:line="241"/>
    </w:pPr>
    <w:rPr>
      <w:rFonts w:ascii="Helvetica LT Light" w:hAnsi="Helvetica LT Light" w:eastAsia="Calibri" w:cs="Helvetica LT Light"/>
      <w:sz w:val="24"/>
      <w:szCs w:val="24"/>
    </w:rPr>
  </w:style>
  <w:style w:type="paragraph" w:styleId="n1" w:customStyle="1">
    <w:name w:val="n1"/>
    <w:basedOn w:val="Normal"/>
    <w:qFormat/>
    <w:rsid w:val="005c3759"/>
    <w:pPr>
      <w:spacing w:before="240" w:after="0"/>
      <w:jc w:val="both"/>
    </w:pPr>
    <w:rPr>
      <w:rFonts w:ascii="Arial" w:hAnsi="Arial" w:cs="Arial"/>
    </w:rPr>
  </w:style>
  <w:style w:type="paragraph" w:styleId="p0" w:customStyle="1">
    <w:name w:val="p0"/>
    <w:basedOn w:val="Normal"/>
    <w:qFormat/>
    <w:rsid w:val="005c3759"/>
    <w:pPr>
      <w:widowControl w:val="false"/>
      <w:spacing w:lineRule="atLeast" w:line="240"/>
      <w:jc w:val="both"/>
    </w:pPr>
    <w:rPr>
      <w:sz w:val="24"/>
    </w:rPr>
  </w:style>
  <w:style w:type="paragraph" w:styleId="western" w:customStyle="1">
    <w:name w:val="western"/>
    <w:basedOn w:val="Normal"/>
    <w:qFormat/>
    <w:rsid w:val="005c3759"/>
    <w:pPr>
      <w:spacing w:before="280" w:after="119"/>
    </w:pPr>
    <w:rPr>
      <w:sz w:val="24"/>
      <w:szCs w:val="24"/>
    </w:rPr>
  </w:style>
  <w:style w:type="paragraph" w:styleId="timesnew" w:customStyle="1">
    <w:name w:val="times new"/>
    <w:basedOn w:val="Corpo"/>
    <w:qFormat/>
    <w:rsid w:val="005c3759"/>
    <w:pPr>
      <w:jc w:val="both"/>
    </w:pPr>
    <w:rPr/>
  </w:style>
  <w:style w:type="paragraph" w:styleId="EndnoteText">
    <w:name w:val="endnote text"/>
    <w:basedOn w:val="Normal"/>
    <w:link w:val="TextodenotadefimChar1"/>
    <w:rsid w:val="005c3759"/>
    <w:pPr/>
    <w:rPr/>
  </w:style>
  <w:style w:type="paragraph" w:styleId="LINHA" w:customStyle="1">
    <w:name w:val="LINHA"/>
    <w:qFormat/>
    <w:rsid w:val="005c3759"/>
    <w:pPr>
      <w:widowControl/>
      <w:tabs>
        <w:tab w:val="clear" w:pos="708"/>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14:ligatures w14:val="none"/>
    </w:rPr>
  </w:style>
  <w:style w:type="paragraph" w:styleId="PargrafodaLista1" w:customStyle="1">
    <w:name w:val="Parágrafo da Lista1"/>
    <w:basedOn w:val="Normal"/>
    <w:qFormat/>
    <w:rsid w:val="005c3759"/>
    <w:pPr>
      <w:spacing w:lineRule="auto" w:line="276" w:before="0" w:after="200"/>
      <w:ind w:left="720"/>
    </w:pPr>
    <w:rPr>
      <w:rFonts w:ascii="Calibri" w:hAnsi="Calibri" w:eastAsia="Calibri" w:cs="Calibri"/>
      <w:sz w:val="22"/>
      <w:szCs w:val="22"/>
    </w:rPr>
  </w:style>
  <w:style w:type="paragraph" w:styleId="Contedodoquadro" w:customStyle="1">
    <w:name w:val="Conteúdo do quadro"/>
    <w:basedOn w:val="BodyText"/>
    <w:qFormat/>
    <w:rsid w:val="005c3759"/>
    <w:pPr/>
    <w:rPr/>
  </w:style>
  <w:style w:type="paragraph" w:styleId="WW-Padro" w:customStyle="1">
    <w:name w:val="WW-Padrão"/>
    <w:qFormat/>
    <w:rsid w:val="005c3759"/>
    <w:pPr>
      <w:widowControl/>
      <w:tabs>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14:ligatures w14:val="none"/>
    </w:rPr>
  </w:style>
  <w:style w:type="paragraph" w:styleId="Corpodetexto23" w:customStyle="1">
    <w:name w:val="Corpo de texto 23"/>
    <w:basedOn w:val="Normal"/>
    <w:qFormat/>
    <w:rsid w:val="005c3759"/>
    <w:pPr>
      <w:spacing w:lineRule="auto" w:line="480" w:before="0" w:after="120"/>
    </w:pPr>
    <w:rPr>
      <w:lang w:val="x-none"/>
    </w:rPr>
  </w:style>
  <w:style w:type="paragraph" w:styleId="NoSpacing">
    <w:name w:val="No Spacing"/>
    <w:qFormat/>
    <w:rsid w:val="005c3759"/>
    <w:pPr>
      <w:widowControl/>
      <w:suppressAutoHyphens w:val="true"/>
      <w:bidi w:val="0"/>
      <w:spacing w:before="0" w:after="0"/>
      <w:jc w:val="left"/>
    </w:pPr>
    <w:rPr>
      <w:rFonts w:ascii="Calibri" w:hAnsi="Calibri" w:eastAsia="Calibri" w:cs="Calibri"/>
      <w:color w:val="auto"/>
      <w:kern w:val="2"/>
      <w:sz w:val="22"/>
      <w:szCs w:val="22"/>
      <w:lang w:eastAsia="zh-CN" w:val="pt-BR" w:bidi="ar-SA"/>
      <w14:ligatures w14:val="none"/>
    </w:rPr>
  </w:style>
  <w:style w:type="paragraph" w:styleId="Default" w:customStyle="1">
    <w:name w:val="Default"/>
    <w:qFormat/>
    <w:rsid w:val="005c3759"/>
    <w:pPr>
      <w:widowControl/>
      <w:suppressAutoHyphens w:val="true"/>
      <w:bidi w:val="0"/>
      <w:spacing w:before="0" w:after="0"/>
      <w:jc w:val="left"/>
    </w:pPr>
    <w:rPr>
      <w:rFonts w:ascii="Conduit ITC Light" w:hAnsi="Conduit ITC Light" w:eastAsia="Times New Roman" w:cs="Conduit ITC Light"/>
      <w:color w:val="000000"/>
      <w:kern w:val="2"/>
      <w:sz w:val="24"/>
      <w:szCs w:val="24"/>
      <w:lang w:eastAsia="zh-CN" w:val="pt-BR" w:bidi="ar-SA"/>
      <w14:ligatures w14:val="none"/>
    </w:rPr>
  </w:style>
  <w:style w:type="paragraph" w:styleId="Pa6" w:customStyle="1">
    <w:name w:val="Pa6"/>
    <w:basedOn w:val="Default"/>
    <w:next w:val="Default"/>
    <w:qFormat/>
    <w:rsid w:val="005c3759"/>
    <w:pPr>
      <w:spacing w:lineRule="atLeast" w:line="281"/>
    </w:pPr>
    <w:rPr>
      <w:rFonts w:cs="Times New Roman"/>
    </w:rPr>
  </w:style>
  <w:style w:type="paragraph" w:styleId="Pa5" w:customStyle="1">
    <w:name w:val="Pa5"/>
    <w:basedOn w:val="Default"/>
    <w:next w:val="Default"/>
    <w:qFormat/>
    <w:rsid w:val="005c3759"/>
    <w:pPr>
      <w:spacing w:lineRule="atLeast" w:line="191"/>
    </w:pPr>
    <w:rPr>
      <w:rFonts w:cs="Times New Roman"/>
    </w:rPr>
  </w:style>
  <w:style w:type="paragraph" w:styleId="Pa7" w:customStyle="1">
    <w:name w:val="Pa7"/>
    <w:basedOn w:val="Default"/>
    <w:next w:val="Default"/>
    <w:qFormat/>
    <w:rsid w:val="005c3759"/>
    <w:pPr>
      <w:spacing w:lineRule="atLeast" w:line="191"/>
    </w:pPr>
    <w:rPr>
      <w:rFonts w:cs="Times New Roman"/>
    </w:rPr>
  </w:style>
  <w:style w:type="paragraph" w:styleId="Corpodetexto24" w:customStyle="1">
    <w:name w:val="Corpo de texto 24"/>
    <w:basedOn w:val="Normal"/>
    <w:qFormat/>
    <w:rsid w:val="005c3759"/>
    <w:pPr>
      <w:suppressAutoHyphens w:val="false"/>
      <w:spacing w:lineRule="auto" w:line="480" w:before="0" w:after="120"/>
    </w:pPr>
    <w:rPr/>
  </w:style>
  <w:style w:type="paragraph" w:styleId="DivisodeTabelas" w:customStyle="1">
    <w:name w:val="Divisão de Tabelas"/>
    <w:basedOn w:val="Normal"/>
    <w:qFormat/>
    <w:rsid w:val="005c3759"/>
    <w:pPr>
      <w:spacing w:lineRule="exact" w:line="20"/>
    </w:pPr>
    <w:rPr/>
  </w:style>
  <w:style w:type="paragraph" w:styleId="Corpodetexto33" w:customStyle="1">
    <w:name w:val="Corpo de texto 33"/>
    <w:basedOn w:val="Normal"/>
    <w:qFormat/>
    <w:rsid w:val="005c3759"/>
    <w:pPr>
      <w:spacing w:lineRule="atLeast" w:line="240"/>
      <w:jc w:val="both"/>
    </w:pPr>
    <w:rPr/>
  </w:style>
  <w:style w:type="paragraph" w:styleId="Corpodetexto25" w:customStyle="1">
    <w:name w:val="Corpo de texto 25"/>
    <w:basedOn w:val="Normal"/>
    <w:qFormat/>
    <w:rsid w:val="005c3759"/>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rsid w:val="005c3759"/>
    <w:pPr>
      <w:suppressAutoHyphens w:val="false"/>
      <w:spacing w:before="280" w:after="280"/>
    </w:pPr>
    <w:rPr>
      <w:sz w:val="24"/>
      <w:szCs w:val="24"/>
    </w:rPr>
  </w:style>
  <w:style w:type="paragraph" w:styleId="Standard" w:customStyle="1">
    <w:name w:val="Standard"/>
    <w:qFormat/>
    <w:rsid w:val="005c3759"/>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eastAsia="zh-CN" w:bidi="hi-IN" w:val="pt-BR"/>
      <w14:ligatures w14:val="none"/>
    </w:rPr>
  </w:style>
  <w:style w:type="paragraph" w:styleId="PargrafodaLista2" w:customStyle="1">
    <w:name w:val="Parágrafo da Lista2"/>
    <w:basedOn w:val="Normal"/>
    <w:qFormat/>
    <w:rsid w:val="005c3759"/>
    <w:pPr>
      <w:spacing w:before="0" w:after="200"/>
      <w:ind w:left="720"/>
      <w:contextualSpacing/>
    </w:pPr>
    <w:rPr>
      <w:szCs w:val="24"/>
    </w:rPr>
  </w:style>
  <w:style w:type="paragraph" w:styleId="Corpodetexto26" w:customStyle="1">
    <w:name w:val="Corpo de texto 26"/>
    <w:basedOn w:val="Normal"/>
    <w:qFormat/>
    <w:rsid w:val="005c3759"/>
    <w:pPr>
      <w:jc w:val="both"/>
    </w:pPr>
    <w:rPr>
      <w:color w:val="0000FF"/>
    </w:rPr>
  </w:style>
  <w:style w:type="paragraph" w:styleId="Corpodetexto27" w:customStyle="1">
    <w:name w:val="Corpo de texto 27"/>
    <w:basedOn w:val="Normal"/>
    <w:qFormat/>
    <w:rsid w:val="005c3759"/>
    <w:pPr>
      <w:jc w:val="center"/>
    </w:pPr>
    <w:rPr>
      <w:b/>
    </w:rPr>
  </w:style>
  <w:style w:type="paragraph" w:styleId="SemEspaamento1" w:customStyle="1">
    <w:name w:val="Sem Espaçamento1"/>
    <w:qFormat/>
    <w:rsid w:val="005c3759"/>
    <w:pPr>
      <w:widowControl/>
      <w:suppressAutoHyphens w:val="true"/>
      <w:bidi w:val="0"/>
      <w:spacing w:before="0" w:after="0"/>
      <w:jc w:val="left"/>
    </w:pPr>
    <w:rPr>
      <w:rFonts w:ascii="Times New Roman" w:hAnsi="Times New Roman" w:eastAsia="SimSun" w:cs="Times New Roman"/>
      <w:color w:val="auto"/>
      <w:kern w:val="2"/>
      <w:sz w:val="24"/>
      <w:szCs w:val="21"/>
      <w:lang w:eastAsia="zh-CN" w:bidi="hi-IN" w:val="pt-BR"/>
      <w14:ligatures w14:val="none"/>
    </w:rPr>
  </w:style>
  <w:style w:type="paragraph" w:styleId="Recuodecorpodetexto1" w:customStyle="1">
    <w:name w:val="Recuo de corpo de texto1"/>
    <w:basedOn w:val="Normal"/>
    <w:qFormat/>
    <w:rsid w:val="005c3759"/>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rsid w:val="005c3759"/>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rsid w:val="005c3759"/>
    <w:pPr>
      <w:numPr>
        <w:ilvl w:val="0"/>
        <w:numId w:val="3"/>
      </w:numPr>
      <w:tabs>
        <w:tab w:val="clear" w:pos="708"/>
        <w:tab w:val="left" w:pos="567" w:leader="none"/>
      </w:tabs>
      <w:spacing w:before="240" w:after="0"/>
      <w:jc w:val="both"/>
      <w:outlineLvl w:val="9"/>
    </w:pPr>
    <w:rPr>
      <w:rFonts w:ascii="Arial" w:hAnsi="Arial" w:eastAsia="MS Gothic" w:cs="Arial"/>
      <w:b/>
      <w:bCs/>
      <w:kern w:val="0"/>
      <w:sz w:val="20"/>
      <w:szCs w:val="20"/>
    </w:rPr>
  </w:style>
  <w:style w:type="paragraph" w:styleId="Nivel2" w:customStyle="1">
    <w:name w:val="Nivel 2"/>
    <w:basedOn w:val="Normal"/>
    <w:qFormat/>
    <w:rsid w:val="005c3759"/>
    <w:pPr>
      <w:tabs>
        <w:tab w:val="clear" w:pos="708"/>
        <w:tab w:val="left" w:pos="0" w:leader="none"/>
      </w:tabs>
      <w:suppressAutoHyphens w:val="false"/>
      <w:spacing w:lineRule="auto" w:line="276" w:before="120" w:after="120"/>
      <w:ind w:hanging="360" w:left="360"/>
      <w:jc w:val="both"/>
    </w:pPr>
    <w:rPr>
      <w:rFonts w:ascii="Arial" w:hAnsi="Arial" w:eastAsia="MS Mincho" w:cs="Arial"/>
      <w:color w:val="000000"/>
      <w:kern w:val="0"/>
    </w:rPr>
  </w:style>
  <w:style w:type="paragraph" w:styleId="Nivel3" w:customStyle="1">
    <w:name w:val="Nivel 3"/>
    <w:basedOn w:val="Normal"/>
    <w:qFormat/>
    <w:rsid w:val="005c3759"/>
    <w:pPr>
      <w:tabs>
        <w:tab w:val="clear" w:pos="708"/>
        <w:tab w:val="left" w:pos="0" w:leader="none"/>
      </w:tabs>
      <w:suppressAutoHyphens w:val="false"/>
      <w:spacing w:lineRule="auto" w:line="276" w:before="120" w:after="120"/>
      <w:ind w:hanging="360" w:left="360"/>
      <w:jc w:val="both"/>
    </w:pPr>
    <w:rPr>
      <w:rFonts w:ascii="Arial" w:hAnsi="Arial" w:eastAsia="MS Mincho" w:cs="Arial"/>
      <w:color w:val="000000"/>
      <w:kern w:val="0"/>
    </w:rPr>
  </w:style>
  <w:style w:type="paragraph" w:styleId="Nivel4" w:customStyle="1">
    <w:name w:val="Nivel 4"/>
    <w:basedOn w:val="Nivel3"/>
    <w:qFormat/>
    <w:rsid w:val="005c3759"/>
    <w:pPr/>
    <w:rPr/>
  </w:style>
  <w:style w:type="paragraph" w:styleId="Nivel5" w:customStyle="1">
    <w:name w:val="Nivel 5"/>
    <w:basedOn w:val="Nivel4"/>
    <w:qFormat/>
    <w:rsid w:val="005c3759"/>
    <w:pPr/>
    <w:rPr/>
  </w:style>
  <w:style w:type="paragraph" w:styleId="citao2" w:customStyle="1">
    <w:name w:val="citação 2"/>
    <w:basedOn w:val="Quote"/>
    <w:qFormat/>
    <w:rsid w:val="005c3759"/>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cs="Tahoma"/>
      <w:kern w:val="0"/>
    </w:rPr>
  </w:style>
  <w:style w:type="paragraph" w:styleId="CommentText">
    <w:name w:val="annotation text"/>
    <w:basedOn w:val="Normal"/>
    <w:link w:val="TextodecomentrioChar1"/>
    <w:uiPriority w:val="99"/>
    <w:semiHidden/>
    <w:unhideWhenUsed/>
    <w:rsid w:val="005c3759"/>
    <w:pPr/>
    <w:rPr/>
  </w:style>
  <w:style w:type="paragraph" w:styleId="annotationsubject">
    <w:name w:val="annotation subject"/>
    <w:basedOn w:val="Textodecomentrio1"/>
    <w:next w:val="Textodecomentrio1"/>
    <w:link w:val="AssuntodocomentrioChar1"/>
    <w:qFormat/>
    <w:rsid w:val="005c3759"/>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rsid w:val="005c3759"/>
    <w:pPr>
      <w:ind w:hanging="0" w:left="0"/>
    </w:pPr>
    <w:rPr>
      <w:rFonts w:eastAsia="Times New Roman"/>
      <w:i/>
      <w:iCs/>
      <w:color w:val="FF0000"/>
    </w:rPr>
  </w:style>
  <w:style w:type="paragraph" w:styleId="ou" w:customStyle="1">
    <w:name w:val="ou"/>
    <w:basedOn w:val="ListParagraph"/>
    <w:qFormat/>
    <w:rsid w:val="005c3759"/>
    <w:pPr>
      <w:spacing w:lineRule="auto" w:line="252" w:before="60" w:after="60"/>
      <w:ind w:left="0"/>
      <w:contextualSpacing w:val="false"/>
      <w:jc w:val="center"/>
    </w:pPr>
    <w:rPr>
      <w:rFonts w:ascii="Arial" w:hAnsi="Arial" w:eastAsia="Calibri" w:cs="Arial"/>
      <w:b/>
      <w:bCs/>
      <w:i/>
      <w:iCs/>
      <w:color w:val="FF0000"/>
      <w:kern w:val="0"/>
      <w:u w:val="single"/>
    </w:rPr>
  </w:style>
  <w:style w:type="paragraph" w:styleId="Nvel3-R" w:customStyle="1">
    <w:name w:val="Nível 3-R"/>
    <w:basedOn w:val="Nivel3"/>
    <w:qFormat/>
    <w:rsid w:val="005c3759"/>
    <w:pPr>
      <w:ind w:hanging="0" w:left="284"/>
    </w:pPr>
    <w:rPr>
      <w:rFonts w:eastAsia="Times New Roman"/>
      <w:i/>
      <w:iCs/>
      <w:color w:val="FF0000"/>
    </w:rPr>
  </w:style>
  <w:style w:type="paragraph" w:styleId="Nvel4-R" w:customStyle="1">
    <w:name w:val="Nível 4-R"/>
    <w:basedOn w:val="Nivel4"/>
    <w:qFormat/>
    <w:rsid w:val="005c3759"/>
    <w:pPr>
      <w:numPr>
        <w:ilvl w:val="0"/>
        <w:numId w:val="1"/>
      </w:numPr>
    </w:pPr>
    <w:rPr>
      <w:i/>
      <w:iCs/>
      <w:color w:val="FF0000"/>
    </w:rPr>
  </w:style>
  <w:style w:type="paragraph" w:styleId="Nvel1-SemNum" w:customStyle="1">
    <w:name w:val="Nível 1-Sem Num"/>
    <w:basedOn w:val="Nivel01"/>
    <w:qFormat/>
    <w:rsid w:val="005c3759"/>
    <w:pPr>
      <w:numPr>
        <w:ilvl w:val="0"/>
        <w:numId w:val="0"/>
      </w:numPr>
      <w:ind w:left="357"/>
      <w:outlineLvl w:val="1"/>
    </w:pPr>
    <w:rPr/>
  </w:style>
  <w:style w:type="paragraph" w:styleId="Revision">
    <w:name w:val="Revision"/>
    <w:qFormat/>
    <w:rsid w:val="005c3759"/>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14:ligatures w14:val="none"/>
    </w:rPr>
  </w:style>
  <w:style w:type="paragraph" w:styleId="dou-paragraph" w:customStyle="1">
    <w:name w:val="dou-paragraph"/>
    <w:basedOn w:val="Normal"/>
    <w:qFormat/>
    <w:rsid w:val="005c3759"/>
    <w:pPr>
      <w:spacing w:beforeAutospacing="1" w:afterAutospacing="1"/>
    </w:pPr>
    <w:rPr>
      <w:kern w:val="0"/>
      <w:sz w:val="24"/>
      <w:szCs w:val="24"/>
      <w:lang w:eastAsia="pt-BR"/>
    </w:rPr>
  </w:style>
  <w:style w:type="paragraph" w:styleId="ListParagraphdescritivo" w:customStyle="1">
    <w:name w:val="List Paragraph;descritivo"/>
    <w:basedOn w:val="Normal"/>
    <w:qFormat/>
    <w:rsid w:val="005c3759"/>
    <w:pPr>
      <w:widowControl w:val="false"/>
      <w:spacing w:before="11" w:after="0"/>
      <w:ind w:hanging="339" w:left="835"/>
      <w:jc w:val="both"/>
    </w:pPr>
    <w:rPr>
      <w:rFonts w:ascii="Arial MT" w:hAnsi="Arial MT" w:eastAsia="Arial MT" w:cs="Arial MT"/>
      <w:color w:val="000000"/>
      <w:sz w:val="22"/>
      <w:szCs w:val="22"/>
      <w:lang w:val="pt-PT"/>
    </w:rPr>
  </w:style>
  <w:style w:type="paragraph" w:styleId="caption1" w:customStyle="1">
    <w:name w:val="caption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 w:customStyle="1">
    <w:name w:val="caption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 w:customStyle="1">
    <w:name w:val="caption11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11" w:customStyle="1">
    <w:name w:val="caption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 w:customStyle="1">
    <w:name w:val="caption1111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1111" w:customStyle="1">
    <w:name w:val="caption11111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11111" w:customStyle="1">
    <w:name w:val="caption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 w:customStyle="1">
    <w:name w:val="caption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 w:customStyle="1">
    <w:name w:val="caption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 w:customStyle="1">
    <w:name w:val="caption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 w:customStyle="1">
    <w:name w:val="caption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 w:customStyle="1">
    <w:name w:val="caption11111111111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11111111111" w:customStyle="1">
    <w:name w:val="caption111111111111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111111111111" w:customStyle="1">
    <w:name w:val="caption11111111111111"/>
    <w:basedOn w:val="Normal"/>
    <w:qFormat/>
    <w:rsid w:val="00cf1ec6"/>
    <w:pPr>
      <w:suppressLineNumbers/>
      <w:spacing w:before="120" w:after="120"/>
    </w:pPr>
    <w:rPr>
      <w:rFonts w:ascii="Liberation Serif" w:hAnsi="Liberation Serif" w:eastAsia="NSimSun" w:cs="Arial Unicode MS"/>
      <w:i/>
      <w:iCs/>
      <w:sz w:val="24"/>
      <w:szCs w:val="24"/>
      <w:lang w:bidi="hi-IN"/>
    </w:rPr>
  </w:style>
  <w:style w:type="paragraph" w:styleId="caption111111111111111" w:customStyle="1">
    <w:name w:val="caption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 w:customStyle="1">
    <w:name w:val="caption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 w:customStyle="1">
    <w:name w:val="caption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 w:customStyle="1">
    <w:name w:val="caption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1" w:customStyle="1">
    <w:name w:val="caption1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11" w:customStyle="1">
    <w:name w:val="caption11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111" w:customStyle="1">
    <w:name w:val="caption111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1111" w:customStyle="1">
    <w:name w:val="caption1111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11111" w:customStyle="1">
    <w:name w:val="caption11111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caption111111111111111111111111" w:customStyle="1">
    <w:name w:val="caption111111111111111111111111"/>
    <w:basedOn w:val="Normal"/>
    <w:qFormat/>
    <w:rsid w:val="00cf1ec6"/>
    <w:pPr>
      <w:suppressLineNumbers/>
      <w:spacing w:before="120" w:after="120"/>
    </w:pPr>
    <w:rPr>
      <w:rFonts w:ascii="Liberation Serif" w:hAnsi="Liberation Serif" w:eastAsia="NSimSun" w:cs="Arial"/>
      <w:i/>
      <w:iCs/>
      <w:sz w:val="24"/>
      <w:szCs w:val="24"/>
      <w:lang w:bidi="hi-IN"/>
    </w:rPr>
  </w:style>
  <w:style w:type="paragraph" w:styleId="TableParagraph" w:customStyle="1">
    <w:name w:val="Table Paragraph"/>
    <w:basedOn w:val="Normal"/>
    <w:qFormat/>
    <w:rsid w:val="00cf1ec6"/>
    <w:pPr>
      <w:widowControl w:val="false"/>
      <w:spacing w:before="56" w:after="0"/>
      <w:jc w:val="center"/>
    </w:pPr>
    <w:rPr>
      <w:rFonts w:ascii="Arial" w:hAnsi="Arial" w:eastAsia="Arial" w:cs="Arial"/>
      <w:sz w:val="22"/>
      <w:szCs w:val="22"/>
      <w:lang w:val="pt-PT"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package" Target="embeddings/oleObject1.xlsx"/><Relationship Id="rId22" Type="http://schemas.openxmlformats.org/officeDocument/2006/relationships/image" Target="media/image8.wmf"/><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26" Type="http://schemas.openxmlformats.org/officeDocument/2006/relationships/hyperlink" Target="http://www.bbmnetlicitacoes.com.br/" TargetMode="External"/><Relationship Id="rId27" Type="http://schemas.openxmlformats.org/officeDocument/2006/relationships/hyperlink" Target="http://www.itatiba.sp.gov.br/" TargetMode="External"/><Relationship Id="rId28" Type="http://schemas.openxmlformats.org/officeDocument/2006/relationships/hyperlink" Target="http://www.bbmnetlicitacoes.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0.png"/>
</Relationships>
</file>

<file path=word/_rels/footer3.xml.rels><?xml version="1.0" encoding="UTF-8"?>
<Relationships xmlns="http://schemas.openxmlformats.org/package/2006/relationships"><Relationship Id="rId1" Type="http://schemas.openxmlformats.org/officeDocument/2006/relationships/image" Target="media/image10.png"/>
</Relationships>
</file>

<file path=word/_rels/header2.xml.rels><?xml version="1.0" encoding="UTF-8"?>
<Relationships xmlns="http://schemas.openxmlformats.org/package/2006/relationships"><Relationship Id="rId1" Type="http://schemas.openxmlformats.org/officeDocument/2006/relationships/image" Target="media/image9.png"/>
</Relationships>
</file>

<file path=word/_rels/header3.xml.rels><?xml version="1.0" encoding="UTF-8"?>
<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BE53-E900-4004-8869-A052032A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Application>LibreOffice/24.8.0.3$Windows_X86_64 LibreOffice_project/0bdf1299c94fe897b119f97f3c613e9dca6be583</Application>
  <AppVersion>15.0000</AppVersion>
  <Pages>116</Pages>
  <Words>32916</Words>
  <Characters>187059</Characters>
  <CharactersWithSpaces>218763</CharactersWithSpaces>
  <Paragraphs>2147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2025-11-11T19:13:00Z</dcterms:created>
  <dc:creator>Adriana Stocco</dc:creator>
  <dc:description/>
  <dc:language>pt-BR</dc:language>
  <cp:lastModifiedBy/>
  <cp:lastPrinted>2025-11-19T10:35:00Z</cp:lastPrinted>
  <dcterms:modified xsi:type="dcterms:W3CDTF">2025-12-04T09:02:55Z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