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t>PROCESSO ADMINISTRATIVO Nº 3.042/2026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PREGÃO ELETRÔNICO Nº 34/2026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sz w:val="22"/>
          <w:szCs w:val="22"/>
        </w:rPr>
      </w:pPr>
      <w:r>
        <w:rPr>
          <w:rFonts w:cs="Arial" w:ascii="Arial" w:hAnsi="Arial"/>
          <w:b/>
          <w:bCs/>
          <w:sz w:val="22"/>
          <w:szCs w:val="22"/>
        </w:rPr>
        <w:t>EDITAL Nº 48/2026</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Registro de Preços pelo prazo de 12 (doze) meses, para eventual AQUISIÇÃO DE SUPLEMENTO ALIMENTAR.</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R$ 1.</w:t>
      </w:r>
      <w:r>
        <w:rPr>
          <w:rFonts w:cs="Arial" w:ascii="Arial" w:hAnsi="Arial"/>
          <w:sz w:val="22"/>
          <w:szCs w:val="22"/>
        </w:rPr>
        <w:t>169</w:t>
      </w:r>
      <w:r>
        <w:rPr>
          <w:rFonts w:cs="Arial" w:ascii="Arial" w:hAnsi="Arial"/>
          <w:sz w:val="22"/>
          <w:szCs w:val="22"/>
        </w:rPr>
        <w:t>.</w:t>
      </w:r>
      <w:r>
        <w:rPr>
          <w:rFonts w:cs="Arial" w:ascii="Arial" w:hAnsi="Arial"/>
          <w:sz w:val="22"/>
          <w:szCs w:val="22"/>
        </w:rPr>
        <w:t>675</w:t>
      </w:r>
      <w:r>
        <w:rPr>
          <w:rFonts w:cs="Arial" w:ascii="Arial" w:hAnsi="Arial"/>
          <w:sz w:val="22"/>
          <w:szCs w:val="22"/>
        </w:rPr>
        <w:t>,</w:t>
      </w:r>
      <w:r>
        <w:rPr>
          <w:rFonts w:cs="Arial" w:ascii="Arial" w:hAnsi="Arial"/>
          <w:sz w:val="22"/>
          <w:szCs w:val="22"/>
        </w:rPr>
        <w:t>48</w:t>
      </w:r>
      <w:r>
        <w:rPr>
          <w:rFonts w:cs="Arial" w:ascii="Arial" w:hAnsi="Arial"/>
          <w:sz w:val="22"/>
          <w:szCs w:val="22"/>
        </w:rPr>
        <w:t xml:space="preserve"> (</w:t>
      </w:r>
      <w:r>
        <w:rPr>
          <w:rFonts w:cs="Arial" w:ascii="Arial" w:hAnsi="Arial"/>
          <w:sz w:val="22"/>
          <w:szCs w:val="22"/>
        </w:rPr>
        <w:t>u</w:t>
      </w:r>
      <w:r>
        <w:rPr>
          <w:rFonts w:cs="Arial" w:ascii="Arial" w:hAnsi="Arial"/>
          <w:sz w:val="22"/>
          <w:szCs w:val="22"/>
        </w:rPr>
        <w:t>m milhão, cento e sessenta e nove mil, seiscentos e setenta e cinco reais e quarenta e oito centavos)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DATA DA SESSÃO PÚBLICA – Data 25 de junho de 2026</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sz w:val="22"/>
          <w:szCs w:val="22"/>
        </w:rPr>
        <w:t>25/06/2026</w:t>
        <w:tab/>
        <w:tab/>
        <w:t>08h50min</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Abertura das Propostas:</w:t>
        <w:tab/>
        <w:tab/>
        <w:tab/>
      </w:r>
      <w:r>
        <w:rPr>
          <w:rFonts w:cs="Arial" w:ascii="Arial" w:hAnsi="Arial"/>
          <w:sz w:val="22"/>
          <w:szCs w:val="22"/>
        </w:rPr>
        <w:t>25/06/2026</w:t>
        <w:tab/>
        <w:tab/>
        <w:t>09 horas</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b/>
          <w:bCs/>
          <w:sz w:val="22"/>
          <w:szCs w:val="22"/>
        </w:rPr>
        <w:t>Início do Pregão (fase competitiva)</w:t>
        <w:tab/>
      </w:r>
      <w:r>
        <w:rPr>
          <w:rFonts w:cs="Arial" w:ascii="Arial" w:hAnsi="Arial"/>
          <w:sz w:val="22"/>
          <w:szCs w:val="22"/>
        </w:rPr>
        <w:t>25/06/2026</w:t>
        <w:tab/>
        <w:tab/>
        <w:t>09h10min</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t>Pregão com cota exclusiva ME/EPP</w:t>
      </w:r>
    </w:p>
    <w:p>
      <w:pPr>
        <w:pStyle w:val="Normal"/>
        <w:pBdr>
          <w:top w:val="single" w:sz="4" w:space="1" w:color="000000"/>
          <w:left w:val="single" w:sz="4" w:space="4" w:color="000000"/>
          <w:bottom w:val="single" w:sz="4" w:space="1" w:color="000000"/>
          <w:right w:val="single" w:sz="4" w:space="4" w:color="000000"/>
        </w:pBdr>
        <w:spacing w:lineRule="auto" w:line="276"/>
        <w:rPr>
          <w:rFonts w:ascii="Arial" w:hAnsi="Arial" w:cs="Arial"/>
          <w:sz w:val="22"/>
          <w:szCs w:val="22"/>
        </w:rPr>
      </w:pPr>
      <w:r>
        <w:rPr>
          <w:rFonts w:cs="Arial" w:ascii="Arial" w:hAnsi="Arial"/>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4"/>
        <w:rPr>
          <w:rFonts w:ascii="Arial" w:hAnsi="Arial" w:cs="Arial"/>
          <w:b/>
          <w:bCs/>
          <w:sz w:val="22"/>
          <w:szCs w:val="22"/>
        </w:rPr>
      </w:pPr>
      <w:r>
        <w:rPr>
          <w:rFonts w:cs="Arial" w:ascii="Arial" w:hAnsi="Arial"/>
          <w:b/>
          <w:bCs/>
          <w:sz w:val="22"/>
          <w:szCs w:val="22"/>
        </w:rPr>
        <w:t>SECRETARIA DA SAÚDE</w:t>
      </w:r>
    </w:p>
    <w:p>
      <w:pPr>
        <w:pStyle w:val="Normal"/>
        <w:spacing w:lineRule="auto" w:line="276"/>
        <w:ind w:right="-54"/>
        <w:rPr>
          <w:rFonts w:ascii="Arial" w:hAnsi="Arial" w:cs="Arial"/>
          <w:b/>
          <w:bCs/>
          <w:sz w:val="22"/>
          <w:szCs w:val="22"/>
        </w:rPr>
      </w:pPr>
      <w:r>
        <w:rPr>
          <w:rFonts w:cs="Arial" w:ascii="Arial" w:hAnsi="Arial"/>
          <w:b/>
          <w:bCs/>
          <w:sz w:val="22"/>
          <w:szCs w:val="22"/>
        </w:rPr>
        <w:t>PROCESSO ADMINISTRATIVO Nº 3.042/2026</w:t>
      </w:r>
    </w:p>
    <w:p>
      <w:pPr>
        <w:pStyle w:val="Normal"/>
        <w:spacing w:lineRule="auto" w:line="276"/>
        <w:ind w:right="-54"/>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b/>
          <w:bCs/>
          <w:sz w:val="22"/>
          <w:szCs w:val="22"/>
        </w:rPr>
      </w:pPr>
      <w:r>
        <w:rPr>
          <w:rFonts w:cs="Arial" w:ascii="Arial" w:hAnsi="Arial"/>
          <w:b/>
          <w:bCs/>
          <w:sz w:val="22"/>
          <w:szCs w:val="22"/>
        </w:rPr>
      </w:r>
    </w:p>
    <w:p>
      <w:pPr>
        <w:pStyle w:val="Normal"/>
        <w:spacing w:lineRule="auto" w:line="276"/>
        <w:ind w:firstLine="567"/>
        <w:jc w:val="center"/>
        <w:rPr>
          <w:rFonts w:ascii="Arial" w:hAnsi="Arial" w:cs="Arial"/>
          <w:sz w:val="22"/>
          <w:szCs w:val="22"/>
        </w:rPr>
      </w:pPr>
      <w:r>
        <w:rPr>
          <w:rFonts w:cs="Arial" w:ascii="Arial" w:hAnsi="Arial"/>
          <w:b/>
          <w:sz w:val="22"/>
          <w:szCs w:val="22"/>
        </w:rPr>
        <w:t>PREGÃO ELETRÔNICO Nº 34/2026</w:t>
      </w:r>
    </w:p>
    <w:p>
      <w:pPr>
        <w:pStyle w:val="Normal"/>
        <w:spacing w:lineRule="auto" w:line="276"/>
        <w:ind w:firstLine="567"/>
        <w:jc w:val="center"/>
        <w:rPr>
          <w:rFonts w:ascii="Arial" w:hAnsi="Arial" w:cs="Arial"/>
          <w:b/>
          <w:sz w:val="22"/>
          <w:szCs w:val="22"/>
        </w:rPr>
      </w:pPr>
      <w:r>
        <w:rPr>
          <w:rFonts w:cs="Arial" w:ascii="Arial" w:hAnsi="Arial"/>
          <w:b/>
          <w:sz w:val="22"/>
          <w:szCs w:val="22"/>
        </w:rPr>
        <w:t>EDITAL Nº 48/2026</w:t>
      </w:r>
    </w:p>
    <w:p>
      <w:pPr>
        <w:pStyle w:val="Normal"/>
        <w:spacing w:lineRule="auto" w:line="276"/>
        <w:ind w:firstLine="567"/>
        <w:jc w:val="center"/>
        <w:rPr>
          <w:rFonts w:ascii="Arial" w:hAnsi="Arial" w:cs="Arial"/>
          <w:sz w:val="22"/>
          <w:szCs w:val="22"/>
        </w:rPr>
      </w:pPr>
      <w:r>
        <w:rPr>
          <w:rFonts w:cs="Arial" w:ascii="Arial" w:hAnsi="Arial"/>
          <w:sz w:val="22"/>
          <w:szCs w:val="22"/>
        </w:rPr>
      </w:r>
    </w:p>
    <w:p>
      <w:pPr>
        <w:pStyle w:val="Normal"/>
        <w:snapToGrid w:val="false"/>
        <w:spacing w:lineRule="auto" w:line="276"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SAÚDE,</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Style"/>
            <w:rFonts w:cs="Arial" w:ascii="Arial" w:hAnsi="Arial"/>
            <w:sz w:val="22"/>
            <w:szCs w:val="22"/>
          </w:rPr>
          <w:t>Lei nº 14.133/2021</w:t>
        </w:r>
      </w:hyperlink>
      <w:r>
        <w:rPr>
          <w:rFonts w:cs="Arial" w:ascii="Arial" w:hAnsi="Arial"/>
          <w:sz w:val="22"/>
          <w:szCs w:val="22"/>
        </w:rPr>
        <w:t xml:space="preserve"> e Decreto 11.462/2023, e demais legislação aplicável e, ainda, de acordo com as condições estabelecidas neste Edital.</w:t>
      </w:r>
    </w:p>
    <w:p>
      <w:pPr>
        <w:pStyle w:val="Nivel01"/>
        <w:numPr>
          <w:ilvl w:val="0"/>
          <w:numId w:val="3"/>
        </w:numPr>
        <w:spacing w:lineRule="auto" w:line="276" w:before="0" w:after="0"/>
        <w:ind w:hanging="0" w:left="0"/>
        <w:rPr>
          <w:sz w:val="22"/>
          <w:szCs w:val="22"/>
          <w:lang w:eastAsia="en-US"/>
        </w:rPr>
      </w:pPr>
      <w:r>
        <w:rPr>
          <w:sz w:val="22"/>
          <w:szCs w:val="22"/>
          <w:lang w:eastAsia="en-US"/>
        </w:rPr>
        <w:t>DO OBJETO</w:t>
      </w:r>
    </w:p>
    <w:p>
      <w:pPr>
        <w:pStyle w:val="Nivel2"/>
        <w:tabs>
          <w:tab w:val="clear" w:pos="0"/>
        </w:tabs>
        <w:spacing w:before="0" w:after="0"/>
        <w:ind w:hanging="0" w:left="0"/>
        <w:rPr>
          <w:color w:val="auto"/>
          <w:sz w:val="22"/>
          <w:szCs w:val="22"/>
        </w:rPr>
      </w:pPr>
      <w:r>
        <w:rPr>
          <w:color w:val="auto"/>
          <w:sz w:val="22"/>
          <w:szCs w:val="22"/>
        </w:rPr>
        <w:t>1.1 - O objeto da presente licitação é o Registro de Preço, pelo prazo de 12 (doze) meses, para eventual AQUISIÇÃO DE SUPLEMENTO ALIMENTAR, conforme condições, quantidades e exigências estabelecidas neste Edital e seus anexos.</w:t>
      </w:r>
    </w:p>
    <w:p>
      <w:pPr>
        <w:pStyle w:val="Nivel2"/>
        <w:tabs>
          <w:tab w:val="clear" w:pos="0"/>
        </w:tabs>
        <w:spacing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before="0" w:after="0"/>
        <w:ind w:hanging="0" w:left="0"/>
        <w:rPr>
          <w:color w:val="auto"/>
          <w:sz w:val="22"/>
          <w:szCs w:val="22"/>
        </w:rPr>
      </w:pPr>
      <w:r>
        <w:rPr>
          <w:color w:val="auto"/>
          <w:sz w:val="22"/>
          <w:szCs w:val="22"/>
        </w:rPr>
        <w:t xml:space="preserve">1.3 - Os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tabs>
          <w:tab w:val="clear" w:pos="0"/>
        </w:tabs>
        <w:spacing w:before="0" w:after="0"/>
        <w:ind w:hanging="0" w:left="0"/>
        <w:rPr>
          <w:color w:val="auto"/>
          <w:sz w:val="22"/>
          <w:szCs w:val="22"/>
        </w:rPr>
      </w:pPr>
      <w:r>
        <w:rPr>
          <w:color w:val="auto"/>
          <w:sz w:val="22"/>
          <w:szCs w:val="22"/>
        </w:rPr>
        <w:t>1.4 - Os quantitativos totais expressos no Anexo I, deste edital, são estimativos e representam a previsão da Secretaria requisitante, pelo prazo de 12 (doze) meses.</w:t>
      </w:r>
    </w:p>
    <w:p>
      <w:pPr>
        <w:pStyle w:val="Nivel2"/>
        <w:tabs>
          <w:tab w:val="clear" w:pos="0"/>
        </w:tabs>
        <w:spacing w:before="0" w:after="0"/>
        <w:ind w:hanging="0" w:left="0"/>
        <w:rPr>
          <w:color w:val="auto"/>
          <w:sz w:val="22"/>
          <w:szCs w:val="22"/>
        </w:rPr>
      </w:pPr>
      <w:r>
        <w:rPr>
          <w:color w:val="auto"/>
          <w:sz w:val="22"/>
          <w:szCs w:val="22"/>
        </w:rPr>
        <w:t>1.5 -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tabs>
          <w:tab w:val="clear" w:pos="0"/>
        </w:tabs>
        <w:spacing w:before="0" w:after="0"/>
        <w:ind w:hanging="0" w:left="0"/>
        <w:rPr>
          <w:color w:val="auto"/>
          <w:sz w:val="22"/>
          <w:szCs w:val="22"/>
        </w:rPr>
      </w:pPr>
      <w:r>
        <w:rPr>
          <w:color w:val="auto"/>
          <w:sz w:val="22"/>
          <w:szCs w:val="22"/>
        </w:rPr>
        <w:t>1.6 – O objeto desta licitação será subsidiado com Recursos Próprios da Administração e com Recursos Federais não decorrentes de Transferência Voluntária.</w:t>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DA PARTICIPAÇÃO NA LICITAÇÃO</w:t>
      </w:r>
    </w:p>
    <w:p>
      <w:pPr>
        <w:pStyle w:val="Nivel2"/>
        <w:numPr>
          <w:ilvl w:val="1"/>
          <w:numId w:val="3"/>
        </w:numPr>
        <w:spacing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before="0" w:after="0"/>
        <w:ind w:hanging="0" w:left="0"/>
        <w:rPr>
          <w:rFonts w:eastAsia="Times New Roman"/>
          <w:color w:val="auto"/>
          <w:sz w:val="22"/>
          <w:szCs w:val="22"/>
        </w:rPr>
      </w:pPr>
      <w:bookmarkStart w:id="0" w:name="_Ref117000692"/>
      <w:r>
        <w:rPr>
          <w:rFonts w:eastAsia="Times New Roman"/>
          <w:color w:val="auto"/>
          <w:sz w:val="22"/>
          <w:szCs w:val="22"/>
        </w:rPr>
        <w:t>Não poderão disputar esta licitação:</w:t>
      </w:r>
      <w:bookmarkEnd w:id="0"/>
    </w:p>
    <w:p>
      <w:pPr>
        <w:pStyle w:val="Normal"/>
        <w:numPr>
          <w:ilvl w:val="2"/>
          <w:numId w:val="3"/>
        </w:numPr>
        <w:tabs>
          <w:tab w:val="left" w:pos="709" w:leader="none"/>
          <w:tab w:val="left" w:pos="1134" w:leader="none"/>
        </w:tabs>
        <w:suppressAutoHyphens w:val="false"/>
        <w:snapToGrid w:val="false"/>
        <w:spacing w:lineRule="auto" w:line="276"/>
        <w:ind w:hanging="0" w:left="1134"/>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tabs>
          <w:tab w:val="clear" w:pos="0"/>
          <w:tab w:val="left" w:pos="1134" w:leader="none"/>
        </w:tabs>
        <w:spacing w:before="0" w:after="0"/>
        <w:ind w:hanging="0" w:left="1134"/>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tabs>
          <w:tab w:val="clear" w:pos="0"/>
          <w:tab w:val="left" w:pos="1134" w:leader="none"/>
        </w:tabs>
        <w:spacing w:before="0" w:after="0"/>
        <w:ind w:hanging="0" w:left="1134"/>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tabs>
          <w:tab w:val="clear" w:pos="0"/>
          <w:tab w:val="left" w:pos="1134" w:leader="none"/>
        </w:tabs>
        <w:spacing w:before="0" w:after="0"/>
        <w:ind w:hanging="0" w:left="1134"/>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3"/>
        </w:numPr>
        <w:tabs>
          <w:tab w:val="clear" w:pos="709"/>
          <w:tab w:val="left" w:pos="1134" w:leader="none"/>
        </w:tabs>
        <w:suppressAutoHyphens w:val="false"/>
        <w:snapToGrid w:val="false"/>
        <w:spacing w:lineRule="auto" w:line="276"/>
        <w:ind w:hanging="0" w:left="1134"/>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3"/>
        </w:numPr>
        <w:spacing w:lineRule="auto" w:line="276" w:before="0" w:after="0"/>
        <w:ind w:hanging="0" w:left="0"/>
        <w:rPr>
          <w:sz w:val="22"/>
          <w:szCs w:val="22"/>
        </w:rPr>
      </w:pPr>
      <w:r>
        <w:rPr>
          <w:sz w:val="22"/>
          <w:szCs w:val="22"/>
        </w:rPr>
        <w:t>DA APRESENTAÇÃO DA PROPOSTA E DOS DOCUMENTOS DE HABILITAÇÃO</w:t>
      </w:r>
    </w:p>
    <w:p>
      <w:pPr>
        <w:pStyle w:val="Nivel2"/>
        <w:numPr>
          <w:ilvl w:val="1"/>
          <w:numId w:val="3"/>
        </w:numPr>
        <w:spacing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3"/>
        </w:numPr>
        <w:spacing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3"/>
        </w:numPr>
        <w:spacing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3"/>
        </w:numPr>
        <w:spacing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3"/>
        </w:numPr>
        <w:spacing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3"/>
        </w:numPr>
        <w:spacing w:before="0" w:after="0"/>
        <w:ind w:hanging="0" w:left="0"/>
        <w:rPr>
          <w:color w:val="auto"/>
          <w:sz w:val="22"/>
          <w:szCs w:val="22"/>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3"/>
        </w:numPr>
        <w:spacing w:before="0" w:after="0"/>
        <w:ind w:hanging="0" w:left="0"/>
        <w:rPr>
          <w:color w:val="auto"/>
          <w:sz w:val="22"/>
          <w:szCs w:val="22"/>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3"/>
        </w:numPr>
        <w:spacing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3"/>
        </w:numPr>
        <w:spacing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3"/>
        </w:numPr>
        <w:spacing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3"/>
        </w:numPr>
        <w:spacing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before="0" w:after="0"/>
        <w:ind w:hanging="0" w:left="0"/>
        <w:rPr>
          <w:color w:val="auto"/>
          <w:sz w:val="22"/>
          <w:szCs w:val="22"/>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3"/>
        </w:numPr>
        <w:spacing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3"/>
        </w:numPr>
        <w:tabs>
          <w:tab w:val="clear" w:pos="0"/>
        </w:tabs>
        <w:spacing w:before="0" w:after="0"/>
        <w:ind w:hanging="0" w:left="1134"/>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3"/>
        </w:numPr>
        <w:tabs>
          <w:tab w:val="clear" w:pos="0"/>
        </w:tabs>
        <w:spacing w:before="0" w:after="0"/>
        <w:ind w:hanging="0" w:left="1134"/>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3"/>
        </w:numPr>
        <w:spacing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3"/>
        </w:numPr>
        <w:spacing w:before="0" w:after="0"/>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3"/>
        </w:numPr>
        <w:spacing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276"/>
        <w:rPr>
          <w:rFonts w:ascii="Arial" w:hAnsi="Arial" w:cs="Arial"/>
          <w:sz w:val="22"/>
          <w:szCs w:val="22"/>
        </w:rPr>
      </w:pPr>
      <w:r>
        <w:rPr>
          <w:rFonts w:cs="Arial" w:ascii="Arial" w:hAnsi="Arial"/>
          <w:sz w:val="22"/>
          <w:szCs w:val="22"/>
        </w:rPr>
        <w:tab/>
      </w:r>
    </w:p>
    <w:p>
      <w:pPr>
        <w:pStyle w:val="Nivel01"/>
        <w:numPr>
          <w:ilvl w:val="0"/>
          <w:numId w:val="3"/>
        </w:numPr>
        <w:spacing w:lineRule="auto" w:line="276" w:before="0" w:after="0"/>
        <w:ind w:hanging="0" w:left="0"/>
        <w:rPr>
          <w:sz w:val="22"/>
          <w:szCs w:val="22"/>
        </w:rPr>
      </w:pPr>
      <w:r>
        <w:rPr>
          <w:sz w:val="22"/>
          <w:szCs w:val="22"/>
        </w:rPr>
        <w:t>DO PREENCHIMENTO DA PROPOSTA</w:t>
      </w:r>
    </w:p>
    <w:p>
      <w:pPr>
        <w:pStyle w:val="Nivel2"/>
        <w:numPr>
          <w:ilvl w:val="1"/>
          <w:numId w:val="3"/>
        </w:numPr>
        <w:spacing w:before="0" w:after="0"/>
        <w:ind w:hanging="0" w:left="0"/>
        <w:rPr>
          <w:color w:val="auto"/>
          <w:sz w:val="22"/>
          <w:szCs w:val="22"/>
        </w:rPr>
      </w:pPr>
      <w:r>
        <w:rPr>
          <w:color w:val="auto"/>
          <w:sz w:val="22"/>
          <w:szCs w:val="22"/>
        </w:rPr>
        <w:t>O licitante deverá enviar sua proposta mediante o preenchimento, no sistema eletrônico, do campo: VALOR UNITÁRIO DO ITEM e MARCA.</w:t>
      </w:r>
    </w:p>
    <w:p>
      <w:pPr>
        <w:pStyle w:val="Nivel2"/>
        <w:numPr>
          <w:ilvl w:val="1"/>
          <w:numId w:val="3"/>
        </w:numPr>
        <w:spacing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3"/>
        </w:numPr>
        <w:spacing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spacing w:before="0" w:after="0"/>
        <w:ind w:hanging="0" w:left="0"/>
        <w:rPr>
          <w:b/>
          <w:bCs/>
          <w:color w:val="auto"/>
          <w:sz w:val="22"/>
          <w:szCs w:val="22"/>
        </w:rPr>
      </w:pPr>
      <w:r>
        <w:rPr>
          <w:b/>
          <w:bCs/>
          <w:color w:val="auto"/>
          <w:sz w:val="22"/>
          <w:szCs w:val="22"/>
        </w:rPr>
        <w:t>Será permitido o preço com até 03 (três) casas após a vírgula.</w:t>
      </w:r>
    </w:p>
    <w:p>
      <w:pPr>
        <w:pStyle w:val="Nivel2"/>
        <w:numPr>
          <w:ilvl w:val="1"/>
          <w:numId w:val="3"/>
        </w:numPr>
        <w:spacing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3"/>
        </w:numPr>
        <w:spacing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3"/>
        </w:numPr>
        <w:spacing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before="0" w:after="0"/>
        <w:ind w:hanging="0" w:left="0"/>
        <w:rPr>
          <w:color w:val="auto"/>
          <w:sz w:val="22"/>
          <w:szCs w:val="22"/>
        </w:rPr>
      </w:pPr>
      <w:r>
        <w:rPr>
          <w:color w:val="auto"/>
          <w:sz w:val="22"/>
          <w:szCs w:val="22"/>
        </w:rPr>
        <w:t xml:space="preserve">O prazo de validade da proposta é de </w:t>
      </w:r>
      <w:r>
        <w:rPr>
          <w:b/>
          <w:bCs/>
          <w:color w:val="auto"/>
          <w:sz w:val="22"/>
          <w:szCs w:val="22"/>
        </w:rPr>
        <w:t>90 (noventa)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3"/>
        </w:numPr>
        <w:spacing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EXIGÊNCIAS DE HABILITAÇÃO</w:t>
      </w:r>
    </w:p>
    <w:p>
      <w:pPr>
        <w:pStyle w:val="Normal"/>
        <w:spacing w:lineRule="auto" w:line="276"/>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276"/>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ivel2"/>
        <w:numPr>
          <w:ilvl w:val="1"/>
          <w:numId w:val="5"/>
        </w:numPr>
        <w:spacing w:before="0" w:after="0"/>
        <w:ind w:hanging="0" w:left="0"/>
        <w:rPr>
          <w:color w:val="auto"/>
          <w:sz w:val="22"/>
          <w:szCs w:val="22"/>
        </w:rPr>
      </w:pPr>
      <w:r>
        <w:rPr>
          <w:color w:val="auto"/>
          <w:sz w:val="22"/>
          <w:szCs w:val="22"/>
        </w:rPr>
        <w:t>Empresário individual: inscrição no Registro Público de Empresas Mercantis, a cargo da Junta Comercial da respectiva sede;</w:t>
      </w:r>
    </w:p>
    <w:p>
      <w:pPr>
        <w:pStyle w:val="Nivel2"/>
        <w:numPr>
          <w:ilvl w:val="1"/>
          <w:numId w:val="5"/>
        </w:numPr>
        <w:spacing w:before="0" w:after="0"/>
        <w:ind w:hanging="0" w:left="0"/>
        <w:rPr>
          <w:color w:val="auto"/>
          <w:sz w:val="22"/>
          <w:szCs w:val="22"/>
        </w:rPr>
      </w:pPr>
      <w:r>
        <w:rPr>
          <w:color w:val="auto"/>
          <w:sz w:val="22"/>
          <w:szCs w:val="22"/>
        </w:rPr>
        <w:t xml:space="preserve">Microempreendedor Individual - MEI: Certificado da Condição de Microempreendedor Individual - CCMEI, cuja aceitação ficará condicionada à verificação da autenticidade no sítio </w:t>
      </w:r>
      <w:hyperlink r:id="rId9">
        <w:r>
          <w:rPr>
            <w:rStyle w:val="Style"/>
            <w:color w:val="auto"/>
            <w:sz w:val="22"/>
            <w:szCs w:val="22"/>
          </w:rPr>
          <w:t>https://www.gov.br/empresas-enegocios/pt-br/empreendedor</w:t>
        </w:r>
      </w:hyperlink>
      <w:r>
        <w:rPr>
          <w:color w:val="auto"/>
          <w:sz w:val="22"/>
          <w:szCs w:val="22"/>
        </w:rPr>
        <w:t>;</w:t>
      </w:r>
    </w:p>
    <w:p>
      <w:pPr>
        <w:pStyle w:val="Nivel2"/>
        <w:numPr>
          <w:ilvl w:val="1"/>
          <w:numId w:val="5"/>
        </w:numPr>
        <w:spacing w:before="0" w:after="0"/>
        <w:ind w:hanging="0" w:left="0"/>
        <w:rPr>
          <w:color w:val="auto"/>
          <w:sz w:val="22"/>
          <w:szCs w:val="22"/>
        </w:rPr>
      </w:pPr>
      <w:r>
        <w:rPr>
          <w:color w:val="auto"/>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2"/>
        <w:numPr>
          <w:ilvl w:val="1"/>
          <w:numId w:val="5"/>
        </w:numPr>
        <w:spacing w:before="0" w:after="0"/>
        <w:ind w:hanging="0" w:left="0"/>
        <w:rPr>
          <w:color w:val="auto"/>
          <w:sz w:val="22"/>
          <w:szCs w:val="22"/>
        </w:rPr>
      </w:pPr>
      <w:r>
        <w:rPr>
          <w:color w:val="auto"/>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2"/>
        <w:numPr>
          <w:ilvl w:val="1"/>
          <w:numId w:val="5"/>
        </w:numPr>
        <w:spacing w:before="0" w:after="0"/>
        <w:ind w:hanging="0" w:left="0"/>
        <w:rPr>
          <w:color w:val="auto"/>
          <w:sz w:val="22"/>
          <w:szCs w:val="22"/>
        </w:rPr>
      </w:pPr>
      <w:r>
        <w:rPr>
          <w:color w:val="auto"/>
          <w:sz w:val="22"/>
          <w:szCs w:val="22"/>
        </w:rPr>
        <w:t>Sociedade simples: inscrição do ato constitutivo no Registro Civil de Pessoas Jurídicas do local de sua sede, acompanhada de documento comprobatório de seus administradores;</w:t>
      </w:r>
    </w:p>
    <w:p>
      <w:pPr>
        <w:pStyle w:val="Nivel2"/>
        <w:numPr>
          <w:ilvl w:val="1"/>
          <w:numId w:val="5"/>
        </w:numPr>
        <w:spacing w:before="0" w:after="0"/>
        <w:ind w:hanging="0" w:left="0"/>
        <w:rPr>
          <w:color w:val="auto"/>
          <w:sz w:val="22"/>
          <w:szCs w:val="22"/>
        </w:rPr>
      </w:pPr>
      <w:r>
        <w:rPr>
          <w:color w:val="auto"/>
          <w:sz w:val="22"/>
          <w:szCs w:val="22"/>
        </w:rPr>
        <w:t>Decreto de autorização, em se tratando de empresa ou sociedade estrangeira em funcionamento no País, e ato de registro ou autorização para funcionamento expedidos pelo órgão competente, quando a atividade assim o exigir.</w:t>
      </w:r>
    </w:p>
    <w:p>
      <w:pPr>
        <w:pStyle w:val="Nivel2"/>
        <w:numPr>
          <w:ilvl w:val="1"/>
          <w:numId w:val="5"/>
        </w:numPr>
        <w:spacing w:before="0" w:after="0"/>
        <w:ind w:hanging="0" w:left="0"/>
        <w:rPr>
          <w:color w:val="auto"/>
          <w:sz w:val="22"/>
          <w:szCs w:val="22"/>
        </w:rPr>
      </w:pPr>
      <w:r>
        <w:rPr>
          <w:color w:val="auto"/>
          <w:sz w:val="22"/>
          <w:szCs w:val="22"/>
        </w:rPr>
        <w:t xml:space="preserve">Os documentos apresentados deverão estar acompanhados de todas as alterações ou da consolidação respectiva. </w:t>
      </w:r>
    </w:p>
    <w:p>
      <w:pPr>
        <w:pStyle w:val="Normal"/>
        <w:spacing w:lineRule="auto" w:line="276"/>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276"/>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276"/>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276"/>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276"/>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276"/>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276"/>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276"/>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276"/>
        <w:ind w:right="-54"/>
        <w:jc w:val="both"/>
        <w:rPr>
          <w:rFonts w:ascii="Arial" w:hAnsi="Arial" w:cs="Arial"/>
          <w:sz w:val="22"/>
          <w:szCs w:val="22"/>
        </w:rPr>
      </w:pPr>
      <w:r>
        <w:rPr>
          <w:rFonts w:cs="Arial" w:ascii="Arial" w:hAnsi="Arial"/>
          <w:sz w:val="22"/>
          <w:szCs w:val="22"/>
        </w:rPr>
        <w:t xml:space="preserve">a) Certidão Negativa de </w:t>
      </w:r>
      <w:r>
        <w:rPr>
          <w:rFonts w:cs="Arial" w:ascii="Arial" w:hAnsi="Arial"/>
          <w:b/>
          <w:bCs/>
          <w:sz w:val="22"/>
          <w:szCs w:val="22"/>
        </w:rPr>
        <w:t>Falência, Concordata,</w:t>
      </w:r>
      <w:r>
        <w:rPr>
          <w:rFonts w:cs="Arial" w:ascii="Arial" w:hAnsi="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pPr>
        <w:pStyle w:val="Normal"/>
        <w:spacing w:lineRule="auto" w:line="276"/>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276"/>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276"/>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276"/>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276"/>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276"/>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276"/>
        <w:ind w:right="-57"/>
        <w:jc w:val="both"/>
        <w:rPr>
          <w:rFonts w:ascii="Arial" w:hAnsi="Arial" w:cs="Arial"/>
          <w:sz w:val="22"/>
          <w:szCs w:val="22"/>
        </w:rPr>
      </w:pPr>
      <w:r>
        <w:rPr>
          <w:rFonts w:cs="Arial" w:ascii="Arial" w:hAnsi="Arial"/>
          <w:sz w:val="22"/>
          <w:szCs w:val="22"/>
        </w:rPr>
      </w:r>
    </w:p>
    <w:p>
      <w:pPr>
        <w:pStyle w:val="Nivel01"/>
        <w:numPr>
          <w:ilvl w:val="0"/>
          <w:numId w:val="3"/>
        </w:numPr>
        <w:spacing w:lineRule="auto" w:line="276"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3"/>
        </w:numPr>
        <w:spacing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3"/>
        </w:numPr>
        <w:spacing w:before="0" w:after="0"/>
        <w:ind w:hanging="0" w:left="0"/>
        <w:rPr>
          <w:color w:val="auto"/>
          <w:sz w:val="22"/>
          <w:szCs w:val="22"/>
        </w:rPr>
      </w:pPr>
      <w:r>
        <w:rPr>
          <w:color w:val="auto"/>
          <w:sz w:val="22"/>
          <w:szCs w:val="22"/>
        </w:rPr>
        <w:t>Será desclassificada a proposta que identifique o licitante.</w:t>
      </w:r>
    </w:p>
    <w:p>
      <w:pPr>
        <w:pStyle w:val="Nivel2"/>
        <w:numPr>
          <w:ilvl w:val="1"/>
          <w:numId w:val="3"/>
        </w:numPr>
        <w:spacing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3"/>
        </w:numPr>
        <w:spacing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3"/>
        </w:numPr>
        <w:spacing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3"/>
        </w:numPr>
        <w:spacing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3"/>
        </w:numPr>
        <w:spacing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before="0" w:after="0"/>
        <w:ind w:hanging="0" w:left="0"/>
        <w:rPr>
          <w:color w:val="auto"/>
          <w:sz w:val="22"/>
          <w:szCs w:val="22"/>
        </w:rPr>
      </w:pPr>
      <w:r>
        <w:rPr>
          <w:color w:val="auto"/>
          <w:sz w:val="22"/>
          <w:szCs w:val="22"/>
        </w:rPr>
        <w:t xml:space="preserve">O lance deverá ser ofertado pelo </w:t>
      </w:r>
      <w:r>
        <w:rPr>
          <w:b/>
          <w:bCs/>
          <w:color w:val="auto"/>
          <w:sz w:val="22"/>
          <w:szCs w:val="22"/>
        </w:rPr>
        <w:t>VALOR UNITÁRIO DO ITEM</w:t>
      </w:r>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3"/>
        </w:numPr>
        <w:spacing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3"/>
        </w:numPr>
        <w:spacing w:before="0" w:after="0"/>
        <w:ind w:hanging="0" w:left="0"/>
        <w:rPr>
          <w:color w:val="auto"/>
          <w:sz w:val="22"/>
          <w:szCs w:val="22"/>
        </w:rPr>
      </w:pPr>
      <w:r>
        <w:rPr>
          <w:color w:val="auto"/>
          <w:sz w:val="22"/>
          <w:szCs w:val="22"/>
        </w:rPr>
        <w:t>O procedimento seguirá de acordo com o modo de disputa adotado.</w:t>
      </w:r>
    </w:p>
    <w:p>
      <w:pPr>
        <w:pStyle w:val="Nivel2"/>
        <w:numPr>
          <w:ilvl w:val="1"/>
          <w:numId w:val="3"/>
        </w:numPr>
        <w:spacing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3"/>
        </w:numPr>
        <w:tabs>
          <w:tab w:val="clear" w:pos="0"/>
        </w:tabs>
        <w:spacing w:before="0" w:after="0"/>
        <w:ind w:hanging="0" w:left="1134"/>
        <w:rPr>
          <w:color w:val="auto"/>
          <w:sz w:val="22"/>
          <w:szCs w:val="22"/>
        </w:rPr>
      </w:pPr>
      <w:bookmarkStart w:id="12" w:name="_Hlk113697759"/>
      <w:bookmarkEnd w:id="12"/>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tabs>
          <w:tab w:val="clear" w:pos="0"/>
        </w:tabs>
        <w:spacing w:before="0" w:after="0"/>
        <w:ind w:hanging="0" w:left="1134"/>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tabs>
          <w:tab w:val="clear" w:pos="0"/>
        </w:tabs>
        <w:spacing w:before="0" w:after="0"/>
        <w:ind w:hanging="0" w:left="1134"/>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3"/>
        </w:numPr>
        <w:spacing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3"/>
        </w:numPr>
        <w:spacing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3"/>
        </w:numPr>
        <w:spacing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0">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3"/>
        </w:numPr>
        <w:tabs>
          <w:tab w:val="clear" w:pos="0"/>
        </w:tabs>
        <w:spacing w:before="0" w:after="0"/>
        <w:ind w:hanging="0" w:left="1134"/>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3"/>
        </w:numPr>
        <w:tabs>
          <w:tab w:val="clear" w:pos="0"/>
        </w:tabs>
        <w:spacing w:before="0" w:after="0"/>
        <w:ind w:hanging="0" w:left="1134"/>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tabs>
          <w:tab w:val="clear" w:pos="0"/>
        </w:tabs>
        <w:spacing w:before="0" w:after="0"/>
        <w:ind w:hanging="0" w:left="1134"/>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tabs>
          <w:tab w:val="clear" w:pos="0"/>
          <w:tab w:val="left" w:pos="1134" w:leader="none"/>
        </w:tabs>
        <w:spacing w:before="0" w:after="0"/>
        <w:ind w:hanging="0" w:left="1134"/>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3"/>
        </w:numPr>
        <w:tabs>
          <w:tab w:val="clear" w:pos="0"/>
          <w:tab w:val="left" w:pos="1134" w:leader="none"/>
        </w:tabs>
        <w:spacing w:before="0" w:after="0"/>
        <w:ind w:hanging="0" w:left="1134"/>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3"/>
        </w:numPr>
        <w:spacing w:before="0" w:after="0"/>
        <w:ind w:hanging="0" w:left="0"/>
        <w:rPr>
          <w:color w:val="auto"/>
          <w:sz w:val="22"/>
          <w:szCs w:val="22"/>
        </w:rPr>
      </w:pPr>
      <w:bookmarkStart w:id="13" w:name="_Hlk114646655"/>
      <w:r>
        <w:rPr>
          <w:color w:val="auto"/>
          <w:sz w:val="22"/>
          <w:szCs w:val="22"/>
        </w:rPr>
        <w:t>Após a negociação do preço, o Pregoeiro iniciará a fase de aceitação e julgamento da proposta.</w:t>
      </w:r>
      <w:bookmarkEnd w:id="13"/>
    </w:p>
    <w:p>
      <w:pPr>
        <w:pStyle w:val="Nivel3"/>
        <w:numPr>
          <w:ilvl w:val="2"/>
          <w:numId w:val="3"/>
        </w:numPr>
        <w:tabs>
          <w:tab w:val="clear" w:pos="0"/>
        </w:tabs>
        <w:spacing w:before="0" w:after="0"/>
        <w:ind w:hanging="0" w:left="1134"/>
        <w:rPr>
          <w:color w:val="auto"/>
          <w:sz w:val="22"/>
          <w:szCs w:val="22"/>
        </w:rPr>
      </w:pPr>
      <w:r>
        <w:rPr>
          <w:rFonts w:eastAsia="Times New Roman"/>
          <w:color w:val="auto"/>
          <w:sz w:val="22"/>
          <w:szCs w:val="22"/>
        </w:rPr>
        <w:t>Se a mesma licitante vencer a Cota Reservada do item e a Cota Principal do Item, a contratação deverá ocorrer pelo menor preço ofertado pela empresa.</w:t>
      </w:r>
    </w:p>
    <w:p>
      <w:pPr>
        <w:pStyle w:val="ListParagraph"/>
        <w:widowControl w:val="false"/>
        <w:suppressAutoHyphens w:val="false"/>
        <w:ind w:left="0"/>
        <w:jc w:val="both"/>
        <w:rPr>
          <w:rFonts w:ascii="Arial" w:hAnsi="Arial" w:cs="Arial"/>
        </w:rPr>
      </w:pPr>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8"/>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8"/>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8"/>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8"/>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widowControl w:val="false"/>
        <w:suppressAutoHyphens w:val="false"/>
        <w:ind w:left="0"/>
        <w:jc w:val="both"/>
        <w:rPr>
          <w:rFonts w:ascii="Arial" w:hAnsi="Arial" w:cs="Arial"/>
        </w:rPr>
      </w:pPr>
      <w:r>
        <w:rPr>
          <w:rFonts w:cs="Arial" w:ascii="Arial" w:hAnsi="Arial"/>
        </w:rPr>
        <w:t>6.24 - Persistindo o empate, será assegurada preferência, sucessivamente, aos bens e serviços produzidos ou prestados por:  </w:t>
      </w:r>
    </w:p>
    <w:p>
      <w:pPr>
        <w:pStyle w:val="ListParagraph"/>
        <w:widowControl w:val="false"/>
        <w:numPr>
          <w:ilvl w:val="0"/>
          <w:numId w:val="9"/>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9"/>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empresas brasileiras; </w:t>
      </w:r>
    </w:p>
    <w:p>
      <w:pPr>
        <w:pStyle w:val="ListParagraph"/>
        <w:widowControl w:val="false"/>
        <w:numPr>
          <w:ilvl w:val="0"/>
          <w:numId w:val="9"/>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9"/>
        </w:numPr>
        <w:tabs>
          <w:tab w:val="clear" w:pos="709"/>
          <w:tab w:val="left" w:pos="1134" w:leader="none"/>
        </w:tabs>
        <w:suppressAutoHyphens w:val="false"/>
        <w:spacing w:before="0" w:after="0"/>
        <w:ind w:hanging="11" w:left="1134"/>
        <w:jc w:val="both"/>
        <w:rPr>
          <w:rFonts w:ascii="Arial" w:hAnsi="Arial" w:cs="Arial"/>
        </w:rPr>
      </w:pPr>
      <w:r>
        <w:rPr>
          <w:rFonts w:cs="Arial" w:ascii="Arial" w:hAnsi="Arial"/>
        </w:rPr>
        <w:t>empresas que comprovem a prática de mitigação, nos termos da Lei nº 12.187, de 29 de dezembro de 2009. </w:t>
      </w:r>
    </w:p>
    <w:p>
      <w:pPr>
        <w:pStyle w:val="Normal"/>
        <w:spacing w:lineRule="auto" w:line="276"/>
        <w:ind w:right="150"/>
        <w:rPr>
          <w:rFonts w:ascii="Arial" w:hAnsi="Arial" w:cs="Arial"/>
          <w:sz w:val="22"/>
          <w:szCs w:val="22"/>
          <w:highlight w:val="yellow"/>
        </w:rPr>
      </w:pPr>
      <w:r>
        <w:rPr>
          <w:rFonts w:cs="Arial" w:ascii="Arial" w:hAnsi="Arial"/>
          <w:sz w:val="22"/>
          <w:szCs w:val="22"/>
        </w:rPr>
        <w:t xml:space="preserve">6.25 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DA FASE DE JULGAMENTO</w:t>
      </w:r>
    </w:p>
    <w:p>
      <w:pPr>
        <w:pStyle w:val="Nivel2"/>
        <w:numPr>
          <w:ilvl w:val="1"/>
          <w:numId w:val="3"/>
        </w:numPr>
        <w:spacing w:before="0" w:after="0"/>
        <w:ind w:hanging="0" w:left="0"/>
        <w:rPr>
          <w:color w:val="auto"/>
          <w:sz w:val="22"/>
          <w:szCs w:val="22"/>
        </w:rPr>
      </w:pPr>
      <w:bookmarkStart w:id="14"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4"/>
      <w:r>
        <w:rPr>
          <w:color w:val="auto"/>
          <w:sz w:val="22"/>
          <w:szCs w:val="22"/>
          <w:lang w:eastAsia="ar-SA"/>
        </w:rPr>
        <w:t>especialmente quanto à existência de sanção que impeça a participação no certame ou a futura contratação.</w:t>
      </w:r>
    </w:p>
    <w:p>
      <w:pPr>
        <w:pStyle w:val="Nivel2"/>
        <w:numPr>
          <w:ilvl w:val="1"/>
          <w:numId w:val="3"/>
        </w:numPr>
        <w:spacing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3"/>
        </w:numPr>
        <w:spacing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contiver vícios insanáveis;</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não obedecer às especificações técnicas contidas no Termo de Referência;</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apresentar preços inexequíveis ou permanecerem acima do preço máximo definido para a contratação;</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não tiverem sua exequibilidade demonstrada, quando exigido pela Administração;</w:t>
      </w:r>
    </w:p>
    <w:p>
      <w:pPr>
        <w:pStyle w:val="Nivel3"/>
        <w:numPr>
          <w:ilvl w:val="2"/>
          <w:numId w:val="3"/>
        </w:numPr>
        <w:tabs>
          <w:tab w:val="clear" w:pos="0"/>
          <w:tab w:val="left" w:pos="1134" w:leader="none"/>
        </w:tabs>
        <w:spacing w:before="0" w:after="0"/>
        <w:ind w:hanging="0" w:left="1134"/>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3"/>
        </w:numPr>
        <w:spacing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1"/>
          <w:numId w:val="1"/>
        </w:numPr>
        <w:spacing w:before="0" w:after="0"/>
        <w:ind w:hanging="0" w:left="0"/>
        <w:rPr>
          <w:sz w:val="22"/>
          <w:szCs w:val="22"/>
        </w:rPr>
      </w:pPr>
      <w:r>
        <w:rPr>
          <w:color w:val="auto"/>
          <w:sz w:val="22"/>
          <w:szCs w:val="22"/>
        </w:rPr>
        <w:t xml:space="preserve">7.8 – </w:t>
      </w:r>
      <w:r>
        <w:rPr>
          <w:sz w:val="22"/>
          <w:szCs w:val="22"/>
        </w:rPr>
        <w:t>A sessão será suspensa para a apresentação e análise das, sendo exibidos aos licitantes na reabertura da sessão que será marcada, com no mínimo três (03) dias úteis de antecedência, pela Imprensa Oficial do Município, para prosseguimento dos trabalhos.</w:t>
      </w:r>
    </w:p>
    <w:p>
      <w:pPr>
        <w:pStyle w:val="Nivel2"/>
        <w:numPr>
          <w:ilvl w:val="1"/>
          <w:numId w:val="1"/>
        </w:numPr>
        <w:spacing w:before="0" w:after="0"/>
        <w:ind w:hanging="0" w:left="0"/>
        <w:rPr>
          <w:color w:val="auto"/>
          <w:sz w:val="22"/>
          <w:szCs w:val="22"/>
        </w:rPr>
      </w:pPr>
      <w:r>
        <w:rPr>
          <w:sz w:val="22"/>
          <w:szCs w:val="22"/>
        </w:rPr>
        <w:t xml:space="preserve"> </w:t>
      </w:r>
      <w:r>
        <w:rPr>
          <w:sz w:val="22"/>
          <w:szCs w:val="22"/>
        </w:rPr>
        <w:t xml:space="preserve">7.9 - O licitante classificado em primeiro lugar, terá o prazo de </w:t>
      </w:r>
      <w:r>
        <w:rPr>
          <w:b/>
          <w:bCs/>
          <w:sz w:val="22"/>
          <w:szCs w:val="22"/>
        </w:rPr>
        <w:t>até 05 (cinco) dias úteis</w:t>
      </w:r>
      <w:r>
        <w:rPr>
          <w:sz w:val="22"/>
          <w:szCs w:val="22"/>
        </w:rPr>
        <w:t xml:space="preserve">, contados da sessão de processamento da licitação, </w:t>
      </w:r>
      <w:r>
        <w:rPr>
          <w:color w:val="auto"/>
          <w:sz w:val="22"/>
          <w:szCs w:val="22"/>
        </w:rPr>
        <w:t xml:space="preserve">para apresentar mediante protocolo na </w:t>
      </w:r>
      <w:r>
        <w:rPr>
          <w:color w:val="auto"/>
          <w:sz w:val="22"/>
          <w:szCs w:val="22"/>
          <w:u w:val="single"/>
        </w:rPr>
        <w:t>Secretaria da Saúde, situada na Rua Marcos Dian, 365 – Jd de Lucca</w:t>
      </w:r>
      <w:r>
        <w:rPr>
          <w:color w:val="auto"/>
          <w:sz w:val="22"/>
          <w:szCs w:val="22"/>
        </w:rPr>
        <w:t>, aos cuidados do pregoeiro, os seguintes documentos dos produtos ofertados:</w:t>
      </w:r>
    </w:p>
    <w:p>
      <w:pPr>
        <w:pStyle w:val="Nivel2"/>
        <w:spacing w:before="0" w:after="0"/>
        <w:ind w:hanging="0" w:left="1134"/>
        <w:rPr>
          <w:b/>
          <w:bCs/>
          <w:color w:val="auto"/>
          <w:sz w:val="22"/>
          <w:szCs w:val="22"/>
        </w:rPr>
      </w:pPr>
      <w:r>
        <w:rPr>
          <w:b/>
          <w:bCs/>
          <w:color w:val="auto"/>
          <w:sz w:val="22"/>
          <w:szCs w:val="22"/>
        </w:rPr>
        <w:t>a) Licença de funcionamento emitida pela Vigilância Sanitária do Estado ou Município;</w:t>
      </w:r>
    </w:p>
    <w:p>
      <w:pPr>
        <w:pStyle w:val="Nivel2"/>
        <w:spacing w:before="0" w:after="0"/>
        <w:ind w:hanging="0" w:left="1134"/>
        <w:rPr>
          <w:b/>
          <w:bCs/>
          <w:color w:val="auto"/>
          <w:sz w:val="22"/>
          <w:szCs w:val="22"/>
        </w:rPr>
      </w:pPr>
      <w:r>
        <w:rPr>
          <w:b/>
          <w:bCs/>
          <w:color w:val="auto"/>
          <w:sz w:val="22"/>
          <w:szCs w:val="22"/>
        </w:rPr>
        <w:t>b) Registro do produto na ANVISA;</w:t>
      </w:r>
    </w:p>
    <w:p>
      <w:pPr>
        <w:pStyle w:val="Nivel2"/>
        <w:spacing w:before="0" w:after="0"/>
        <w:ind w:hanging="0" w:left="1134"/>
        <w:rPr>
          <w:b/>
          <w:bCs/>
          <w:color w:val="auto"/>
          <w:sz w:val="22"/>
          <w:szCs w:val="22"/>
        </w:rPr>
      </w:pPr>
      <w:r>
        <w:rPr>
          <w:b/>
          <w:bCs/>
          <w:color w:val="auto"/>
          <w:sz w:val="22"/>
          <w:szCs w:val="22"/>
        </w:rPr>
        <w:t>c) Amostra do item ofertado, acompanhado de ficha técnica.</w:t>
      </w:r>
    </w:p>
    <w:p>
      <w:pPr>
        <w:pStyle w:val="Normal"/>
        <w:shd w:val="clear" w:color="auto" w:fill="FFFFFF"/>
        <w:spacing w:lineRule="auto" w:line="276"/>
        <w:ind w:left="1134"/>
        <w:jc w:val="both"/>
        <w:rPr>
          <w:rFonts w:ascii="Arial" w:hAnsi="Arial" w:cs="Arial"/>
          <w:b/>
          <w:sz w:val="22"/>
          <w:szCs w:val="22"/>
          <w:u w:val="single"/>
        </w:rPr>
      </w:pPr>
      <w:r>
        <w:rPr>
          <w:rFonts w:cs="Arial" w:ascii="Arial" w:hAnsi="Arial"/>
          <w:b/>
          <w:sz w:val="22"/>
          <w:szCs w:val="22"/>
          <w:u w:val="single"/>
        </w:rPr>
        <w:t>7.8.1 - CASO A PROPONENTE APRESENTE EM SUA PROPOSTA O PRODUTO COM AS MARCAS DE REFERÊNCIA CITADA NA TABELA DO ANEXO I, ESTARÁ DISPENSADA DA APRESENTAÇÃO DAS AMOSTRAS, DEVERÁ APRESENTAR APENAS A LICENÇA DE FUNCIONAMENTO EMITIDA PELA VIGILÂNCIA SANITÁRIA DO ESTADO E OU MUNICÍPIO DA EMPRESA E O REGISTRO DO PRODUTO NA ANVISA.</w:t>
      </w:r>
    </w:p>
    <w:p>
      <w:pPr>
        <w:pStyle w:val="Normal"/>
        <w:shd w:val="clear" w:color="auto" w:fill="FFFFFF"/>
        <w:spacing w:lineRule="auto" w:line="276"/>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276"/>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276"/>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tabs>
          <w:tab w:val="clear" w:pos="0"/>
        </w:tabs>
        <w:spacing w:before="0" w:after="0"/>
        <w:ind w:hanging="0" w:left="0"/>
        <w:rPr>
          <w:b/>
          <w:color w:val="auto"/>
          <w:sz w:val="22"/>
          <w:szCs w:val="22"/>
          <w:highlight w:val="yellow"/>
        </w:rPr>
      </w:pPr>
      <w:r>
        <w:rPr>
          <w:b/>
          <w:color w:val="auto"/>
          <w:sz w:val="22"/>
          <w:szCs w:val="22"/>
          <w:highlight w:val="yellow"/>
        </w:rPr>
      </w:r>
    </w:p>
    <w:p>
      <w:pPr>
        <w:pStyle w:val="Nivel01"/>
        <w:numPr>
          <w:ilvl w:val="0"/>
          <w:numId w:val="3"/>
        </w:numPr>
        <w:spacing w:lineRule="auto" w:line="276" w:before="0" w:after="0"/>
        <w:ind w:hanging="0" w:left="0"/>
        <w:rPr>
          <w:sz w:val="22"/>
          <w:szCs w:val="22"/>
        </w:rPr>
      </w:pPr>
      <w:r>
        <w:rPr>
          <w:sz w:val="22"/>
          <w:szCs w:val="22"/>
        </w:rPr>
        <w:t>DA FASE DE HABILITAÇÃO</w:t>
      </w:r>
    </w:p>
    <w:p>
      <w:pPr>
        <w:pStyle w:val="Nivel2"/>
        <w:numPr>
          <w:ilvl w:val="1"/>
          <w:numId w:val="3"/>
        </w:numPr>
        <w:spacing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3"/>
        </w:numPr>
        <w:spacing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3"/>
        </w:numPr>
        <w:tabs>
          <w:tab w:val="clear" w:pos="0"/>
          <w:tab w:val="left" w:pos="1134" w:leader="none"/>
        </w:tabs>
        <w:spacing w:before="0" w:after="0"/>
        <w:ind w:hanging="0" w:left="1134"/>
        <w:rPr>
          <w:color w:val="auto"/>
          <w:sz w:val="22"/>
          <w:szCs w:val="22"/>
        </w:rPr>
      </w:pPr>
      <w:bookmarkStart w:id="15" w:name="_Ref114663151"/>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xml:space="preserve">, </w:t>
      </w:r>
      <w:bookmarkEnd w:id="15"/>
      <w:r>
        <w:rPr>
          <w:color w:val="auto"/>
          <w:sz w:val="22"/>
          <w:szCs w:val="22"/>
        </w:rPr>
        <w:t>contado da solicitação do Pregoeiro.</w:t>
      </w:r>
    </w:p>
    <w:p>
      <w:pPr>
        <w:pStyle w:val="Nivel2"/>
        <w:numPr>
          <w:ilvl w:val="1"/>
          <w:numId w:val="3"/>
        </w:numPr>
        <w:spacing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3"/>
        </w:numPr>
        <w:tabs>
          <w:tab w:val="clear" w:pos="0"/>
        </w:tabs>
        <w:spacing w:before="0" w:after="0"/>
        <w:ind w:hanging="8" w:left="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3"/>
        </w:numPr>
        <w:spacing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3"/>
        </w:numPr>
        <w:tabs>
          <w:tab w:val="clear" w:pos="0"/>
        </w:tabs>
        <w:spacing w:before="0" w:after="0"/>
        <w:ind w:hanging="0" w:left="1134"/>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3"/>
        </w:numPr>
        <w:tabs>
          <w:tab w:val="clear" w:pos="0"/>
        </w:tabs>
        <w:spacing w:before="0" w:after="0"/>
        <w:ind w:hanging="0" w:left="1134"/>
        <w:rPr>
          <w:color w:val="auto"/>
          <w:sz w:val="22"/>
          <w:szCs w:val="22"/>
        </w:rPr>
      </w:pPr>
      <w:r>
        <w:rPr>
          <w:color w:val="auto"/>
          <w:sz w:val="22"/>
          <w:szCs w:val="22"/>
        </w:rPr>
        <w:t>atualização de documentos cuja validade tenha expirado após a data de recebimento das propostas;</w:t>
      </w:r>
    </w:p>
    <w:p>
      <w:pPr>
        <w:pStyle w:val="Nivel2"/>
        <w:numPr>
          <w:ilvl w:val="1"/>
          <w:numId w:val="3"/>
        </w:numPr>
        <w:spacing w:before="0" w:after="0"/>
        <w:ind w:hanging="0" w:left="0"/>
        <w:rPr>
          <w:color w:val="auto"/>
          <w:sz w:val="22"/>
          <w:szCs w:val="22"/>
        </w:rPr>
      </w:pPr>
      <w:bookmarkStart w:id="16"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6"/>
    </w:p>
    <w:p>
      <w:pPr>
        <w:pStyle w:val="Nivel2"/>
        <w:numPr>
          <w:ilvl w:val="1"/>
          <w:numId w:val="3"/>
        </w:numPr>
        <w:spacing w:before="0" w:after="0"/>
        <w:ind w:hanging="0" w:left="0"/>
        <w:rPr>
          <w:color w:val="auto"/>
          <w:sz w:val="22"/>
          <w:szCs w:val="22"/>
        </w:rPr>
      </w:pPr>
      <w:bookmarkStart w:id="17" w:name="_Ref114665528"/>
      <w:r>
        <w:rPr>
          <w:color w:val="auto"/>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17"/>
    </w:p>
    <w:p>
      <w:pPr>
        <w:pStyle w:val="Nivel2"/>
        <w:numPr>
          <w:ilvl w:val="1"/>
          <w:numId w:val="3"/>
        </w:numPr>
        <w:spacing w:before="0" w:after="0"/>
        <w:ind w:hanging="0" w:left="0"/>
        <w:rPr>
          <w:color w:val="auto"/>
          <w:sz w:val="22"/>
          <w:szCs w:val="22"/>
        </w:rPr>
      </w:pPr>
      <w:bookmarkStart w:id="18"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18"/>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276" w:before="0" w:after="160"/>
        <w:ind w:left="1134"/>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0"/>
        </w:numPr>
        <w:spacing w:before="0" w:after="0"/>
        <w:ind w:hanging="0" w:left="1134"/>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0"/>
        </w:numPr>
        <w:spacing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ind w:left="0"/>
        <w:jc w:val="both"/>
        <w:rPr>
          <w:rFonts w:ascii="Arial" w:hAnsi="Arial" w:cs="Arial"/>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ind w:left="0"/>
        <w:jc w:val="both"/>
        <w:rPr>
          <w:rFonts w:ascii="Arial" w:hAnsi="Arial" w:cs="Arial"/>
        </w:rPr>
      </w:pPr>
      <w:r>
        <w:rPr>
          <w:rFonts w:cs="Arial" w:ascii="Arial" w:hAnsi="Arial"/>
        </w:rPr>
      </w:r>
    </w:p>
    <w:p>
      <w:pPr>
        <w:pStyle w:val="Nivel01"/>
        <w:numPr>
          <w:ilvl w:val="0"/>
          <w:numId w:val="3"/>
        </w:numPr>
        <w:spacing w:lineRule="auto" w:line="276" w:before="0" w:after="0"/>
        <w:ind w:hanging="0" w:left="0"/>
        <w:rPr>
          <w:sz w:val="22"/>
          <w:szCs w:val="22"/>
        </w:rPr>
      </w:pPr>
      <w:r>
        <w:rPr>
          <w:sz w:val="22"/>
          <w:szCs w:val="22"/>
        </w:rPr>
        <w:t>DA ATA DE REGISTRO DE PREÇOS</w:t>
      </w:r>
    </w:p>
    <w:p>
      <w:pPr>
        <w:pStyle w:val="Nivel2"/>
        <w:numPr>
          <w:ilvl w:val="1"/>
          <w:numId w:val="3"/>
        </w:numPr>
        <w:spacing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3"/>
        </w:numPr>
        <w:spacing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3"/>
        </w:numPr>
        <w:spacing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3"/>
        </w:numPr>
        <w:spacing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3"/>
        </w:numPr>
        <w:spacing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3"/>
        </w:numPr>
        <w:spacing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 xml:space="preserve">DA FORMAÇÃO DO CADASTRO DE RESERVA </w:t>
      </w:r>
    </w:p>
    <w:p>
      <w:pPr>
        <w:pStyle w:val="Nivel2"/>
        <w:numPr>
          <w:ilvl w:val="1"/>
          <w:numId w:val="3"/>
        </w:numPr>
        <w:spacing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3"/>
        </w:numPr>
        <w:spacing w:before="0" w:after="0"/>
        <w:ind w:hanging="0" w:left="0"/>
        <w:rPr>
          <w:color w:val="auto"/>
          <w:sz w:val="22"/>
          <w:szCs w:val="22"/>
        </w:rPr>
      </w:pPr>
      <w:r>
        <w:rPr>
          <w:color w:val="auto"/>
          <w:sz w:val="22"/>
          <w:szCs w:val="22"/>
        </w:rPr>
        <w:t xml:space="preserve">dos licitantes </w:t>
      </w:r>
      <w:bookmarkStart w:id="19" w:name="_Hlk132991372"/>
      <w:r>
        <w:rPr>
          <w:color w:val="auto"/>
          <w:sz w:val="22"/>
          <w:szCs w:val="22"/>
        </w:rPr>
        <w:t xml:space="preserve">que </w:t>
      </w:r>
      <w:bookmarkStart w:id="20" w:name="_Hlk132989696"/>
      <w:r>
        <w:rPr>
          <w:color w:val="auto"/>
          <w:sz w:val="22"/>
          <w:szCs w:val="22"/>
        </w:rPr>
        <w:t>aceitarem cotar o objeto com preço igual ao do adjudicatári</w:t>
      </w:r>
      <w:bookmarkEnd w:id="19"/>
      <w:r>
        <w:rPr>
          <w:color w:val="auto"/>
          <w:sz w:val="22"/>
          <w:szCs w:val="22"/>
        </w:rPr>
        <w:t>o</w:t>
      </w:r>
      <w:bookmarkEnd w:id="20"/>
      <w:r>
        <w:rPr>
          <w:color w:val="auto"/>
          <w:sz w:val="22"/>
          <w:szCs w:val="22"/>
        </w:rPr>
        <w:t xml:space="preserve">, observada a classificação na licitação; e </w:t>
      </w:r>
    </w:p>
    <w:p>
      <w:pPr>
        <w:pStyle w:val="Nivel3"/>
        <w:numPr>
          <w:ilvl w:val="2"/>
          <w:numId w:val="3"/>
        </w:numPr>
        <w:spacing w:before="0" w:after="0"/>
        <w:ind w:hanging="0" w:left="0"/>
        <w:rPr>
          <w:color w:val="auto"/>
          <w:sz w:val="22"/>
          <w:szCs w:val="22"/>
        </w:rPr>
      </w:pPr>
      <w:r>
        <w:rPr>
          <w:color w:val="auto"/>
          <w:sz w:val="22"/>
          <w:szCs w:val="22"/>
        </w:rPr>
        <w:t>dos licitantes que mantiverem sua proposta original</w:t>
      </w:r>
    </w:p>
    <w:p>
      <w:pPr>
        <w:pStyle w:val="Nivel2"/>
        <w:numPr>
          <w:ilvl w:val="1"/>
          <w:numId w:val="3"/>
        </w:numPr>
        <w:spacing w:before="0" w:after="0"/>
        <w:ind w:hanging="0" w:left="0"/>
        <w:rPr>
          <w:color w:val="auto"/>
          <w:sz w:val="22"/>
          <w:szCs w:val="22"/>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3"/>
        </w:numPr>
        <w:spacing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3"/>
        </w:numPr>
        <w:spacing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3"/>
        </w:numPr>
        <w:spacing w:before="0" w:after="0"/>
        <w:ind w:hanging="0" w:left="0"/>
        <w:rPr>
          <w:color w:val="auto"/>
          <w:sz w:val="22"/>
          <w:szCs w:val="22"/>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before="0" w:after="0"/>
        <w:ind w:hanging="0" w:left="0"/>
        <w:rPr>
          <w:color w:val="auto"/>
          <w:sz w:val="22"/>
          <w:szCs w:val="22"/>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3"/>
        </w:numPr>
        <w:spacing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3"/>
        </w:numPr>
        <w:spacing w:before="0" w:after="0"/>
        <w:ind w:hanging="0" w:left="0"/>
        <w:rPr>
          <w:color w:val="auto"/>
          <w:sz w:val="22"/>
          <w:szCs w:val="22"/>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3"/>
        </w:numPr>
        <w:spacing w:before="0" w:after="0"/>
        <w:ind w:hanging="0" w:left="0"/>
        <w:rPr>
          <w:color w:val="auto"/>
          <w:sz w:val="22"/>
          <w:szCs w:val="22"/>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before="0" w:after="0"/>
        <w:ind w:hanging="0" w:left="0"/>
        <w:rPr>
          <w:i/>
          <w:i/>
          <w:color w:val="auto"/>
          <w:sz w:val="22"/>
          <w:szCs w:val="22"/>
        </w:rPr>
      </w:pPr>
      <w:r>
        <w:rPr>
          <w:i/>
          <w:color w:val="auto"/>
          <w:sz w:val="22"/>
          <w:szCs w:val="22"/>
        </w:rPr>
      </w:r>
    </w:p>
    <w:p>
      <w:pPr>
        <w:pStyle w:val="Nivel2"/>
        <w:tabs>
          <w:tab w:val="clear" w:pos="0"/>
        </w:tabs>
        <w:spacing w:before="0" w:after="0"/>
        <w:ind w:hanging="0" w:left="0"/>
        <w:rPr>
          <w:i/>
          <w:i/>
          <w:color w:val="auto"/>
          <w:sz w:val="22"/>
          <w:szCs w:val="22"/>
        </w:rPr>
      </w:pPr>
      <w:r>
        <w:rPr>
          <w:i/>
          <w:color w:val="auto"/>
          <w:sz w:val="22"/>
          <w:szCs w:val="22"/>
        </w:rPr>
      </w:r>
    </w:p>
    <w:p>
      <w:pPr>
        <w:pStyle w:val="Nivel01"/>
        <w:numPr>
          <w:ilvl w:val="0"/>
          <w:numId w:val="3"/>
        </w:numPr>
        <w:spacing w:lineRule="auto" w:line="276" w:before="0" w:after="0"/>
        <w:ind w:hanging="0" w:left="0"/>
        <w:rPr>
          <w:sz w:val="22"/>
          <w:szCs w:val="22"/>
        </w:rPr>
      </w:pPr>
      <w:r>
        <w:rPr>
          <w:sz w:val="22"/>
          <w:szCs w:val="22"/>
        </w:rPr>
        <w:t>DOS RECURSOS</w:t>
      </w:r>
    </w:p>
    <w:p>
      <w:pPr>
        <w:pStyle w:val="Nivel2"/>
        <w:numPr>
          <w:ilvl w:val="1"/>
          <w:numId w:val="3"/>
        </w:numPr>
        <w:tabs>
          <w:tab w:val="clear" w:pos="0"/>
        </w:tabs>
        <w:spacing w:before="0" w:after="0"/>
        <w:ind w:hanging="8"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3"/>
        </w:numPr>
        <w:suppressAutoHyphens w:val="false"/>
        <w:spacing w:before="0" w:after="0"/>
        <w:ind w:hanging="8"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3"/>
        </w:numPr>
        <w:suppressAutoHyphens w:val="false"/>
        <w:spacing w:before="0" w:after="0"/>
        <w:ind w:hanging="8"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10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3"/>
        </w:numPr>
        <w:tabs>
          <w:tab w:val="clear" w:pos="709"/>
          <w:tab w:val="left" w:pos="786" w:leader="none"/>
        </w:tabs>
        <w:suppressAutoHyphens w:val="false"/>
        <w:spacing w:before="0" w:after="0"/>
        <w:ind w:hanging="8"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3"/>
        </w:numPr>
        <w:tabs>
          <w:tab w:val="clear" w:pos="709"/>
          <w:tab w:val="left" w:pos="756" w:leader="none"/>
        </w:tabs>
        <w:suppressAutoHyphens w:val="false"/>
        <w:spacing w:before="0" w:after="0"/>
        <w:ind w:hanging="8"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9"/>
          <w:tab w:val="left" w:pos="756" w:leader="none"/>
        </w:tabs>
        <w:suppressAutoHyphens w:val="false"/>
        <w:spacing w:before="0" w:after="0"/>
        <w:ind w:hanging="8"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3"/>
        </w:numPr>
        <w:tabs>
          <w:tab w:val="clear" w:pos="709"/>
          <w:tab w:val="left" w:pos="756" w:leader="none"/>
        </w:tabs>
        <w:suppressAutoHyphens w:val="false"/>
        <w:spacing w:before="0" w:after="0"/>
        <w:ind w:hanging="8"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3"/>
        </w:numPr>
        <w:tabs>
          <w:tab w:val="clear" w:pos="709"/>
          <w:tab w:val="left" w:pos="756" w:leader="none"/>
        </w:tabs>
        <w:suppressAutoHyphens w:val="false"/>
        <w:spacing w:before="0" w:after="0"/>
        <w:ind w:hanging="8"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3"/>
        </w:numPr>
        <w:tabs>
          <w:tab w:val="clear" w:pos="0"/>
        </w:tabs>
        <w:spacing w:before="0" w:after="0"/>
        <w:ind w:hanging="8"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tabs>
          <w:tab w:val="clear" w:pos="0"/>
        </w:tabs>
        <w:spacing w:before="0" w:after="0"/>
        <w:ind w:hanging="8" w:left="0"/>
        <w:rPr>
          <w:color w:val="auto"/>
          <w:sz w:val="22"/>
          <w:szCs w:val="22"/>
        </w:rPr>
      </w:pPr>
      <w:r>
        <w:rPr>
          <w:color w:val="auto"/>
          <w:sz w:val="22"/>
          <w:szCs w:val="22"/>
        </w:rPr>
        <w:t xml:space="preserve">Os recursos interpostos fora do prazo não serão conhecidos. </w:t>
      </w:r>
    </w:p>
    <w:p>
      <w:pPr>
        <w:pStyle w:val="Nivel2"/>
        <w:numPr>
          <w:ilvl w:val="1"/>
          <w:numId w:val="3"/>
        </w:numPr>
        <w:tabs>
          <w:tab w:val="clear" w:pos="0"/>
        </w:tabs>
        <w:spacing w:before="0" w:after="0"/>
        <w:ind w:hanging="8"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tabs>
          <w:tab w:val="clear" w:pos="0"/>
        </w:tabs>
        <w:spacing w:before="0" w:after="0"/>
        <w:ind w:hanging="8"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tabs>
          <w:tab w:val="clear" w:pos="0"/>
        </w:tabs>
        <w:spacing w:before="0" w:after="0"/>
        <w:ind w:hanging="8"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3"/>
        </w:numPr>
        <w:tabs>
          <w:tab w:val="clear" w:pos="0"/>
        </w:tabs>
        <w:spacing w:before="0" w:after="0"/>
        <w:ind w:hanging="8"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DAS INFRAÇÕES ADMINISTRATIVAS E SANÇÕES</w:t>
      </w:r>
    </w:p>
    <w:p>
      <w:pPr>
        <w:pStyle w:val="Nivel2"/>
        <w:numPr>
          <w:ilvl w:val="1"/>
          <w:numId w:val="3"/>
        </w:numPr>
        <w:spacing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3"/>
        </w:numPr>
        <w:tabs>
          <w:tab w:val="clear" w:pos="0"/>
        </w:tabs>
        <w:spacing w:before="0" w:after="0"/>
        <w:ind w:hanging="0" w:left="1134"/>
        <w:rPr>
          <w:color w:val="auto"/>
          <w:sz w:val="22"/>
          <w:szCs w:val="22"/>
        </w:rPr>
      </w:pPr>
      <w:bookmarkStart w:id="21" w:name="_Ref114668085"/>
      <w:r>
        <w:rPr>
          <w:color w:val="auto"/>
          <w:sz w:val="22"/>
          <w:szCs w:val="22"/>
        </w:rPr>
        <w:t>deixar de entregar a documentação exigida para o certame ou não entregar qualquer documento que tenha sido solicitado pelo/a pregoeiro/a durante o certame;</w:t>
      </w:r>
      <w:bookmarkEnd w:id="21"/>
    </w:p>
    <w:p>
      <w:pPr>
        <w:pStyle w:val="Nivel3"/>
        <w:numPr>
          <w:ilvl w:val="2"/>
          <w:numId w:val="3"/>
        </w:numPr>
        <w:tabs>
          <w:tab w:val="clear" w:pos="0"/>
        </w:tabs>
        <w:spacing w:before="0" w:after="0"/>
        <w:ind w:hanging="0" w:left="1134"/>
        <w:rPr>
          <w:color w:val="auto"/>
          <w:sz w:val="22"/>
          <w:szCs w:val="22"/>
        </w:rPr>
      </w:pPr>
      <w:bookmarkStart w:id="22" w:name="_Ref114668108"/>
      <w:r>
        <w:rPr>
          <w:color w:val="auto"/>
          <w:sz w:val="22"/>
          <w:szCs w:val="22"/>
        </w:rPr>
        <w:t>Salvo em decorrência de fato superveniente devidamente justificado, não mantiver a proposta em especial quando:</w:t>
      </w:r>
      <w:bookmarkEnd w:id="22"/>
    </w:p>
    <w:p>
      <w:pPr>
        <w:pStyle w:val="Nivel4"/>
        <w:numPr>
          <w:ilvl w:val="3"/>
          <w:numId w:val="3"/>
        </w:numPr>
        <w:tabs>
          <w:tab w:val="clear" w:pos="0"/>
          <w:tab w:val="left" w:pos="1701" w:leader="none"/>
        </w:tabs>
        <w:spacing w:before="0" w:after="0"/>
        <w:ind w:hanging="0" w:left="1701"/>
        <w:rPr>
          <w:color w:val="auto"/>
          <w:sz w:val="22"/>
          <w:szCs w:val="22"/>
        </w:rPr>
      </w:pPr>
      <w:r>
        <w:rPr>
          <w:color w:val="auto"/>
          <w:sz w:val="22"/>
          <w:szCs w:val="22"/>
        </w:rPr>
        <w:t xml:space="preserve">não enviar a proposta adequada ao último lance ofertado ou após a negociação; </w:t>
      </w:r>
    </w:p>
    <w:p>
      <w:pPr>
        <w:pStyle w:val="Nivel4"/>
        <w:numPr>
          <w:ilvl w:val="3"/>
          <w:numId w:val="3"/>
        </w:numPr>
        <w:tabs>
          <w:tab w:val="clear" w:pos="0"/>
          <w:tab w:val="left" w:pos="1701" w:leader="none"/>
        </w:tabs>
        <w:spacing w:before="0" w:after="0"/>
        <w:ind w:hanging="0" w:left="1701"/>
        <w:rPr>
          <w:color w:val="auto"/>
          <w:sz w:val="22"/>
          <w:szCs w:val="22"/>
        </w:rPr>
      </w:pPr>
      <w:r>
        <w:rPr>
          <w:color w:val="auto"/>
          <w:sz w:val="22"/>
          <w:szCs w:val="22"/>
        </w:rPr>
        <w:t xml:space="preserve">recusar-se a enviar o detalhamento da proposta quando exigível; </w:t>
      </w:r>
    </w:p>
    <w:p>
      <w:pPr>
        <w:pStyle w:val="Nivel4"/>
        <w:numPr>
          <w:ilvl w:val="3"/>
          <w:numId w:val="3"/>
        </w:numPr>
        <w:tabs>
          <w:tab w:val="clear" w:pos="0"/>
          <w:tab w:val="left" w:pos="1701" w:leader="none"/>
        </w:tabs>
        <w:spacing w:before="0" w:after="0"/>
        <w:ind w:hanging="0" w:left="1701"/>
        <w:rPr>
          <w:color w:val="auto"/>
          <w:sz w:val="22"/>
          <w:szCs w:val="22"/>
        </w:rPr>
      </w:pPr>
      <w:r>
        <w:rPr>
          <w:color w:val="auto"/>
          <w:sz w:val="22"/>
          <w:szCs w:val="22"/>
        </w:rPr>
        <w:t xml:space="preserve">pedir para ser desclassificado quando encerrada a etapa competitiva; ou </w:t>
      </w:r>
    </w:p>
    <w:p>
      <w:pPr>
        <w:pStyle w:val="Nivel3"/>
        <w:numPr>
          <w:ilvl w:val="2"/>
          <w:numId w:val="3"/>
        </w:numPr>
        <w:tabs>
          <w:tab w:val="clear" w:pos="0"/>
          <w:tab w:val="left" w:pos="1134" w:leader="none"/>
        </w:tabs>
        <w:spacing w:before="0" w:after="0"/>
        <w:ind w:hanging="0" w:left="1134"/>
        <w:rPr>
          <w:color w:val="auto"/>
          <w:sz w:val="22"/>
          <w:szCs w:val="22"/>
        </w:rPr>
      </w:pPr>
      <w:bookmarkStart w:id="23" w:name="_Ref114668139"/>
      <w:r>
        <w:rPr>
          <w:color w:val="auto"/>
          <w:sz w:val="22"/>
          <w:szCs w:val="22"/>
        </w:rPr>
        <w:t>não celebrar o contrato ou não entregar a documentação exigida para a contratação, quando convocado dentro do prazo de validade de sua proposta;</w:t>
      </w:r>
      <w:bookmarkEnd w:id="23"/>
    </w:p>
    <w:p>
      <w:pPr>
        <w:pStyle w:val="Nivel4"/>
        <w:numPr>
          <w:ilvl w:val="3"/>
          <w:numId w:val="3"/>
        </w:numPr>
        <w:tabs>
          <w:tab w:val="clear" w:pos="0"/>
        </w:tabs>
        <w:spacing w:before="0" w:after="0"/>
        <w:ind w:hanging="0" w:left="1701"/>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3"/>
        </w:numPr>
        <w:tabs>
          <w:tab w:val="clear" w:pos="0"/>
        </w:tabs>
        <w:spacing w:before="0" w:after="0"/>
        <w:ind w:hanging="0" w:left="1134"/>
        <w:rPr>
          <w:color w:val="auto"/>
          <w:sz w:val="22"/>
          <w:szCs w:val="22"/>
        </w:rPr>
      </w:pPr>
      <w:bookmarkStart w:id="24" w:name="_Ref114668249"/>
      <w:r>
        <w:rPr>
          <w:color w:val="auto"/>
          <w:sz w:val="22"/>
          <w:szCs w:val="22"/>
        </w:rPr>
        <w:t>apresentar declaração ou documentação falsa exigida para o certame ou prestar declaração falsa durante a licitação</w:t>
      </w:r>
      <w:bookmarkEnd w:id="24"/>
    </w:p>
    <w:p>
      <w:pPr>
        <w:pStyle w:val="Nivel3"/>
        <w:numPr>
          <w:ilvl w:val="2"/>
          <w:numId w:val="3"/>
        </w:numPr>
        <w:tabs>
          <w:tab w:val="clear" w:pos="0"/>
        </w:tabs>
        <w:spacing w:before="0" w:after="0"/>
        <w:ind w:hanging="0" w:left="1134"/>
        <w:rPr>
          <w:color w:val="auto"/>
          <w:sz w:val="22"/>
          <w:szCs w:val="22"/>
        </w:rPr>
      </w:pPr>
      <w:bookmarkStart w:id="25" w:name="_Ref114668245"/>
      <w:r>
        <w:rPr>
          <w:color w:val="auto"/>
          <w:sz w:val="22"/>
          <w:szCs w:val="22"/>
        </w:rPr>
        <w:t>fraudar a licitação</w:t>
      </w:r>
      <w:bookmarkEnd w:id="25"/>
    </w:p>
    <w:p>
      <w:pPr>
        <w:pStyle w:val="Nivel3"/>
        <w:numPr>
          <w:ilvl w:val="2"/>
          <w:numId w:val="3"/>
        </w:numPr>
        <w:tabs>
          <w:tab w:val="clear" w:pos="0"/>
        </w:tabs>
        <w:spacing w:before="0" w:after="0"/>
        <w:ind w:hanging="0" w:left="1134"/>
        <w:rPr>
          <w:color w:val="auto"/>
          <w:sz w:val="22"/>
          <w:szCs w:val="22"/>
        </w:rPr>
      </w:pPr>
      <w:bookmarkStart w:id="26" w:name="_Ref114668247"/>
      <w:r>
        <w:rPr>
          <w:color w:val="auto"/>
          <w:sz w:val="22"/>
          <w:szCs w:val="22"/>
        </w:rPr>
        <w:t>comportar-se de modo inidôneo ou cometer fraude de qualquer natureza, em especial quando:</w:t>
      </w:r>
      <w:bookmarkEnd w:id="26"/>
    </w:p>
    <w:p>
      <w:pPr>
        <w:pStyle w:val="Nivel4"/>
        <w:numPr>
          <w:ilvl w:val="3"/>
          <w:numId w:val="3"/>
        </w:numPr>
        <w:tabs>
          <w:tab w:val="clear" w:pos="0"/>
          <w:tab w:val="left" w:pos="1843" w:leader="none"/>
        </w:tabs>
        <w:spacing w:before="0" w:after="0"/>
        <w:ind w:hanging="0" w:left="1701"/>
        <w:rPr>
          <w:color w:val="auto"/>
          <w:sz w:val="22"/>
          <w:szCs w:val="22"/>
        </w:rPr>
      </w:pPr>
      <w:r>
        <w:rPr>
          <w:color w:val="auto"/>
          <w:sz w:val="22"/>
          <w:szCs w:val="22"/>
        </w:rPr>
        <w:t xml:space="preserve">agir em conluio ou em desconformidade com a lei; </w:t>
      </w:r>
    </w:p>
    <w:p>
      <w:pPr>
        <w:pStyle w:val="Nivel4"/>
        <w:numPr>
          <w:ilvl w:val="3"/>
          <w:numId w:val="3"/>
        </w:numPr>
        <w:tabs>
          <w:tab w:val="clear" w:pos="0"/>
          <w:tab w:val="left" w:pos="1843" w:leader="none"/>
        </w:tabs>
        <w:spacing w:before="0" w:after="0"/>
        <w:ind w:hanging="0" w:left="1701"/>
        <w:rPr>
          <w:color w:val="auto"/>
          <w:sz w:val="22"/>
          <w:szCs w:val="22"/>
        </w:rPr>
      </w:pPr>
      <w:r>
        <w:rPr>
          <w:color w:val="auto"/>
          <w:sz w:val="22"/>
          <w:szCs w:val="22"/>
        </w:rPr>
        <w:t xml:space="preserve">induzir deliberadamente a erro no julgamento; </w:t>
      </w:r>
    </w:p>
    <w:p>
      <w:pPr>
        <w:pStyle w:val="Nivel4"/>
        <w:numPr>
          <w:ilvl w:val="3"/>
          <w:numId w:val="3"/>
        </w:numPr>
        <w:tabs>
          <w:tab w:val="clear" w:pos="0"/>
          <w:tab w:val="left" w:pos="1843" w:leader="none"/>
        </w:tabs>
        <w:spacing w:before="0" w:after="0"/>
        <w:ind w:hanging="0" w:left="1701"/>
        <w:rPr>
          <w:color w:val="auto"/>
          <w:sz w:val="22"/>
          <w:szCs w:val="22"/>
        </w:rPr>
      </w:pPr>
      <w:r>
        <w:rPr>
          <w:color w:val="auto"/>
          <w:sz w:val="22"/>
          <w:szCs w:val="22"/>
        </w:rPr>
        <w:t xml:space="preserve">apresentar amostra falsificada ou deteriorada; </w:t>
      </w:r>
    </w:p>
    <w:p>
      <w:pPr>
        <w:pStyle w:val="Nivel3"/>
        <w:numPr>
          <w:ilvl w:val="2"/>
          <w:numId w:val="3"/>
        </w:numPr>
        <w:tabs>
          <w:tab w:val="clear" w:pos="0"/>
        </w:tabs>
        <w:spacing w:before="0" w:after="0"/>
        <w:ind w:hanging="0" w:left="1134"/>
        <w:rPr>
          <w:color w:val="auto"/>
          <w:sz w:val="22"/>
          <w:szCs w:val="22"/>
        </w:rPr>
      </w:pPr>
      <w:bookmarkStart w:id="27" w:name="_Ref114668251"/>
      <w:r>
        <w:rPr>
          <w:color w:val="auto"/>
          <w:sz w:val="22"/>
          <w:szCs w:val="22"/>
        </w:rPr>
        <w:t>praticar atos ilícitos com vistas a frustrar os objetivos da licitação</w:t>
      </w:r>
      <w:bookmarkEnd w:id="27"/>
    </w:p>
    <w:p>
      <w:pPr>
        <w:pStyle w:val="Nivel3"/>
        <w:numPr>
          <w:ilvl w:val="2"/>
          <w:numId w:val="3"/>
        </w:numPr>
        <w:tabs>
          <w:tab w:val="clear" w:pos="0"/>
        </w:tabs>
        <w:spacing w:before="0" w:after="0"/>
        <w:ind w:hanging="0" w:left="1134"/>
        <w:rPr>
          <w:color w:val="auto"/>
          <w:sz w:val="22"/>
          <w:szCs w:val="22"/>
        </w:rPr>
      </w:pPr>
      <w:bookmarkStart w:id="28"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28"/>
    </w:p>
    <w:p>
      <w:pPr>
        <w:pStyle w:val="Nivel2"/>
        <w:numPr>
          <w:ilvl w:val="1"/>
          <w:numId w:val="3"/>
        </w:numPr>
        <w:spacing w:before="0" w:after="0"/>
        <w:ind w:hanging="0" w:left="0"/>
        <w:rPr>
          <w:color w:val="auto"/>
          <w:sz w:val="22"/>
          <w:szCs w:val="22"/>
        </w:rPr>
      </w:pPr>
      <w:bookmarkStart w:id="29" w:name="_Hlk114652595"/>
      <w:bookmarkEnd w:id="29"/>
      <w:r>
        <w:rPr>
          <w:color w:val="auto"/>
          <w:sz w:val="22"/>
          <w:szCs w:val="22"/>
        </w:rPr>
        <w:t xml:space="preserve">Com fulcro na </w:t>
      </w:r>
      <w:hyperlink r:id="rId11">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tabs>
          <w:tab w:val="clear" w:pos="0"/>
        </w:tabs>
        <w:spacing w:before="0" w:after="0"/>
        <w:ind w:hanging="0" w:left="1134"/>
        <w:rPr>
          <w:color w:val="auto"/>
          <w:sz w:val="22"/>
          <w:szCs w:val="22"/>
        </w:rPr>
      </w:pPr>
      <w:r>
        <w:rPr>
          <w:color w:val="auto"/>
          <w:sz w:val="22"/>
          <w:szCs w:val="22"/>
        </w:rPr>
        <w:t xml:space="preserve">advertência; </w:t>
      </w:r>
    </w:p>
    <w:p>
      <w:pPr>
        <w:pStyle w:val="Nivel3"/>
        <w:numPr>
          <w:ilvl w:val="2"/>
          <w:numId w:val="3"/>
        </w:numPr>
        <w:tabs>
          <w:tab w:val="clear" w:pos="0"/>
        </w:tabs>
        <w:spacing w:before="0" w:after="0"/>
        <w:ind w:hanging="0" w:left="1134"/>
        <w:rPr>
          <w:color w:val="auto"/>
          <w:sz w:val="22"/>
          <w:szCs w:val="22"/>
        </w:rPr>
      </w:pPr>
      <w:r>
        <w:rPr>
          <w:color w:val="auto"/>
          <w:sz w:val="22"/>
          <w:szCs w:val="22"/>
        </w:rPr>
        <w:t>multa;</w:t>
      </w:r>
    </w:p>
    <w:p>
      <w:pPr>
        <w:pStyle w:val="Nivel3"/>
        <w:numPr>
          <w:ilvl w:val="2"/>
          <w:numId w:val="3"/>
        </w:numPr>
        <w:tabs>
          <w:tab w:val="clear" w:pos="0"/>
        </w:tabs>
        <w:spacing w:before="0" w:after="0"/>
        <w:ind w:hanging="0" w:left="1134"/>
        <w:rPr>
          <w:color w:val="auto"/>
          <w:sz w:val="22"/>
          <w:szCs w:val="22"/>
        </w:rPr>
      </w:pPr>
      <w:r>
        <w:rPr>
          <w:color w:val="auto"/>
          <w:sz w:val="22"/>
          <w:szCs w:val="22"/>
        </w:rPr>
        <w:t>impedimento de licitar e contratar e</w:t>
      </w:r>
    </w:p>
    <w:p>
      <w:pPr>
        <w:pStyle w:val="Nivel3"/>
        <w:numPr>
          <w:ilvl w:val="2"/>
          <w:numId w:val="3"/>
        </w:numPr>
        <w:tabs>
          <w:tab w:val="clear" w:pos="0"/>
        </w:tabs>
        <w:spacing w:before="0" w:after="0"/>
        <w:ind w:hanging="0" w:left="1134"/>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before="0" w:after="0"/>
        <w:ind w:hanging="0" w:left="0"/>
        <w:rPr>
          <w:color w:val="auto"/>
          <w:sz w:val="22"/>
          <w:szCs w:val="22"/>
        </w:rPr>
      </w:pPr>
      <w:r>
        <w:rPr>
          <w:color w:val="auto"/>
          <w:sz w:val="22"/>
          <w:szCs w:val="22"/>
        </w:rPr>
        <w:t>Na aplicação das sanções serão considerados:</w:t>
      </w:r>
    </w:p>
    <w:p>
      <w:pPr>
        <w:pStyle w:val="Nivel3"/>
        <w:numPr>
          <w:ilvl w:val="2"/>
          <w:numId w:val="3"/>
        </w:numPr>
        <w:tabs>
          <w:tab w:val="clear" w:pos="0"/>
          <w:tab w:val="left" w:pos="993" w:leader="none"/>
        </w:tabs>
        <w:spacing w:before="0" w:after="0"/>
        <w:ind w:hanging="0" w:left="1134"/>
        <w:rPr>
          <w:color w:val="auto"/>
          <w:sz w:val="22"/>
          <w:szCs w:val="22"/>
        </w:rPr>
      </w:pPr>
      <w:r>
        <w:rPr>
          <w:color w:val="auto"/>
          <w:sz w:val="22"/>
          <w:szCs w:val="22"/>
        </w:rPr>
        <w:t>a natureza e a gravidade da infração cometida.</w:t>
      </w:r>
    </w:p>
    <w:p>
      <w:pPr>
        <w:pStyle w:val="Nivel3"/>
        <w:numPr>
          <w:ilvl w:val="2"/>
          <w:numId w:val="3"/>
        </w:numPr>
        <w:tabs>
          <w:tab w:val="clear" w:pos="0"/>
          <w:tab w:val="left" w:pos="993" w:leader="none"/>
        </w:tabs>
        <w:spacing w:before="0" w:after="0"/>
        <w:ind w:hanging="0" w:left="1134"/>
        <w:rPr>
          <w:color w:val="auto"/>
          <w:sz w:val="22"/>
          <w:szCs w:val="22"/>
        </w:rPr>
      </w:pPr>
      <w:r>
        <w:rPr>
          <w:color w:val="auto"/>
          <w:sz w:val="22"/>
          <w:szCs w:val="22"/>
        </w:rPr>
        <w:t>as peculiaridades do caso concreto</w:t>
      </w:r>
    </w:p>
    <w:p>
      <w:pPr>
        <w:pStyle w:val="Nivel3"/>
        <w:numPr>
          <w:ilvl w:val="2"/>
          <w:numId w:val="3"/>
        </w:numPr>
        <w:tabs>
          <w:tab w:val="clear" w:pos="0"/>
          <w:tab w:val="left" w:pos="993" w:leader="none"/>
        </w:tabs>
        <w:spacing w:before="0" w:after="0"/>
        <w:ind w:hanging="0" w:left="1134"/>
        <w:rPr>
          <w:color w:val="auto"/>
          <w:sz w:val="22"/>
          <w:szCs w:val="22"/>
        </w:rPr>
      </w:pPr>
      <w:r>
        <w:rPr>
          <w:color w:val="auto"/>
          <w:sz w:val="22"/>
          <w:szCs w:val="22"/>
        </w:rPr>
        <w:t>as circunstâncias agravantes ou atenuantes</w:t>
      </w:r>
    </w:p>
    <w:p>
      <w:pPr>
        <w:pStyle w:val="Nivel3"/>
        <w:numPr>
          <w:ilvl w:val="2"/>
          <w:numId w:val="3"/>
        </w:numPr>
        <w:tabs>
          <w:tab w:val="clear" w:pos="0"/>
          <w:tab w:val="left" w:pos="993" w:leader="none"/>
        </w:tabs>
        <w:spacing w:before="0" w:after="0"/>
        <w:ind w:hanging="0" w:left="1134"/>
        <w:rPr>
          <w:color w:val="auto"/>
          <w:sz w:val="22"/>
          <w:szCs w:val="22"/>
        </w:rPr>
      </w:pPr>
      <w:r>
        <w:rPr>
          <w:color w:val="auto"/>
          <w:sz w:val="22"/>
          <w:szCs w:val="22"/>
        </w:rPr>
        <w:t>os danos que dela provierem para a Administração Pública</w:t>
      </w:r>
    </w:p>
    <w:p>
      <w:pPr>
        <w:pStyle w:val="Nivel3"/>
        <w:numPr>
          <w:ilvl w:val="2"/>
          <w:numId w:val="3"/>
        </w:numPr>
        <w:tabs>
          <w:tab w:val="clear" w:pos="0"/>
          <w:tab w:val="left" w:pos="993" w:leader="none"/>
        </w:tabs>
        <w:spacing w:before="0" w:after="0"/>
        <w:ind w:hanging="0" w:left="1134"/>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3"/>
        </w:numPr>
        <w:spacing w:before="0" w:after="0"/>
        <w:ind w:hanging="0" w:left="0"/>
        <w:rPr>
          <w:color w:val="auto"/>
          <w:sz w:val="22"/>
          <w:szCs w:val="22"/>
        </w:rPr>
      </w:pPr>
      <w:r>
        <w:rPr>
          <w:color w:val="auto"/>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3"/>
        </w:numPr>
        <w:tabs>
          <w:tab w:val="clear" w:pos="0"/>
        </w:tabs>
        <w:spacing w:before="0" w:after="0"/>
        <w:ind w:hanging="0" w:left="1134"/>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3"/>
        </w:numPr>
        <w:tabs>
          <w:tab w:val="clear" w:pos="0"/>
        </w:tabs>
        <w:spacing w:before="0" w:after="0"/>
        <w:ind w:hanging="0" w:left="1134"/>
        <w:rPr>
          <w:color w:val="auto"/>
          <w:sz w:val="22"/>
          <w:szCs w:val="22"/>
        </w:rPr>
      </w:pPr>
      <w:bookmarkStart w:id="30" w:name="_Hlk113876035"/>
      <w:bookmarkEnd w:id="30"/>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3"/>
        </w:numPr>
        <w:spacing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3"/>
        </w:numPr>
        <w:spacing w:before="0" w:after="0"/>
        <w:ind w:hanging="0" w:left="0"/>
        <w:rPr>
          <w:color w:val="auto"/>
          <w:sz w:val="22"/>
          <w:szCs w:val="22"/>
        </w:rPr>
      </w:pPr>
      <w:bookmarkStart w:id="31" w:name="_Hlk159229867"/>
      <w:bookmarkEnd w:id="31"/>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3"/>
        </w:numPr>
        <w:spacing w:before="0" w:after="0"/>
        <w:ind w:hanging="0" w:left="0"/>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auto"/>
            <w:sz w:val="22"/>
            <w:szCs w:val="22"/>
          </w:rPr>
          <w:t>art. 45, §4º da IN SEGES/ME n.º 73, de 2022</w:t>
        </w:r>
      </w:hyperlink>
      <w:r>
        <w:rPr>
          <w:color w:val="auto"/>
          <w:sz w:val="22"/>
          <w:szCs w:val="22"/>
        </w:rPr>
        <w:t xml:space="preserve">. </w:t>
      </w:r>
    </w:p>
    <w:p>
      <w:pPr>
        <w:pStyle w:val="Nivel2"/>
        <w:numPr>
          <w:ilvl w:val="1"/>
          <w:numId w:val="3"/>
        </w:numPr>
        <w:spacing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3"/>
        </w:numPr>
        <w:spacing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3"/>
        </w:numPr>
        <w:spacing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before="0" w:after="0"/>
        <w:ind w:hanging="0" w:left="0"/>
        <w:rPr>
          <w:color w:val="auto"/>
          <w:sz w:val="22"/>
          <w:szCs w:val="22"/>
        </w:rPr>
      </w:pPr>
      <w:r>
        <w:rPr>
          <w:color w:val="auto"/>
          <w:sz w:val="22"/>
          <w:szCs w:val="22"/>
        </w:rPr>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DA IMPUGNAÇÃO AO EDITAL E DO PEDIDO DE ESCLARECIMENTO</w:t>
      </w:r>
    </w:p>
    <w:p>
      <w:pPr>
        <w:pStyle w:val="Nivel2"/>
        <w:numPr>
          <w:ilvl w:val="1"/>
          <w:numId w:val="3"/>
        </w:numPr>
        <w:spacing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3">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3"/>
        </w:numPr>
        <w:spacing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3"/>
        </w:numPr>
        <w:spacing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3"/>
        </w:numPr>
        <w:spacing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3"/>
        </w:numPr>
        <w:spacing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before="0" w:after="0"/>
        <w:ind w:hanging="0" w:left="0"/>
        <w:rPr>
          <w:color w:val="auto"/>
          <w:sz w:val="22"/>
          <w:szCs w:val="22"/>
        </w:rPr>
      </w:pPr>
      <w:r>
        <w:rPr>
          <w:color w:val="auto"/>
          <w:sz w:val="22"/>
          <w:szCs w:val="22"/>
        </w:rPr>
      </w:r>
    </w:p>
    <w:p>
      <w:pPr>
        <w:pStyle w:val="Nivel2"/>
        <w:tabs>
          <w:tab w:val="clear" w:pos="0"/>
        </w:tabs>
        <w:spacing w:before="0" w:after="0"/>
        <w:ind w:hanging="0" w:left="0"/>
        <w:rPr>
          <w:color w:val="auto"/>
          <w:sz w:val="22"/>
          <w:szCs w:val="22"/>
        </w:rPr>
      </w:pPr>
      <w:r>
        <w:rPr>
          <w:color w:val="auto"/>
          <w:sz w:val="22"/>
          <w:szCs w:val="22"/>
        </w:rPr>
      </w:r>
    </w:p>
    <w:p>
      <w:pPr>
        <w:pStyle w:val="Nivel01"/>
        <w:numPr>
          <w:ilvl w:val="0"/>
          <w:numId w:val="3"/>
        </w:numPr>
        <w:spacing w:lineRule="auto" w:line="276" w:before="0" w:after="0"/>
        <w:ind w:hanging="0" w:left="0"/>
        <w:rPr>
          <w:sz w:val="22"/>
          <w:szCs w:val="22"/>
        </w:rPr>
      </w:pPr>
      <w:r>
        <w:rPr>
          <w:sz w:val="22"/>
          <w:szCs w:val="22"/>
        </w:rPr>
        <w:t>DAS DISPOSIÇÕES GERAIS</w:t>
      </w:r>
    </w:p>
    <w:p>
      <w:pPr>
        <w:pStyle w:val="Nivel2"/>
        <w:numPr>
          <w:ilvl w:val="1"/>
          <w:numId w:val="3"/>
        </w:numPr>
        <w:spacing w:before="0" w:after="0"/>
        <w:ind w:hanging="0" w:left="0"/>
        <w:rPr>
          <w:color w:val="auto"/>
          <w:sz w:val="22"/>
          <w:szCs w:val="22"/>
        </w:rPr>
      </w:pPr>
      <w:r>
        <w:rPr>
          <w:color w:val="auto"/>
          <w:sz w:val="22"/>
          <w:szCs w:val="22"/>
        </w:rPr>
        <w:t>Será divulgada ata da sessão pública no sistema eletrônico.</w:t>
      </w:r>
    </w:p>
    <w:p>
      <w:pPr>
        <w:pStyle w:val="Nivel2"/>
        <w:numPr>
          <w:ilvl w:val="1"/>
          <w:numId w:val="3"/>
        </w:numPr>
        <w:spacing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3"/>
        </w:numPr>
        <w:spacing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3"/>
        </w:numPr>
        <w:spacing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3"/>
        </w:numPr>
        <w:spacing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3"/>
        </w:numPr>
        <w:spacing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3"/>
        </w:numPr>
        <w:tabs>
          <w:tab w:val="clear" w:pos="0"/>
          <w:tab w:val="left" w:pos="709" w:leader="none"/>
        </w:tabs>
        <w:spacing w:before="0" w:after="0"/>
        <w:ind w:hanging="0" w:left="1134"/>
        <w:rPr>
          <w:color w:val="auto"/>
          <w:sz w:val="22"/>
          <w:szCs w:val="22"/>
        </w:rPr>
      </w:pPr>
      <w:r>
        <w:rPr>
          <w:color w:val="auto"/>
          <w:sz w:val="22"/>
          <w:szCs w:val="22"/>
        </w:rPr>
        <w:t>ANEXO I - Termo de Referência</w:t>
      </w:r>
    </w:p>
    <w:p>
      <w:pPr>
        <w:pStyle w:val="Nivel3"/>
        <w:numPr>
          <w:ilvl w:val="2"/>
          <w:numId w:val="3"/>
        </w:numPr>
        <w:tabs>
          <w:tab w:val="clear" w:pos="0"/>
          <w:tab w:val="left" w:pos="709" w:leader="none"/>
        </w:tabs>
        <w:spacing w:before="0" w:after="0"/>
        <w:ind w:hanging="0" w:left="1134" w:right="-54"/>
        <w:rPr>
          <w:color w:val="auto"/>
          <w:sz w:val="22"/>
          <w:szCs w:val="22"/>
        </w:rPr>
      </w:pPr>
      <w:r>
        <w:rPr>
          <w:color w:val="auto"/>
          <w:sz w:val="22"/>
          <w:szCs w:val="22"/>
        </w:rPr>
        <w:t>ANEXO II – Modelo de Procuração</w:t>
      </w:r>
    </w:p>
    <w:p>
      <w:pPr>
        <w:pStyle w:val="Nivel3"/>
        <w:numPr>
          <w:ilvl w:val="2"/>
          <w:numId w:val="3"/>
        </w:numPr>
        <w:tabs>
          <w:tab w:val="clear" w:pos="0"/>
          <w:tab w:val="left" w:pos="709" w:leader="none"/>
        </w:tabs>
        <w:spacing w:before="0" w:after="0"/>
        <w:ind w:hanging="0" w:left="1134"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3"/>
        </w:numPr>
        <w:tabs>
          <w:tab w:val="clear" w:pos="0"/>
          <w:tab w:val="left" w:pos="709" w:leader="none"/>
        </w:tabs>
        <w:spacing w:before="0" w:after="0"/>
        <w:ind w:hanging="0" w:left="1134" w:right="-54"/>
        <w:rPr>
          <w:color w:val="auto"/>
          <w:sz w:val="22"/>
          <w:szCs w:val="22"/>
        </w:rPr>
      </w:pPr>
      <w:r>
        <w:rPr>
          <w:color w:val="auto"/>
          <w:sz w:val="22"/>
          <w:szCs w:val="22"/>
        </w:rPr>
        <w:t>ANEXO IV – Modelo de Declaração de qualificação microempresa ou empresa de pequeno porte</w:t>
      </w:r>
    </w:p>
    <w:p>
      <w:pPr>
        <w:pStyle w:val="Nivel3"/>
        <w:numPr>
          <w:ilvl w:val="2"/>
          <w:numId w:val="3"/>
        </w:numPr>
        <w:tabs>
          <w:tab w:val="clear" w:pos="0"/>
          <w:tab w:val="left" w:pos="709" w:leader="none"/>
        </w:tabs>
        <w:spacing w:before="0" w:after="0"/>
        <w:ind w:hanging="0" w:left="1134"/>
        <w:rPr>
          <w:color w:val="auto"/>
          <w:sz w:val="22"/>
          <w:szCs w:val="22"/>
        </w:rPr>
      </w:pPr>
      <w:r>
        <w:rPr>
          <w:color w:val="auto"/>
          <w:sz w:val="22"/>
          <w:szCs w:val="22"/>
        </w:rPr>
        <w:t>ANEXO V – Modelo de Proposta</w:t>
      </w:r>
    </w:p>
    <w:p>
      <w:pPr>
        <w:pStyle w:val="Nivel3"/>
        <w:numPr>
          <w:ilvl w:val="2"/>
          <w:numId w:val="3"/>
        </w:numPr>
        <w:tabs>
          <w:tab w:val="clear" w:pos="0"/>
          <w:tab w:val="left" w:pos="709" w:leader="none"/>
        </w:tabs>
        <w:spacing w:before="0" w:after="0"/>
        <w:ind w:hanging="0" w:left="1134"/>
        <w:rPr>
          <w:color w:val="auto"/>
          <w:sz w:val="22"/>
          <w:szCs w:val="22"/>
        </w:rPr>
      </w:pPr>
      <w:r>
        <w:rPr>
          <w:color w:val="auto"/>
          <w:sz w:val="22"/>
          <w:szCs w:val="22"/>
        </w:rPr>
        <w:t>ANEXO VI - Minuta de Ata de Registro de Preços</w:t>
      </w:r>
    </w:p>
    <w:p>
      <w:pPr>
        <w:pStyle w:val="Nivel3"/>
        <w:numPr>
          <w:ilvl w:val="2"/>
          <w:numId w:val="3"/>
        </w:numPr>
        <w:tabs>
          <w:tab w:val="clear" w:pos="0"/>
          <w:tab w:val="left" w:pos="709" w:leader="none"/>
        </w:tabs>
        <w:spacing w:before="0" w:after="0"/>
        <w:ind w:hanging="0" w:left="1134"/>
        <w:rPr>
          <w:color w:val="auto"/>
          <w:sz w:val="22"/>
          <w:szCs w:val="22"/>
        </w:rPr>
      </w:pPr>
      <w:r>
        <w:rPr>
          <w:color w:val="auto"/>
          <w:sz w:val="22"/>
          <w:szCs w:val="22"/>
        </w:rPr>
        <w:t>ANEXO VII – Minuta de Autorização de Fornecimento</w:t>
      </w:r>
    </w:p>
    <w:p>
      <w:pPr>
        <w:pStyle w:val="Normal"/>
        <w:tabs>
          <w:tab w:val="left" w:pos="709" w:leader="none"/>
        </w:tabs>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bookmarkStart w:id="32" w:name="_Hlk82473550"/>
      <w:r>
        <w:rPr>
          <w:rFonts w:eastAsia="MS Mincho;ＭＳ 明朝" w:cs="Arial" w:ascii="Arial" w:hAnsi="Arial"/>
          <w:sz w:val="22"/>
          <w:szCs w:val="22"/>
        </w:rPr>
        <w:t>Itatiba,</w:t>
      </w:r>
      <w:bookmarkEnd w:id="32"/>
      <w:r>
        <w:rPr>
          <w:rFonts w:eastAsia="MS Mincho;ＭＳ 明朝" w:cs="Arial" w:ascii="Arial" w:hAnsi="Arial"/>
          <w:sz w:val="22"/>
          <w:szCs w:val="22"/>
        </w:rPr>
        <w:t xml:space="preserve"> 28 de maio de 2026.</w:t>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CLAUDIA REGINA SWENSON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Saúde</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PREGÃO ELETRÔNICO 34/2026</w:t>
      </w:r>
    </w:p>
    <w:p>
      <w:pPr>
        <w:pStyle w:val="Normal"/>
        <w:spacing w:lineRule="auto" w:line="276"/>
        <w:ind w:right="-57"/>
        <w:jc w:val="both"/>
        <w:rPr>
          <w:rFonts w:ascii="Arial" w:hAnsi="Arial" w:cs="Arial"/>
          <w:sz w:val="22"/>
          <w:szCs w:val="22"/>
        </w:rPr>
      </w:pPr>
      <w:r>
        <w:rPr>
          <w:rFonts w:cs="Arial" w:ascii="Arial" w:hAnsi="Arial"/>
          <w:b/>
          <w:bCs/>
          <w:sz w:val="22"/>
          <w:szCs w:val="22"/>
        </w:rPr>
        <w:t>EDITAL Nº 48/2026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3.042/2026</w:t>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t>TERMO DE REFERÊNCIA</w:t>
      </w:r>
    </w:p>
    <w:p>
      <w:pPr>
        <w:pStyle w:val="Nivel01"/>
        <w:numPr>
          <w:ilvl w:val="0"/>
          <w:numId w:val="4"/>
        </w:numPr>
        <w:spacing w:lineRule="auto" w:line="276" w:before="120" w:after="288"/>
        <w:rPr>
          <w:sz w:val="22"/>
          <w:szCs w:val="22"/>
        </w:rPr>
      </w:pPr>
      <w:r>
        <w:rPr>
          <w:sz w:val="22"/>
          <w:szCs w:val="22"/>
        </w:rPr>
        <w:t>OBJETO</w:t>
      </w:r>
    </w:p>
    <w:p>
      <w:pPr>
        <w:pStyle w:val="Nivel2"/>
        <w:tabs>
          <w:tab w:val="clear" w:pos="0"/>
        </w:tabs>
        <w:spacing w:before="120" w:after="288"/>
        <w:ind w:hanging="0" w:left="0"/>
        <w:rPr>
          <w:bCs/>
          <w:color w:val="auto"/>
          <w:sz w:val="22"/>
          <w:szCs w:val="22"/>
        </w:rPr>
      </w:pPr>
      <w:r>
        <w:rPr>
          <w:bCs/>
          <w:color w:val="auto"/>
          <w:sz w:val="22"/>
          <w:szCs w:val="22"/>
        </w:rPr>
        <w:t>Constitui objeto deste Termo de Referência o Registro de Preços com vistas à eventual aquisição de suplemento alimentar de acordo com as especificações, quantitativos máximos e condições mínimas abaixo apresentadas:</w:t>
      </w:r>
    </w:p>
    <w:p>
      <w:pPr>
        <w:pStyle w:val="Nivel01"/>
        <w:numPr>
          <w:ilvl w:val="0"/>
          <w:numId w:val="0"/>
        </w:numPr>
        <w:spacing w:lineRule="auto" w:line="276"/>
        <w:ind w:hanging="0" w:left="360"/>
        <w:jc w:val="center"/>
        <w:rPr>
          <w:sz w:val="22"/>
          <w:szCs w:val="22"/>
        </w:rPr>
      </w:pPr>
      <w:bookmarkStart w:id="33" w:name="_Hlk159843892"/>
      <w:bookmarkEnd w:id="33"/>
      <w:r>
        <w:rPr>
          <w:sz w:val="22"/>
          <w:szCs w:val="22"/>
        </w:rPr>
        <w:t>COTA PRINCIPAL - AMPLA PARTICIPAÇÃO</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tbl>
      <w:tblPr>
        <w:tblW w:w="9077"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568"/>
        <w:gridCol w:w="4110"/>
        <w:gridCol w:w="850"/>
        <w:gridCol w:w="1135"/>
        <w:gridCol w:w="282"/>
        <w:gridCol w:w="932"/>
        <w:gridCol w:w="1199"/>
      </w:tblGrid>
      <w:tr>
        <w:trPr/>
        <w:tc>
          <w:tcPr>
            <w:tcW w:w="56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Item</w:t>
            </w:r>
          </w:p>
        </w:tc>
        <w:tc>
          <w:tcPr>
            <w:tcW w:w="41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6"/>
                <w:szCs w:val="16"/>
              </w:rPr>
            </w:pPr>
            <w:r>
              <w:rPr>
                <w:rFonts w:cs="Arial" w:ascii="Arial" w:hAnsi="Arial"/>
                <w:b/>
                <w:bCs/>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Unidade</w:t>
            </w:r>
          </w:p>
        </w:tc>
        <w:tc>
          <w:tcPr>
            <w:tcW w:w="1135"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r>
          </w:p>
        </w:tc>
        <w:tc>
          <w:tcPr>
            <w:tcW w:w="9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Total</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1.08.01.0001-3 - FORMULA INFANTIL À BASE DE PROTEINAS LACTEAS (6 - 12 meses)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538.800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49.569,60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 À BASE DE PROTEINAS LACTEAS (6 - 12 meses)</w:t>
            </w:r>
          </w:p>
          <w:p>
            <w:pPr>
              <w:pStyle w:val="Normal"/>
              <w:widowControl w:val="false"/>
              <w:jc w:val="both"/>
              <w:rPr>
                <w:rFonts w:ascii="Arial" w:hAnsi="Arial" w:cs="Arial"/>
                <w:sz w:val="16"/>
                <w:szCs w:val="16"/>
              </w:rPr>
            </w:pPr>
            <w:r>
              <w:rPr>
                <w:rFonts w:cs="Arial" w:ascii="Arial" w:hAnsi="Arial"/>
                <w:sz w:val="16"/>
                <w:szCs w:val="16"/>
              </w:rPr>
              <w:t>Fórmula infantil de seguimento, indicada para lactentes do 6º ao 12º mês de vida, contendo todos os nutrientes para satisfazer as necessidades nutricionais de lactentes até o 1º ano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NAN CONFORT 2 / APTAMIL 2/ MILUPA 2/ NAN SUPREME 2/ NESTOGENO 2</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3</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1.08.01.0002-1 - FÓRMULA INFANTIL À BASE DE PROTEÍNAS LÁCTEAS (0 - 6 meses)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375.000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36.375,00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FÓRMULA INFANTIL À BASE DE PROTEÍNAS LÁCTEAS (0 - 6 meses)</w:t>
            </w:r>
          </w:p>
          <w:p>
            <w:pPr>
              <w:pStyle w:val="Normal"/>
              <w:widowControl w:val="false"/>
              <w:jc w:val="both"/>
              <w:rPr>
                <w:rFonts w:ascii="Arial" w:hAnsi="Arial" w:cs="Arial"/>
                <w:sz w:val="16"/>
                <w:szCs w:val="16"/>
              </w:rPr>
            </w:pPr>
            <w:r>
              <w:rPr>
                <w:rFonts w:cs="Arial" w:ascii="Arial" w:hAnsi="Arial"/>
                <w:sz w:val="16"/>
                <w:szCs w:val="16"/>
              </w:rPr>
              <w:t>Fórmula infantil de partida, indicada para lactentes até o 6º mês de vida, contendo todos os nutrientes para satisfazer as necessidades nutricionais de lactentes até o 6º mês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NESTOGENO 1/ APTAMIL 1/ NAN CONFORT 1/ MILUPA 1/ NAN SUPREME 1.</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5</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1.08.01.0006-4 - SUPLEMENTO ALIMENTAR PARA PACIENTES DIALISADOS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2.096.640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194.987,52</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PARA PACIENTES DIALISADOS</w:t>
            </w:r>
          </w:p>
          <w:p>
            <w:pPr>
              <w:pStyle w:val="Normal"/>
              <w:widowControl w:val="false"/>
              <w:jc w:val="both"/>
              <w:rPr>
                <w:rFonts w:ascii="Arial" w:hAnsi="Arial" w:cs="Arial"/>
                <w:sz w:val="16"/>
                <w:szCs w:val="16"/>
              </w:rPr>
            </w:pPr>
            <w:r>
              <w:rPr>
                <w:rFonts w:cs="Arial" w:ascii="Arial" w:hAnsi="Arial"/>
                <w:sz w:val="16"/>
                <w:szCs w:val="16"/>
              </w:rPr>
              <w:t>Suplemento alimentar hipercalórico, normoproteico, desenvolvido para pacientes com insuficiência renal crônica em processo dialítico; isento de glúten, sacarose, xarope de glicose e de milho. Apresentação na forma líquida pronta para consumo, embalagem com no mínimo 200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HD MAX/ NUTRI RENAL D</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7</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1.08.01.0015-3 - NUTRIÇÃO ENTERAL INFANTIL III</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206.100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0,214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44.105,40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4 anos de idade, sem glúten, acrescida de prebioticos e probioticos. Permite uso oral ou enteral.</w:t>
            </w:r>
          </w:p>
          <w:p>
            <w:pPr>
              <w:pStyle w:val="Normal"/>
              <w:widowControl w:val="false"/>
              <w:jc w:val="both"/>
              <w:rPr>
                <w:rFonts w:ascii="Arial" w:hAnsi="Arial" w:cs="Arial"/>
                <w:sz w:val="16"/>
                <w:szCs w:val="16"/>
              </w:rPr>
            </w:pPr>
            <w:r>
              <w:rPr>
                <w:rFonts w:cs="Arial" w:ascii="Arial" w:hAnsi="Arial"/>
                <w:sz w:val="16"/>
                <w:szCs w:val="16"/>
              </w:rPr>
              <w:t>Apresentação em pó, embalagem com no mínimo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sz w:val="16"/>
                <w:szCs w:val="16"/>
                <w:highlight w:val="yellow"/>
              </w:rPr>
              <w:t>OBRIGATORIO SER PEDIASURE COMPLETE</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9</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1.08.01.0016-1 - SUPLEMENTO ALIMENTAR HIPERCALÓRICO E HIPERPROTEICO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486.000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0,088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42.768,00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HIPERCALÓRICO E HIPERPROTEICO</w:t>
            </w:r>
          </w:p>
          <w:p>
            <w:pPr>
              <w:pStyle w:val="Normal"/>
              <w:widowControl w:val="false"/>
              <w:jc w:val="both"/>
              <w:rPr>
                <w:rFonts w:ascii="Arial" w:hAnsi="Arial" w:cs="Arial"/>
                <w:sz w:val="16"/>
                <w:szCs w:val="16"/>
              </w:rPr>
            </w:pPr>
            <w:r>
              <w:rPr>
                <w:rFonts w:cs="Arial" w:ascii="Arial" w:hAnsi="Arial"/>
                <w:sz w:val="16"/>
                <w:szCs w:val="16"/>
              </w:rPr>
              <w:t>Suplemento alimentar oral, hipercalórico e hiperproteico, isento de glúten. Apresentação na forma líquida pronta para uso com no mínimo 125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QUALIDADE SIMILAR OU SUPERIOR DO PRODUTO: ENERGIZIR/ NUTREN 1.5</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11</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1.08.01.0021-8 - FORMULA INFANTIL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210.000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0,344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72.240,00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w:t>
            </w:r>
          </w:p>
          <w:p>
            <w:pPr>
              <w:pStyle w:val="Normal"/>
              <w:widowControl w:val="false"/>
              <w:jc w:val="both"/>
              <w:rPr>
                <w:rFonts w:ascii="Arial" w:hAnsi="Arial" w:cs="Arial"/>
                <w:sz w:val="16"/>
                <w:szCs w:val="16"/>
              </w:rPr>
            </w:pPr>
            <w:r>
              <w:rPr>
                <w:rFonts w:cs="Arial" w:ascii="Arial" w:hAnsi="Arial"/>
                <w:sz w:val="16"/>
                <w:szCs w:val="16"/>
              </w:rPr>
              <w:t>Completa para uso oral ou enteral para lactentes ou de seguimento para lactentes e/ou crianças de primeira infância. (criança de 0-36 meses).</w:t>
            </w:r>
          </w:p>
          <w:p>
            <w:pPr>
              <w:pStyle w:val="Normal"/>
              <w:widowControl w:val="false"/>
              <w:jc w:val="both"/>
              <w:rPr>
                <w:rFonts w:ascii="Arial" w:hAnsi="Arial" w:cs="Arial"/>
                <w:sz w:val="16"/>
                <w:szCs w:val="16"/>
              </w:rPr>
            </w:pPr>
            <w:r>
              <w:rPr>
                <w:rFonts w:cs="Arial" w:ascii="Arial" w:hAnsi="Arial"/>
                <w:sz w:val="16"/>
                <w:szCs w:val="16"/>
              </w:rPr>
              <w:t>Nutricionalmente completa, destinada a necessidades dietoterápicas especificas. Apresentação em pó, lata com no mínimo 400 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O INFATRINI</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13</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1.08.01.0023-4 - ESPESSANTE ALIMENTAR – Formula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79.200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0,328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25.977,60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ESPESSANTE ALIMENTAR – Formula</w:t>
            </w:r>
          </w:p>
          <w:p>
            <w:pPr>
              <w:pStyle w:val="Normal"/>
              <w:widowControl w:val="false"/>
              <w:jc w:val="both"/>
              <w:rPr>
                <w:rFonts w:ascii="Arial" w:hAnsi="Arial" w:cs="Arial"/>
                <w:sz w:val="16"/>
                <w:szCs w:val="16"/>
              </w:rPr>
            </w:pPr>
            <w:r>
              <w:rPr>
                <w:rFonts w:cs="Arial" w:ascii="Arial" w:hAnsi="Arial"/>
                <w:sz w:val="16"/>
                <w:szCs w:val="16"/>
              </w:rPr>
              <w:t>Produto instantâneo, com propriedade espessante que, ao ser adicionado à água e alimento frio ou quente, não altere sabor, odor e cor. Deve conter gomas alimentares em sua composição. Apresentação em pó.</w:t>
            </w:r>
          </w:p>
          <w:p>
            <w:pPr>
              <w:pStyle w:val="Normal"/>
              <w:widowControl w:val="false"/>
              <w:jc w:val="both"/>
              <w:rPr>
                <w:rFonts w:ascii="Arial" w:hAnsi="Arial" w:cs="Arial"/>
                <w:sz w:val="16"/>
                <w:szCs w:val="16"/>
              </w:rPr>
            </w:pPr>
            <w:r>
              <w:rPr>
                <w:rFonts w:cs="Arial" w:ascii="Arial" w:hAnsi="Arial"/>
                <w:sz w:val="16"/>
                <w:szCs w:val="16"/>
              </w:rPr>
              <w:t>Embalagem com no máximo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OU SIMILAR, OU SUPERIOR QUE O PRODUTO: NUTILIS/ RESOURCE CHICKEN UP CLEAR/ INSTANTH CLEAR</w:t>
            </w:r>
            <w:r>
              <w:rPr>
                <w:rFonts w:cs="Arial" w:ascii="Arial" w:hAnsi="Arial"/>
                <w:sz w:val="16"/>
                <w:szCs w:val="16"/>
              </w:rPr>
              <w:t>.</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15</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1.08.01.0024-2 - NUTRIÇÃO ENTERAL PADRÃO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2.664.090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0,141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375.636,69</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PADRÃO</w:t>
            </w:r>
          </w:p>
          <w:p>
            <w:pPr>
              <w:pStyle w:val="Normal"/>
              <w:widowControl w:val="false"/>
              <w:jc w:val="both"/>
              <w:rPr>
                <w:rFonts w:ascii="Arial" w:hAnsi="Arial" w:cs="Arial"/>
                <w:sz w:val="16"/>
                <w:szCs w:val="16"/>
              </w:rPr>
            </w:pPr>
            <w:r>
              <w:rPr>
                <w:rFonts w:cs="Arial" w:ascii="Arial" w:hAnsi="Arial"/>
                <w:sz w:val="16"/>
                <w:szCs w:val="16"/>
              </w:rPr>
              <w:t>Fórmula nutricionalmente completa, para uso oral ou enteral, isenta de sacarose, lactose, glúten e fibras. Permite diferentes diluições, flexibilizando a densidade calórica até 1,5 Cal/ml. A porcentagem de proteína de soja deve ser inferior a 60%, quando constar na formula. Apresentação em pó, embalagem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TROPHIC BASIC</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17</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1.08.01.0028-5 - NUTRIÇÃO ENTERAL INFANTIL II</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345.600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0,103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35.596,80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04 anos de idade, isenta de glúten, para uso oral ou enteral. Apresentação em pó. Embalagem com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NUTREN JUNIOR/ TROPHIC INFANT/ FORTINI COMPLETE</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spacing w:lineRule="auto" w:line="240" w:before="120" w:after="288"/>
              <w:ind w:hanging="0" w:left="0"/>
              <w:jc w:val="center"/>
              <w:rPr>
                <w:color w:val="auto"/>
                <w:sz w:val="16"/>
                <w:szCs w:val="16"/>
              </w:rPr>
            </w:pPr>
            <w:r>
              <w:rPr>
                <w:b/>
                <w:color w:val="auto"/>
                <w:sz w:val="16"/>
                <w:szCs w:val="16"/>
                <w:u w:val="single"/>
              </w:rPr>
              <w:t>COTA RESERVADA – EXCLUSIVIDADE ME/EPP</w:t>
            </w:r>
          </w:p>
          <w:p>
            <w:pPr>
              <w:pStyle w:val="Normal"/>
              <w:widowControl w:val="false"/>
              <w:jc w:val="both"/>
              <w:rPr>
                <w:rFonts w:ascii="Arial" w:hAnsi="Arial" w:cs="Arial"/>
                <w:b/>
                <w:sz w:val="16"/>
                <w:szCs w:val="16"/>
              </w:rPr>
            </w:pPr>
            <w:r>
              <w:rPr>
                <w:rFonts w:cs="Arial" w:ascii="Arial" w:hAnsi="Arial"/>
                <w:b/>
                <w:sz w:val="16"/>
                <w:szCs w:val="16"/>
              </w:rPr>
            </w:r>
          </w:p>
        </w:tc>
      </w:tr>
      <w:tr>
        <w:trPr/>
        <w:tc>
          <w:tcPr>
            <w:tcW w:w="56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Item</w:t>
            </w:r>
          </w:p>
        </w:tc>
        <w:tc>
          <w:tcPr>
            <w:tcW w:w="41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sz w:val="16"/>
                <w:szCs w:val="16"/>
              </w:rPr>
            </w:pPr>
            <w:r>
              <w:rPr>
                <w:rFonts w:cs="Arial" w:ascii="Arial" w:hAnsi="Arial"/>
                <w:sz w:val="16"/>
                <w:szCs w:val="16"/>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6"/>
                <w:szCs w:val="16"/>
              </w:rPr>
            </w:pPr>
            <w:r>
              <w:rPr>
                <w:rFonts w:cs="Arial" w:ascii="Arial" w:hAnsi="Arial"/>
                <w:sz w:val="16"/>
                <w:szCs w:val="16"/>
              </w:rPr>
              <w:t>Unidade</w:t>
            </w:r>
          </w:p>
        </w:tc>
        <w:tc>
          <w:tcPr>
            <w:tcW w:w="1135"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Quantidade</w:t>
            </w:r>
          </w:p>
        </w:tc>
        <w:tc>
          <w:tcPr>
            <w:tcW w:w="282"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6"/>
                <w:szCs w:val="16"/>
              </w:rPr>
            </w:pPr>
            <w:r>
              <w:rPr>
                <w:rFonts w:cs="Arial" w:ascii="Arial" w:hAnsi="Arial"/>
                <w:sz w:val="16"/>
                <w:szCs w:val="16"/>
              </w:rPr>
              <w:t>Preço Total</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1.08.01.0001-3 - FORMULA INFANTIL À BASE DE PROTEINAS LACTEAS (6 - 12 meses)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179.600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0,092</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16.523,20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 À BASE DE PROTEINAS LACTEAS (6 - 12 meses)</w:t>
            </w:r>
          </w:p>
          <w:p>
            <w:pPr>
              <w:pStyle w:val="Normal"/>
              <w:widowControl w:val="false"/>
              <w:jc w:val="both"/>
              <w:rPr>
                <w:rFonts w:ascii="Arial" w:hAnsi="Arial" w:cs="Arial"/>
                <w:sz w:val="16"/>
                <w:szCs w:val="16"/>
              </w:rPr>
            </w:pPr>
            <w:r>
              <w:rPr>
                <w:rFonts w:cs="Arial" w:ascii="Arial" w:hAnsi="Arial"/>
                <w:sz w:val="16"/>
                <w:szCs w:val="16"/>
              </w:rPr>
              <w:t>Fórmula infantil de seguimento, indicada para lactentes do 6º ao 12º mês de vida, contendo todos os nutrientes para satisfazer as necessidades nutricionais de lactentes até o 1º ano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NAN CONFORT 2 / APTAMIL 2/ MILUPA 2/ NAN SUPREME 2/ NESTOGENO 2</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4</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1.08.01.0002-1 - FÓRMULA INFANTIL À BASE DE PROTEÍNAS LÁCTEAS (0 - 6 meses)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125.000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0,097</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12.125,00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FÓRMULA INFANTIL À BASE DE PROTEÍNAS LÁCTEAS (0 - 6 meses)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Fórmula infantil de partida, indicada para lactentes até o 6º mês de vida, contendo todos os nutrientes para satisfazer as necessidades nutricionais de lactentes até o 6º mês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NESTOGENO 1/ APTAMIL 1/ NAN CONFORT 1/ MILUPA 1/ NAN SUPREME 1</w:t>
            </w:r>
            <w:r>
              <w:rPr>
                <w:rFonts w:cs="Arial" w:ascii="Arial" w:hAnsi="Arial"/>
                <w:sz w:val="16"/>
                <w:szCs w:val="16"/>
              </w:rPr>
              <w:t>.</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6</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1.08.01.0006-4 - SUPLEMENTO ALIMENTAR PARA PACIENTES DIALISADOS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698.880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0,093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64.995,84</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PARA PACIENTES DIALISADOS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Suplemento alimentar hipercalórico, normoproteico, desenvolvido para pacientes com insuficiência renal crônica em processo dialítico; isento de glúten, sacarose, xarope de glicose e de milho. Apresentação na forma líquida pronta para consumo, embalagem com no mínimo 200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HD MAX/ NUTRI RENAL D</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8</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1.08.01.0015-3 - NUTRIÇÃO ENTERAL INFANTIL III</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68.700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0,214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14.701,80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4 anos de idade, sem gluten, acrescida de prebioticos e probioticos. Permite uso oral ou enteral.</w:t>
            </w:r>
          </w:p>
          <w:p>
            <w:pPr>
              <w:pStyle w:val="Normal"/>
              <w:widowControl w:val="false"/>
              <w:jc w:val="both"/>
              <w:rPr>
                <w:rFonts w:ascii="Arial" w:hAnsi="Arial" w:cs="Arial"/>
                <w:sz w:val="16"/>
                <w:szCs w:val="16"/>
              </w:rPr>
            </w:pPr>
            <w:r>
              <w:rPr>
                <w:rFonts w:cs="Arial" w:ascii="Arial" w:hAnsi="Arial"/>
                <w:sz w:val="16"/>
                <w:szCs w:val="16"/>
              </w:rPr>
              <w:t>Apresentação em pó, embalagem com no minimo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PEDIASURE COMPLETE.</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10</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1.08.01.0016-1 - SUPLEMENTO ALIMENTAR HIPERCALÓRICO E HIPERPROTEICO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162.000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0,088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14.256,00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HIPERCALÓRICO E HIPERPROTEICO</w:t>
            </w:r>
          </w:p>
          <w:p>
            <w:pPr>
              <w:pStyle w:val="Normal"/>
              <w:widowControl w:val="false"/>
              <w:jc w:val="both"/>
              <w:rPr>
                <w:rFonts w:ascii="Arial" w:hAnsi="Arial" w:cs="Arial"/>
                <w:sz w:val="16"/>
                <w:szCs w:val="16"/>
              </w:rPr>
            </w:pPr>
            <w:r>
              <w:rPr>
                <w:rFonts w:cs="Arial" w:ascii="Arial" w:hAnsi="Arial"/>
                <w:sz w:val="16"/>
                <w:szCs w:val="16"/>
              </w:rPr>
              <w:t>Suplemento alimentar oral, hipercalórico e hiperproteico, isento de glúten. Apresentação na forma líquida pronta para uso com no mínimo 125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QUALIDADE SIMILAR OU SUPERIOR DO PRODUTO: ENERGIZIR/ NUTREN 1.5</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12</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1.08.01.0021-8 - FORMULA INFANTIL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70.000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0,344</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24.080,00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w:t>
            </w:r>
          </w:p>
          <w:p>
            <w:pPr>
              <w:pStyle w:val="Normal"/>
              <w:widowControl w:val="false"/>
              <w:jc w:val="both"/>
              <w:rPr>
                <w:rFonts w:ascii="Arial" w:hAnsi="Arial" w:cs="Arial"/>
                <w:sz w:val="16"/>
                <w:szCs w:val="16"/>
              </w:rPr>
            </w:pPr>
            <w:r>
              <w:rPr>
                <w:rFonts w:cs="Arial" w:ascii="Arial" w:hAnsi="Arial"/>
                <w:sz w:val="16"/>
                <w:szCs w:val="16"/>
              </w:rPr>
              <w:t>Completa para uso oral ou enteral para lactentes ou de seguimento para lactentes e/ou crianças de primeira infância. (criança de 0-36 meses). Nutricionalmente completa, destinada a necessidades dietoterápicas especificas. Apresentação em pó, lata com no mínimo 400 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O INFATRINI</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14</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1.08.01.0023-4 - ESPESSANTE ALIMENTAR – Formula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26.400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0,328</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8.659,20</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ESPESSANTE ALIMENTAR – Formula</w:t>
            </w:r>
          </w:p>
          <w:p>
            <w:pPr>
              <w:pStyle w:val="Normal"/>
              <w:widowControl w:val="false"/>
              <w:jc w:val="both"/>
              <w:rPr>
                <w:rFonts w:ascii="Arial" w:hAnsi="Arial" w:cs="Arial"/>
                <w:sz w:val="16"/>
                <w:szCs w:val="16"/>
              </w:rPr>
            </w:pPr>
            <w:r>
              <w:rPr>
                <w:rFonts w:cs="Arial" w:ascii="Arial" w:hAnsi="Arial"/>
                <w:sz w:val="16"/>
                <w:szCs w:val="16"/>
              </w:rPr>
              <w:t>Produto  instantâneo, com propriedade espessante que, ao ser adicionado à agua e alimento frio ou quente, não altere sabor, odor e cor. Deve conter gomas alimentares em sua composição. Apresentação em pó. Embalagem com no máximo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NUTILIS/ RESOURCE CHICKEN UP CLEAR/ INSTANTH CLEAR</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16</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1.08.01.0024-2 - NUTRIÇÃO ENTERAL PADRÃO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888.030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0,141</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125.212,23</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PADRÃO</w:t>
            </w:r>
          </w:p>
          <w:p>
            <w:pPr>
              <w:pStyle w:val="Normal"/>
              <w:widowControl w:val="false"/>
              <w:jc w:val="both"/>
              <w:rPr>
                <w:rFonts w:ascii="Arial" w:hAnsi="Arial" w:cs="Arial"/>
                <w:sz w:val="16"/>
                <w:szCs w:val="16"/>
              </w:rPr>
            </w:pPr>
            <w:r>
              <w:rPr>
                <w:rFonts w:cs="Arial" w:ascii="Arial" w:hAnsi="Arial"/>
                <w:sz w:val="16"/>
                <w:szCs w:val="16"/>
              </w:rPr>
              <w:t>Fórmula nutricionalmente completa, para uso oral ou enteral, isenta de sacarose, lactose, glúten e fibras. Permite diferentes diluições, flexibilizando a densidade calórica até 1,5 Cal/ml. A porcentagem de proteína de soja deve ser inferior a 60%, quando constar na formula. Apresentação em pó, embalagem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TROPHIC BASIC</w:t>
            </w:r>
          </w:p>
        </w:tc>
      </w:tr>
      <w:tr>
        <w:trPr/>
        <w:tc>
          <w:tcPr>
            <w:tcW w:w="568"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18</w:t>
            </w:r>
          </w:p>
        </w:tc>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jc w:val="both"/>
              <w:rPr>
                <w:rFonts w:ascii="Arial" w:hAnsi="Arial" w:cs="Arial"/>
                <w:sz w:val="16"/>
                <w:szCs w:val="16"/>
              </w:rPr>
            </w:pPr>
            <w:r>
              <w:rPr>
                <w:rFonts w:cs="Arial" w:ascii="Arial" w:hAnsi="Arial"/>
                <w:sz w:val="16"/>
                <w:szCs w:val="16"/>
              </w:rPr>
              <w:t>1.08.01.0028-5 - NUTRIÇÃO ENTERAL INFANTIL II</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115.200</w:t>
            </w:r>
          </w:p>
        </w:tc>
        <w:tc>
          <w:tcPr>
            <w:tcW w:w="282" w:type="dxa"/>
            <w:tcBorders>
              <w:top w:val="single" w:sz="8" w:space="0" w:color="000000"/>
              <w:bottom w:val="single" w:sz="8" w:space="0" w:color="000000"/>
              <w:right w:val="single" w:sz="8" w:space="0" w:color="000000"/>
            </w:tcBorders>
          </w:tcPr>
          <w:p>
            <w:pPr>
              <w:pStyle w:val="Normal"/>
              <w:widowControl w:val="false"/>
              <w:rPr>
                <w:rFonts w:ascii="Arial" w:hAnsi="Arial" w:cs="Arial"/>
                <w:sz w:val="16"/>
                <w:szCs w:val="16"/>
              </w:rPr>
            </w:pPr>
            <w:r>
              <w:rPr>
                <w:rFonts w:cs="Arial" w:ascii="Arial" w:hAnsi="Arial"/>
                <w:sz w:val="16"/>
                <w:szCs w:val="16"/>
              </w:rPr>
            </w:r>
          </w:p>
        </w:tc>
        <w:tc>
          <w:tcPr>
            <w:tcW w:w="93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6"/>
                <w:szCs w:val="16"/>
              </w:rPr>
            </w:pPr>
            <w:r>
              <w:rPr>
                <w:rFonts w:cs="Arial" w:ascii="Arial" w:hAnsi="Arial"/>
                <w:sz w:val="16"/>
                <w:szCs w:val="16"/>
              </w:rPr>
              <w:t>0,103</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11.865,6</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04 anos de idade, isenta de gluten, para uso oral ou enteral. Apresentação em pó. Embalagem com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NUTREN JUNIOR/ TROPHIC INFANT/ FORTINI COMPLETE.</w:t>
            </w:r>
          </w:p>
        </w:tc>
      </w:tr>
    </w:tbl>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290" w:leader="none"/>
        </w:tabs>
        <w:spacing w:lineRule="auto" w:line="276"/>
        <w:ind w:right="-54"/>
        <w:jc w:val="both"/>
        <w:rPr>
          <w:rFonts w:ascii="Arial" w:hAnsi="Arial" w:cs="Arial"/>
          <w:sz w:val="22"/>
          <w:szCs w:val="22"/>
        </w:rPr>
      </w:pPr>
      <w:r>
        <w:rPr>
          <w:rFonts w:eastAsia="Calibri" w:cs="Arial" w:ascii="Arial" w:hAnsi="Arial"/>
          <w:sz w:val="22"/>
          <w:szCs w:val="22"/>
        </w:rPr>
        <w:t xml:space="preserve">1.2 - Os itens </w:t>
      </w:r>
      <w:r>
        <w:rPr>
          <w:rFonts w:eastAsia="Calibri" w:cs="Arial" w:ascii="Arial" w:hAnsi="Arial"/>
          <w:b/>
          <w:bCs/>
          <w:sz w:val="22"/>
          <w:szCs w:val="22"/>
        </w:rPr>
        <w:t xml:space="preserve">07, 08, 11 e 12 </w:t>
      </w:r>
      <w:r>
        <w:rPr>
          <w:rFonts w:eastAsia="Calibri" w:cs="Arial" w:ascii="Arial" w:hAnsi="Arial"/>
          <w:sz w:val="22"/>
          <w:szCs w:val="22"/>
        </w:rPr>
        <w:t>apresentam exigência de marca por prescrição médica para pacientes que já fazem tratamento com este produto e tem resposta clínica favorável e bom estado nutricional conforme atestados médicos.</w:t>
      </w:r>
    </w:p>
    <w:p>
      <w:pPr>
        <w:pStyle w:val="Normal"/>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b/>
          <w:sz w:val="22"/>
          <w:szCs w:val="22"/>
        </w:rPr>
        <w:t>2- DOCUMENTAÇÃO COMPLEMENTAR</w:t>
      </w:r>
      <w:r>
        <w:rPr>
          <w:rFonts w:cs="Arial" w:ascii="Arial" w:hAnsi="Arial"/>
          <w:sz w:val="22"/>
          <w:szCs w:val="22"/>
        </w:rPr>
        <w:t xml:space="preserve"> </w:t>
      </w:r>
    </w:p>
    <w:p>
      <w:pPr>
        <w:pStyle w:val="Nivel2"/>
        <w:spacing w:before="0" w:after="0"/>
        <w:ind w:hanging="0" w:left="0"/>
        <w:rPr>
          <w:color w:val="auto"/>
          <w:sz w:val="22"/>
          <w:szCs w:val="22"/>
        </w:rPr>
      </w:pPr>
      <w:r>
        <w:rPr>
          <w:color w:val="auto"/>
          <w:sz w:val="22"/>
          <w:szCs w:val="22"/>
        </w:rPr>
        <w:t xml:space="preserve">2.1 - O licitante classificado em primeiro lugar, terá o prazo de até 05 (cinco) dias úteis, contados da sessão de processamento da licitação, para apresentar mediante protocolo na </w:t>
      </w:r>
      <w:r>
        <w:rPr>
          <w:color w:val="auto"/>
          <w:sz w:val="22"/>
          <w:szCs w:val="22"/>
          <w:u w:val="single"/>
        </w:rPr>
        <w:t>Secretaria da Saúde, situada na Rua Marcos Dian, 365 – Jd de Lucca</w:t>
      </w:r>
      <w:r>
        <w:rPr>
          <w:color w:val="auto"/>
          <w:sz w:val="22"/>
          <w:szCs w:val="22"/>
        </w:rPr>
        <w:t>, aos cuidados do pregoeiro, os seguintes documentos dos produtos ofertados:</w:t>
      </w:r>
    </w:p>
    <w:p>
      <w:pPr>
        <w:pStyle w:val="Nivel2"/>
        <w:spacing w:before="0" w:after="0"/>
        <w:ind w:hanging="0" w:left="567"/>
        <w:rPr>
          <w:color w:val="auto"/>
          <w:sz w:val="22"/>
          <w:szCs w:val="22"/>
        </w:rPr>
      </w:pPr>
      <w:r>
        <w:rPr>
          <w:color w:val="auto"/>
          <w:sz w:val="22"/>
          <w:szCs w:val="22"/>
        </w:rPr>
        <w:t>a) Licença de funcionamento emitida pela Vigilância Sanitária do Estado ou Município;</w:t>
      </w:r>
    </w:p>
    <w:p>
      <w:pPr>
        <w:pStyle w:val="Nivel2"/>
        <w:spacing w:before="0" w:after="0"/>
        <w:ind w:hanging="0" w:left="567"/>
        <w:rPr>
          <w:color w:val="auto"/>
          <w:sz w:val="22"/>
          <w:szCs w:val="22"/>
        </w:rPr>
      </w:pPr>
      <w:r>
        <w:rPr>
          <w:color w:val="auto"/>
          <w:sz w:val="22"/>
          <w:szCs w:val="22"/>
        </w:rPr>
        <w:t>b) Registro do produto na ANVISA;</w:t>
      </w:r>
    </w:p>
    <w:p>
      <w:pPr>
        <w:pStyle w:val="Nivel2"/>
        <w:spacing w:before="0" w:after="0"/>
        <w:ind w:hanging="0" w:left="567"/>
        <w:rPr>
          <w:b/>
          <w:bCs/>
          <w:color w:val="auto"/>
          <w:sz w:val="22"/>
          <w:szCs w:val="22"/>
        </w:rPr>
      </w:pPr>
      <w:r>
        <w:rPr>
          <w:color w:val="auto"/>
          <w:sz w:val="22"/>
          <w:szCs w:val="22"/>
        </w:rPr>
        <w:t>c) Amostra do item ofertado, acompanhado de ficha técnica.</w:t>
      </w:r>
    </w:p>
    <w:p>
      <w:pPr>
        <w:pStyle w:val="Normal"/>
        <w:shd w:val="clear" w:color="auto" w:fill="FFFFFF"/>
        <w:spacing w:lineRule="auto" w:line="276"/>
        <w:jc w:val="both"/>
        <w:rPr>
          <w:rFonts w:ascii="Arial" w:hAnsi="Arial" w:cs="Arial"/>
          <w:b/>
          <w:sz w:val="22"/>
          <w:szCs w:val="22"/>
        </w:rPr>
      </w:pPr>
      <w:r>
        <w:rPr>
          <w:rFonts w:cs="Arial" w:ascii="Arial" w:hAnsi="Arial"/>
          <w:b/>
          <w:sz w:val="22"/>
          <w:szCs w:val="22"/>
        </w:rPr>
        <w:t>2.2 - CASO A PROPONENTE APRESENTE EM SUA PROPOSTA O PRODUTO COM AS MARCAS DE REFERÊNCIA CITADA NA TABELA DO ANEXO I, ESTARÁ DISPENSADA DA APRESENTAÇÃO DAS AMOSTRAS, DEVERÁ APRESENTAR APENAS A LICENÇA DE FUNCIONAMENTO EMITIDA PELA VIGILÂNCIA SANITÁRIA DO ESTADO E OU MUNICÍPIO DA EMPRESA E O REGISTRO DO PRODUTO NA ANVISA</w:t>
      </w:r>
    </w:p>
    <w:p>
      <w:pPr>
        <w:pStyle w:val="Normal"/>
        <w:spacing w:lineRule="auto" w:line="276"/>
        <w:jc w:val="both"/>
        <w:rPr>
          <w:rFonts w:ascii="Arial" w:hAnsi="Arial" w:cs="Arial"/>
          <w:sz w:val="22"/>
          <w:szCs w:val="22"/>
        </w:rPr>
      </w:pPr>
      <w:r>
        <w:rPr>
          <w:rFonts w:cs="Arial" w:ascii="Arial" w:hAnsi="Arial"/>
          <w:sz w:val="22"/>
          <w:szCs w:val="22"/>
        </w:rPr>
        <w:t>2.3 - Aprovadas as documentações, na retomada da sessão o proponente será definitivamente declarado vencedor, e terá o seu preço registrado na ata que será formalizada, após adjudicação do objeto e homologação do procedimento.</w:t>
      </w:r>
    </w:p>
    <w:p>
      <w:pPr>
        <w:pStyle w:val="Normal"/>
        <w:widowControl w:val="false"/>
        <w:tabs>
          <w:tab w:val="clear" w:pos="709"/>
          <w:tab w:val="center" w:pos="327" w:leader="none"/>
          <w:tab w:val="left" w:pos="695" w:leader="none"/>
          <w:tab w:val="center" w:pos="4602" w:leader="none"/>
          <w:tab w:val="right" w:pos="6140" w:leader="none"/>
        </w:tabs>
        <w:spacing w:lineRule="auto" w:line="276"/>
        <w:jc w:val="both"/>
        <w:rPr>
          <w:rFonts w:ascii="Arial" w:hAnsi="Arial" w:cs="Arial"/>
          <w:b/>
          <w:sz w:val="22"/>
          <w:szCs w:val="22"/>
        </w:rPr>
      </w:pPr>
      <w:r>
        <w:rPr>
          <w:rFonts w:cs="Arial" w:ascii="Arial" w:hAnsi="Arial"/>
          <w:b/>
          <w:sz w:val="22"/>
          <w:szCs w:val="22"/>
        </w:rPr>
      </w:r>
    </w:p>
    <w:p>
      <w:pPr>
        <w:pStyle w:val="Normal"/>
        <w:widowControl w:val="false"/>
        <w:tabs>
          <w:tab w:val="clear" w:pos="709"/>
          <w:tab w:val="center" w:pos="327" w:leader="none"/>
          <w:tab w:val="left" w:pos="695" w:leader="none"/>
          <w:tab w:val="center" w:pos="4602" w:leader="none"/>
          <w:tab w:val="right" w:pos="6140" w:leader="none"/>
        </w:tabs>
        <w:spacing w:lineRule="auto" w:line="276"/>
        <w:jc w:val="both"/>
        <w:rPr>
          <w:rFonts w:ascii="Arial" w:hAnsi="Arial" w:cs="Arial"/>
          <w:b/>
          <w:sz w:val="22"/>
          <w:szCs w:val="22"/>
        </w:rPr>
      </w:pPr>
      <w:r>
        <w:rPr>
          <w:rFonts w:cs="Arial" w:ascii="Arial" w:hAnsi="Arial"/>
          <w:b/>
          <w:sz w:val="22"/>
          <w:szCs w:val="22"/>
        </w:rPr>
        <w:t>3 - DA VALIDADE DOS PRODUTOS</w:t>
      </w:r>
    </w:p>
    <w:p>
      <w:pPr>
        <w:pStyle w:val="Normal"/>
        <w:widowControl w:val="false"/>
        <w:tabs>
          <w:tab w:val="clear" w:pos="709"/>
          <w:tab w:val="center" w:pos="327" w:leader="none"/>
          <w:tab w:val="left" w:pos="695" w:leader="none"/>
          <w:tab w:val="center" w:pos="4602" w:leader="none"/>
          <w:tab w:val="right" w:pos="6140" w:leader="none"/>
        </w:tabs>
        <w:spacing w:lineRule="auto" w:line="276"/>
        <w:jc w:val="both"/>
        <w:rPr>
          <w:rFonts w:ascii="Arial" w:hAnsi="Arial" w:cs="Arial"/>
          <w:sz w:val="22"/>
          <w:szCs w:val="22"/>
        </w:rPr>
      </w:pPr>
      <w:r>
        <w:rPr>
          <w:rFonts w:cs="Arial" w:ascii="Arial" w:hAnsi="Arial"/>
          <w:sz w:val="22"/>
          <w:szCs w:val="22"/>
        </w:rPr>
        <w:tab/>
        <w:t>3.1-</w:t>
      </w:r>
      <w:r>
        <w:rPr>
          <w:rFonts w:cs="Arial" w:ascii="Arial" w:hAnsi="Arial"/>
          <w:b/>
          <w:sz w:val="22"/>
          <w:szCs w:val="22"/>
        </w:rPr>
        <w:t xml:space="preserve"> </w:t>
      </w:r>
      <w:r>
        <w:rPr>
          <w:rFonts w:cs="Arial" w:ascii="Arial" w:hAnsi="Arial"/>
          <w:sz w:val="22"/>
          <w:szCs w:val="22"/>
        </w:rPr>
        <w:t>A validade dos produtos deverá ser superior a 12 (doze) meses da data de entrega.</w:t>
      </w:r>
    </w:p>
    <w:p>
      <w:pPr>
        <w:pStyle w:val="Normal"/>
        <w:widowControl w:val="false"/>
        <w:tabs>
          <w:tab w:val="clear" w:pos="709"/>
          <w:tab w:val="center" w:pos="327" w:leader="none"/>
          <w:tab w:val="left" w:pos="695" w:leader="none"/>
          <w:tab w:val="center" w:pos="4602" w:leader="none"/>
          <w:tab w:val="right" w:pos="6140" w:leader="none"/>
        </w:tabs>
        <w:spacing w:lineRule="auto" w:line="276"/>
        <w:jc w:val="both"/>
        <w:rPr>
          <w:rFonts w:ascii="Arial" w:hAnsi="Arial" w:cs="Arial"/>
          <w:sz w:val="22"/>
          <w:szCs w:val="22"/>
        </w:rPr>
      </w:pPr>
      <w:r>
        <w:rPr>
          <w:rFonts w:cs="Arial" w:ascii="Arial" w:hAnsi="Arial"/>
          <w:sz w:val="22"/>
          <w:szCs w:val="22"/>
        </w:rPr>
        <w:t>3.2. - A VALIDADE DOS PRODUTOS DEVERÁ SER SUPERIOR A 12 (DOZE) MESES DA DATA DA ENTREGA, EXCETO AQUELES CUJA FABRICAÇÃO ESPECÍFICA TEM UMA VALIDADE MENOR. SENDO ASSIM, SERÁ ACEITO COM PRAZO DE VALIDADE MENOR, DESDE QUE FABRICANTE E OU LICITANTE COMPROVE, NA PROPOSTA DE PREÇO APRESENTADA, QUAL O PRAZO DE VALIDADE DA MARCA OFERTADA.</w:t>
      </w:r>
    </w:p>
    <w:p>
      <w:pPr>
        <w:pStyle w:val="Normal"/>
        <w:spacing w:lineRule="auto" w:line="276"/>
        <w:jc w:val="both"/>
        <w:rPr>
          <w:rFonts w:ascii="Arial" w:hAnsi="Arial" w:cs="Arial"/>
          <w:b/>
          <w:sz w:val="22"/>
          <w:szCs w:val="22"/>
        </w:rPr>
      </w:pPr>
      <w:r>
        <w:rPr>
          <w:rFonts w:cs="Arial" w:ascii="Arial" w:hAnsi="Arial"/>
          <w:b/>
          <w:sz w:val="22"/>
          <w:szCs w:val="22"/>
        </w:rPr>
      </w:r>
    </w:p>
    <w:p>
      <w:pPr>
        <w:pStyle w:val="Normal"/>
        <w:spacing w:lineRule="auto" w:line="276"/>
        <w:jc w:val="both"/>
        <w:rPr>
          <w:rFonts w:ascii="Arial" w:hAnsi="Arial" w:cs="Arial"/>
          <w:b/>
          <w:sz w:val="22"/>
          <w:szCs w:val="22"/>
        </w:rPr>
      </w:pPr>
      <w:r>
        <w:rPr>
          <w:rFonts w:cs="Arial" w:ascii="Arial" w:hAnsi="Arial"/>
          <w:b/>
          <w:sz w:val="22"/>
          <w:szCs w:val="22"/>
        </w:rPr>
      </w:r>
    </w:p>
    <w:p>
      <w:pPr>
        <w:pStyle w:val="Normal"/>
        <w:spacing w:lineRule="auto" w:line="276"/>
        <w:jc w:val="both"/>
        <w:rPr>
          <w:rFonts w:ascii="Arial" w:hAnsi="Arial" w:cs="Arial"/>
          <w:b/>
          <w:sz w:val="22"/>
          <w:szCs w:val="22"/>
        </w:rPr>
      </w:pPr>
      <w:r>
        <w:rPr>
          <w:rFonts w:cs="Arial" w:ascii="Arial" w:hAnsi="Arial"/>
          <w:b/>
          <w:sz w:val="22"/>
          <w:szCs w:val="22"/>
        </w:rPr>
        <w:t>4 – PRAZOS</w:t>
      </w:r>
    </w:p>
    <w:p>
      <w:pPr>
        <w:pStyle w:val="Corpodetexto21"/>
        <w:spacing w:lineRule="auto" w:line="276" w:before="0" w:after="0"/>
        <w:jc w:val="both"/>
        <w:rPr>
          <w:rFonts w:ascii="Arial" w:hAnsi="Arial" w:cs="Arial"/>
          <w:sz w:val="22"/>
          <w:szCs w:val="22"/>
        </w:rPr>
      </w:pPr>
      <w:r>
        <w:rPr>
          <w:rFonts w:cs="Arial" w:ascii="Arial" w:hAnsi="Arial"/>
          <w:sz w:val="22"/>
          <w:szCs w:val="22"/>
        </w:rPr>
        <w:t>4.1 - Os quantitativos totais expressos neste Anexo, são estimados e representa a previsão da Secretaria requisitante, pelo prazo de 12 (doze) meses.</w:t>
      </w:r>
    </w:p>
    <w:p>
      <w:pPr>
        <w:pStyle w:val="Corpodetexto32"/>
        <w:spacing w:lineRule="auto" w:line="276"/>
        <w:rPr>
          <w:rFonts w:ascii="Arial" w:hAnsi="Arial" w:cs="Arial"/>
          <w:sz w:val="22"/>
          <w:szCs w:val="22"/>
        </w:rPr>
      </w:pPr>
      <w:r>
        <w:rPr>
          <w:rFonts w:cs="Arial" w:ascii="Arial" w:hAnsi="Arial"/>
          <w:sz w:val="22"/>
          <w:szCs w:val="22"/>
        </w:rPr>
        <w:t xml:space="preserve">4.2 – A entrega dos itens efetivamente contratados deverá ser efetuada em até 10 (dez) dias após a expedição da Autorização de Fornecimento, contando-se o prazo a partir da comunicação formal ao licitante vencedor que será efetuada via fax ou outro meio hábil. </w:t>
      </w:r>
    </w:p>
    <w:p>
      <w:pPr>
        <w:pStyle w:val="Corpodetexto32"/>
        <w:spacing w:lineRule="auto" w:line="276"/>
        <w:rPr>
          <w:rFonts w:ascii="Arial" w:hAnsi="Arial" w:cs="Arial"/>
          <w:sz w:val="22"/>
          <w:szCs w:val="22"/>
        </w:rPr>
      </w:pPr>
      <w:r>
        <w:rPr>
          <w:rFonts w:cs="Arial" w:ascii="Arial" w:hAnsi="Arial"/>
          <w:sz w:val="22"/>
          <w:szCs w:val="22"/>
        </w:rPr>
      </w:r>
    </w:p>
    <w:p>
      <w:pPr>
        <w:pStyle w:val="Nivel01"/>
        <w:numPr>
          <w:ilvl w:val="0"/>
          <w:numId w:val="0"/>
        </w:numPr>
        <w:spacing w:lineRule="auto" w:line="276" w:before="0" w:after="0"/>
        <w:ind w:hanging="0" w:left="0"/>
        <w:rPr>
          <w:sz w:val="22"/>
          <w:szCs w:val="22"/>
        </w:rPr>
      </w:pPr>
      <w:r>
        <w:rPr>
          <w:sz w:val="22"/>
          <w:szCs w:val="22"/>
        </w:rPr>
        <w:t>5. DA CONTRATAÇÃO</w:t>
      </w:r>
    </w:p>
    <w:p>
      <w:pPr>
        <w:pStyle w:val="Nivel2"/>
        <w:spacing w:before="0" w:after="0"/>
        <w:ind w:hanging="0" w:left="0"/>
        <w:rPr>
          <w:rFonts w:eastAsia="Arial"/>
          <w:color w:val="auto"/>
          <w:sz w:val="22"/>
          <w:szCs w:val="22"/>
        </w:rPr>
      </w:pPr>
      <w:r>
        <w:rPr>
          <w:color w:val="auto"/>
          <w:sz w:val="22"/>
          <w:szCs w:val="22"/>
        </w:rPr>
        <w:t xml:space="preserve">5.1 -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ormal"/>
        <w:spacing w:lineRule="auto" w:line="276"/>
        <w:jc w:val="both"/>
        <w:rPr>
          <w:rFonts w:ascii="Arial" w:hAnsi="Arial" w:cs="Arial"/>
          <w:b/>
          <w:sz w:val="22"/>
          <w:szCs w:val="22"/>
        </w:rPr>
      </w:pPr>
      <w:r>
        <w:rPr>
          <w:rFonts w:cs="Arial" w:ascii="Arial" w:hAnsi="Arial"/>
          <w:b/>
          <w:sz w:val="22"/>
          <w:szCs w:val="22"/>
        </w:rPr>
      </w:r>
    </w:p>
    <w:p>
      <w:pPr>
        <w:pStyle w:val="Normal"/>
        <w:spacing w:lineRule="auto" w:line="276"/>
        <w:jc w:val="both"/>
        <w:rPr>
          <w:rFonts w:ascii="Arial" w:hAnsi="Arial" w:cs="Arial"/>
          <w:b/>
          <w:sz w:val="22"/>
          <w:szCs w:val="22"/>
        </w:rPr>
      </w:pPr>
      <w:r>
        <w:rPr>
          <w:rFonts w:cs="Arial" w:ascii="Arial" w:hAnsi="Arial"/>
          <w:b/>
          <w:sz w:val="22"/>
          <w:szCs w:val="22"/>
        </w:rPr>
        <w:t>6 –CONDIÇÕES DE ENTREGA E RECEBIMENTO</w:t>
      </w:r>
    </w:p>
    <w:p>
      <w:pPr>
        <w:pStyle w:val="western"/>
        <w:spacing w:lineRule="auto" w:line="276" w:before="0" w:after="0"/>
        <w:jc w:val="both"/>
        <w:rPr>
          <w:rFonts w:ascii="Arial" w:hAnsi="Arial" w:cs="Arial"/>
          <w:sz w:val="22"/>
          <w:szCs w:val="22"/>
        </w:rPr>
      </w:pPr>
      <w:r>
        <w:rPr>
          <w:rFonts w:cs="Arial" w:ascii="Arial" w:hAnsi="Arial"/>
          <w:sz w:val="22"/>
          <w:szCs w:val="22"/>
        </w:rPr>
        <w:t xml:space="preserve">6.1 - Os produtos deverão ser entregues na Secretaria da Saúde, situada na Rua Marcos Dian, nº 365, Jardim de Lucca, Itatiba/SP, podendo haver necessidade da entrega no seguinte endereço: Avenida Nair Soares de Macedo Fattori, 200, fundos – Vila santa Clara – Itatiba/SP. </w:t>
      </w:r>
    </w:p>
    <w:p>
      <w:pPr>
        <w:pStyle w:val="western"/>
        <w:spacing w:lineRule="auto" w:line="276" w:before="0" w:after="0"/>
        <w:jc w:val="both"/>
        <w:rPr>
          <w:rFonts w:ascii="Arial" w:hAnsi="Arial" w:cs="Arial"/>
          <w:sz w:val="22"/>
          <w:szCs w:val="22"/>
        </w:rPr>
      </w:pPr>
      <w:r>
        <w:rPr>
          <w:rFonts w:cs="Arial" w:ascii="Arial" w:hAnsi="Arial"/>
          <w:sz w:val="22"/>
          <w:szCs w:val="22"/>
        </w:rPr>
        <w:t>6.2 - A Contratante poderá rejeitar, no todo ou em parte, o objeto contratado em desacordo com as especificações e condições deste Termo de Referência.</w:t>
      </w:r>
    </w:p>
    <w:p>
      <w:pPr>
        <w:pStyle w:val="western"/>
        <w:spacing w:lineRule="auto" w:line="276" w:before="0" w:after="0"/>
        <w:jc w:val="both"/>
        <w:rPr>
          <w:rFonts w:ascii="Arial" w:hAnsi="Arial" w:cs="Arial"/>
          <w:sz w:val="22"/>
          <w:szCs w:val="22"/>
        </w:rPr>
      </w:pPr>
      <w:r>
        <w:rPr>
          <w:rFonts w:cs="Arial" w:ascii="Arial" w:hAnsi="Arial"/>
          <w:sz w:val="22"/>
          <w:szCs w:val="22"/>
        </w:rPr>
        <w:t>6.3 -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western"/>
        <w:spacing w:lineRule="auto" w:line="276" w:before="0" w:after="0"/>
        <w:jc w:val="both"/>
        <w:rPr>
          <w:rFonts w:ascii="Arial" w:hAnsi="Arial" w:cs="Arial"/>
          <w:sz w:val="22"/>
          <w:szCs w:val="22"/>
        </w:rPr>
      </w:pPr>
      <w:r>
        <w:rPr>
          <w:rFonts w:cs="Arial" w:ascii="Arial" w:hAnsi="Arial"/>
          <w:sz w:val="22"/>
          <w:szCs w:val="22"/>
        </w:rPr>
      </w:r>
    </w:p>
    <w:p>
      <w:pPr>
        <w:pStyle w:val="Nivel01"/>
        <w:numPr>
          <w:ilvl w:val="0"/>
          <w:numId w:val="0"/>
        </w:numPr>
        <w:spacing w:lineRule="auto" w:line="276" w:before="0" w:after="0"/>
        <w:ind w:hanging="0" w:left="0"/>
        <w:rPr>
          <w:sz w:val="22"/>
          <w:szCs w:val="22"/>
        </w:rPr>
      </w:pPr>
      <w:r>
        <w:rPr>
          <w:sz w:val="22"/>
          <w:szCs w:val="22"/>
        </w:rPr>
        <w:t>7. CRITÉRIOS DE PAGAMENTO</w:t>
      </w:r>
    </w:p>
    <w:p>
      <w:pPr>
        <w:pStyle w:val="Nvel3-R"/>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7.1 O pagamento será efetuado em 10 (dez) dias após a manifestação favorável do Setor Fiscalizante na Nota Fiscal Eletrônica (NFe) apresentada, ficando assegurado o prazo de 05 (cinco) dias para a emissão de tal manifestação.</w:t>
      </w:r>
    </w:p>
    <w:p>
      <w:pPr>
        <w:pStyle w:val="Nvel3-R"/>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7.2 Os pagamentos serão realizados mediante procedimento bancário, em conta do fornecedor contratado.</w:t>
      </w:r>
    </w:p>
    <w:p>
      <w:pPr>
        <w:pStyle w:val="Nvel3-R"/>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7.3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vel3-R"/>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7.4 Quaisquer pagamentos não isentarão a Contratada das responsabilidades contratuais. </w:t>
      </w:r>
    </w:p>
    <w:p>
      <w:pPr>
        <w:pStyle w:val="Normal"/>
        <w:spacing w:lineRule="auto" w:line="276"/>
        <w:rPr>
          <w:rFonts w:ascii="Arial" w:hAnsi="Arial" w:eastAsia="MS Mincho;ＭＳ 明朝" w:cs="Arial"/>
          <w:b/>
          <w:bCs/>
          <w:i/>
          <w:i/>
          <w:iCs/>
          <w:kern w:val="0"/>
          <w:sz w:val="22"/>
          <w:szCs w:val="22"/>
          <w:lang w:eastAsia="en-US"/>
        </w:rPr>
      </w:pPr>
      <w:r>
        <w:rPr>
          <w:rFonts w:eastAsia="MS Mincho;ＭＳ 明朝" w:cs="Arial" w:ascii="Arial" w:hAnsi="Arial"/>
          <w:b/>
          <w:bCs/>
          <w:i/>
          <w:iCs/>
          <w:kern w:val="0"/>
          <w:sz w:val="22"/>
          <w:szCs w:val="22"/>
          <w:lang w:eastAsia="en-US"/>
        </w:rPr>
      </w:r>
    </w:p>
    <w:p>
      <w:pPr>
        <w:pStyle w:val="Normal"/>
        <w:spacing w:lineRule="auto" w:line="276"/>
        <w:rPr>
          <w:rFonts w:ascii="Arial" w:hAnsi="Arial" w:eastAsia="MS Mincho;ＭＳ 明朝" w:cs="Arial"/>
          <w:b/>
          <w:bCs/>
          <w:kern w:val="0"/>
          <w:sz w:val="22"/>
          <w:szCs w:val="22"/>
          <w:lang w:eastAsia="en-US"/>
        </w:rPr>
      </w:pPr>
      <w:r>
        <w:rPr>
          <w:rFonts w:eastAsia="MS Mincho;ＭＳ 明朝" w:cs="Arial" w:ascii="Arial" w:hAnsi="Arial"/>
          <w:b/>
          <w:bCs/>
          <w:kern w:val="0"/>
          <w:sz w:val="22"/>
          <w:szCs w:val="22"/>
          <w:lang w:eastAsia="en-US"/>
        </w:rPr>
        <w:t>8 - OBRIGAÇÕES DA CONTRATANTE</w:t>
        <w:tab/>
      </w:r>
    </w:p>
    <w:p>
      <w:pPr>
        <w:pStyle w:val="Normal"/>
        <w:spacing w:lineRule="auto" w:line="276"/>
        <w:jc w:val="both"/>
        <w:rPr>
          <w:rFonts w:ascii="Arial" w:hAnsi="Arial" w:cs="Arial"/>
          <w:sz w:val="22"/>
          <w:szCs w:val="22"/>
        </w:rPr>
      </w:pPr>
      <w:r>
        <w:rPr>
          <w:rFonts w:eastAsia="Arial" w:cs="Arial" w:ascii="Arial" w:hAnsi="Arial"/>
          <w:sz w:val="22"/>
          <w:szCs w:val="22"/>
        </w:rPr>
        <w:t>8.1 - São obrigações do Contratante:</w:t>
      </w:r>
    </w:p>
    <w:p>
      <w:pPr>
        <w:pStyle w:val="Normal"/>
        <w:spacing w:lineRule="auto" w:line="276"/>
        <w:jc w:val="both"/>
        <w:rPr>
          <w:rFonts w:ascii="Arial" w:hAnsi="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276"/>
        <w:jc w:val="both"/>
        <w:rPr>
          <w:rFonts w:ascii="Arial" w:hAnsi="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276"/>
        <w:jc w:val="both"/>
        <w:rPr>
          <w:rFonts w:ascii="Arial" w:hAnsi="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276"/>
        <w:jc w:val="both"/>
        <w:rPr>
          <w:rFonts w:ascii="Arial" w:hAnsi="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276"/>
        <w:jc w:val="both"/>
        <w:rPr>
          <w:rFonts w:ascii="Arial" w:hAnsi="Arial"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276"/>
        <w:jc w:val="both"/>
        <w:rPr>
          <w:rFonts w:ascii="Arial" w:hAnsi="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276"/>
        <w:jc w:val="both"/>
        <w:rPr>
          <w:rFonts w:ascii="Arial" w:hAnsi="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276"/>
        <w:jc w:val="both"/>
        <w:rPr>
          <w:rFonts w:ascii="Arial" w:hAnsi="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276"/>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276"/>
        <w:jc w:val="both"/>
        <w:rPr>
          <w:rFonts w:ascii="Arial" w:hAnsi="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tabs>
          <w:tab w:val="clear" w:pos="709"/>
          <w:tab w:val="left" w:pos="6273" w:leader="none"/>
        </w:tabs>
        <w:spacing w:lineRule="auto" w:line="276"/>
        <w:jc w:val="both"/>
        <w:rPr>
          <w:rFonts w:ascii="Arial" w:hAnsi="Arial" w:eastAsia="MS Mincho;ＭＳ 明朝" w:cs="Arial"/>
          <w:kern w:val="0"/>
          <w:sz w:val="22"/>
          <w:szCs w:val="22"/>
          <w:lang w:eastAsia="en-US"/>
        </w:rPr>
      </w:pPr>
      <w:r>
        <w:rPr>
          <w:rFonts w:eastAsia="MS Mincho;ＭＳ 明朝" w:cs="Arial" w:ascii="Arial" w:hAnsi="Arial"/>
          <w:kern w:val="0"/>
          <w:sz w:val="22"/>
          <w:szCs w:val="22"/>
          <w:lang w:eastAsia="en-US"/>
        </w:rPr>
        <w:tab/>
      </w:r>
    </w:p>
    <w:p>
      <w:pPr>
        <w:pStyle w:val="Heading2"/>
        <w:keepNext w:val="false"/>
        <w:widowControl w:val="false"/>
        <w:numPr>
          <w:ilvl w:val="1"/>
          <w:numId w:val="1"/>
        </w:numPr>
        <w:spacing w:lineRule="auto" w:line="276" w:before="0" w:after="0"/>
        <w:rPr>
          <w:rFonts w:eastAsia="MS Mincho;ＭＳ 明朝"/>
          <w:i w:val="false"/>
          <w:i w:val="false"/>
          <w:iCs w:val="false"/>
          <w:kern w:val="0"/>
          <w:sz w:val="22"/>
          <w:szCs w:val="22"/>
          <w:lang w:eastAsia="en-US"/>
        </w:rPr>
      </w:pPr>
      <w:r>
        <w:rPr>
          <w:rFonts w:eastAsia="MS Mincho;ＭＳ 明朝"/>
          <w:i w:val="false"/>
          <w:iCs w:val="false"/>
          <w:kern w:val="0"/>
          <w:sz w:val="22"/>
          <w:szCs w:val="22"/>
          <w:lang w:eastAsia="en-US"/>
        </w:rPr>
        <w:t>9 - DAS OBRIGAÇÕES DA CONTRATADA</w:t>
      </w:r>
    </w:p>
    <w:p>
      <w:pPr>
        <w:pStyle w:val="Normal"/>
        <w:spacing w:lineRule="auto" w:line="276"/>
        <w:jc w:val="both"/>
        <w:rPr>
          <w:rFonts w:ascii="Arial" w:hAnsi="Arial" w:eastAsia="MS Mincho;ＭＳ 明朝" w:cs="Arial"/>
          <w:kern w:val="0"/>
          <w:sz w:val="22"/>
          <w:szCs w:val="22"/>
          <w:lang w:eastAsia="en-US"/>
        </w:rPr>
      </w:pPr>
      <w:r>
        <w:rPr>
          <w:rFonts w:eastAsia="MS Mincho;ＭＳ 明朝" w:cs="Arial" w:ascii="Arial" w:hAnsi="Arial"/>
          <w:kern w:val="0"/>
          <w:sz w:val="22"/>
          <w:szCs w:val="22"/>
          <w:lang w:eastAsia="en-US"/>
        </w:rPr>
        <w:t>9.1 - A Contratada, durante a vigência do Contrato, compromete-se a:</w:t>
      </w:r>
    </w:p>
    <w:p>
      <w:pPr>
        <w:pStyle w:val="ListParagraph"/>
        <w:ind w:left="0"/>
        <w:jc w:val="both"/>
        <w:rPr>
          <w:rFonts w:ascii="Arial" w:hAnsi="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ind w:left="0"/>
        <w:jc w:val="both"/>
        <w:rPr>
          <w:rFonts w:ascii="Arial" w:hAnsi="Arial" w:cs="Arial"/>
        </w:rPr>
      </w:pPr>
      <w:r>
        <w:rPr>
          <w:rFonts w:eastAsia="Arial" w:cs="Arial" w:ascii="Arial" w:hAnsi="Arial"/>
        </w:rPr>
        <w:t>b) - Responsabilizar-se pelos vícios e danos decorrentes do objeto, de acordo com o Código de Defesa do Consumidor (</w:t>
      </w:r>
      <w:hyperlink r:id="rId14">
        <w:r>
          <w:rPr>
            <w:rStyle w:val="Hyperlink"/>
            <w:rFonts w:eastAsia="Arial" w:cs="Arial" w:ascii="Arial" w:hAnsi="Arial"/>
            <w:color w:val="auto"/>
          </w:rPr>
          <w:t>Lei nº 8.078, de 1990</w:t>
        </w:r>
      </w:hyperlink>
      <w:r>
        <w:rPr>
          <w:rFonts w:eastAsia="Arial" w:cs="Arial" w:ascii="Arial" w:hAnsi="Arial"/>
        </w:rPr>
        <w:t>);</w:t>
      </w:r>
    </w:p>
    <w:p>
      <w:pPr>
        <w:pStyle w:val="ListParagraph"/>
        <w:ind w:left="0"/>
        <w:jc w:val="both"/>
        <w:rPr>
          <w:rFonts w:ascii="Arial" w:hAnsi="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ind w:left="0"/>
        <w:jc w:val="both"/>
        <w:rPr>
          <w:rFonts w:ascii="Arial" w:hAnsi="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ind w:left="0"/>
        <w:jc w:val="both"/>
        <w:rPr>
          <w:rFonts w:ascii="Arial" w:hAnsi="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ind w:left="0"/>
        <w:jc w:val="both"/>
        <w:rPr>
          <w:rFonts w:ascii="Arial" w:hAnsi="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ind w:left="0"/>
        <w:jc w:val="both"/>
        <w:rPr>
          <w:rFonts w:ascii="Arial" w:hAnsi="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ind w:left="0"/>
        <w:jc w:val="both"/>
        <w:rPr>
          <w:rFonts w:ascii="Arial" w:hAnsi="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ind w:left="0"/>
        <w:jc w:val="both"/>
        <w:rPr>
          <w:rFonts w:ascii="Arial" w:hAnsi="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ind w:left="0"/>
        <w:jc w:val="both"/>
        <w:rPr>
          <w:rFonts w:ascii="Arial" w:hAnsi="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ind w:left="0"/>
        <w:jc w:val="both"/>
        <w:rPr>
          <w:rFonts w:ascii="Arial" w:hAnsi="Arial" w:cs="Arial"/>
        </w:rPr>
      </w:pPr>
      <w:r>
        <w:rPr>
          <w:rFonts w:eastAsia="Arial" w:cs="Arial" w:ascii="Arial" w:hAnsi="Arial"/>
        </w:rPr>
        <w:t xml:space="preserve">l) - Guardar sigilo sobre todas as informações obtidas em decorrência do cumprimento do contrato; </w:t>
      </w:r>
    </w:p>
    <w:p>
      <w:pPr>
        <w:pStyle w:val="ListParagraph"/>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ind w:left="0"/>
        <w:jc w:val="both"/>
        <w:rPr>
          <w:rFonts w:ascii="Arial" w:hAnsi="Arial" w:cs="Arial"/>
        </w:rPr>
      </w:pPr>
      <w:r>
        <w:rPr>
          <w:rFonts w:eastAsia="Arial" w:cs="Arial" w:ascii="Arial" w:hAnsi="Arial"/>
        </w:rPr>
        <w:t>n) - Cumprir, além dos postulados legais vigentes de âmbito federal, estadual ou municipal, as normas de segurança do contratante;</w:t>
      </w:r>
    </w:p>
    <w:p>
      <w:pPr>
        <w:pStyle w:val="ListParagraph"/>
        <w:ind w:left="0"/>
        <w:jc w:val="both"/>
        <w:rPr>
          <w:rFonts w:ascii="Arial" w:hAnsi="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ind w:left="0"/>
        <w:jc w:val="both"/>
        <w:rPr>
          <w:rFonts w:ascii="Arial" w:hAnsi="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ind w:left="0"/>
        <w:jc w:val="both"/>
        <w:rPr>
          <w:rFonts w:ascii="Arial" w:hAnsi="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ind w:left="0"/>
        <w:jc w:val="both"/>
        <w:rPr>
          <w:rFonts w:ascii="Arial" w:hAnsi="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ind w:left="0"/>
        <w:jc w:val="both"/>
        <w:rPr>
          <w:rFonts w:ascii="Arial" w:hAnsi="Arial" w:eastAsia="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276"/>
        <w:jc w:val="both"/>
        <w:rPr>
          <w:rFonts w:ascii="Arial" w:hAnsi="Arial" w:cs="Arial"/>
          <w:sz w:val="22"/>
          <w:szCs w:val="22"/>
        </w:rPr>
      </w:pPr>
      <w:r>
        <w:rPr>
          <w:rFonts w:eastAsia="Arial" w:cs="Arial" w:ascii="Arial" w:hAnsi="Arial"/>
          <w:b/>
          <w:sz w:val="22"/>
          <w:szCs w:val="22"/>
        </w:rPr>
        <w:t>10- GARANTIA CONTRATUAL</w:t>
      </w:r>
    </w:p>
    <w:p>
      <w:pPr>
        <w:pStyle w:val="Normal"/>
        <w:spacing w:lineRule="auto" w:line="276"/>
        <w:jc w:val="both"/>
        <w:rPr>
          <w:rFonts w:ascii="Arial" w:hAnsi="Arial" w:cs="Arial"/>
          <w:sz w:val="22"/>
          <w:szCs w:val="22"/>
        </w:rPr>
      </w:pPr>
      <w:r>
        <w:rPr>
          <w:rFonts w:eastAsia="Arial" w:cs="Arial" w:ascii="Arial" w:hAnsi="Arial"/>
          <w:sz w:val="22"/>
          <w:szCs w:val="22"/>
        </w:rPr>
        <w:t>10.1 - Não haverá exigência de garantia contratual da execução.</w:t>
      </w:r>
    </w:p>
    <w:p>
      <w:pPr>
        <w:pStyle w:val="Normal"/>
        <w:spacing w:lineRule="auto" w:line="276"/>
        <w:jc w:val="both"/>
        <w:rPr>
          <w:rFonts w:ascii="Arial" w:hAnsi="Arial" w:cs="Arial"/>
          <w:b/>
          <w:bCs/>
          <w:sz w:val="22"/>
          <w:szCs w:val="22"/>
        </w:rPr>
      </w:pPr>
      <w:r>
        <w:rPr>
          <w:rFonts w:cs="Arial" w:ascii="Arial" w:hAnsi="Arial"/>
          <w:b/>
          <w:bCs/>
          <w:sz w:val="22"/>
          <w:szCs w:val="22"/>
        </w:rPr>
      </w:r>
    </w:p>
    <w:p>
      <w:pPr>
        <w:pStyle w:val="Normal"/>
        <w:spacing w:lineRule="auto" w:line="276"/>
        <w:jc w:val="both"/>
        <w:rPr>
          <w:rFonts w:ascii="Arial" w:hAnsi="Arial" w:cs="Arial"/>
          <w:sz w:val="22"/>
          <w:szCs w:val="22"/>
        </w:rPr>
      </w:pPr>
      <w:r>
        <w:rPr>
          <w:rFonts w:cs="Arial" w:ascii="Arial" w:hAnsi="Arial"/>
          <w:b/>
          <w:bCs/>
          <w:sz w:val="22"/>
          <w:szCs w:val="22"/>
        </w:rPr>
        <w:t>11 – SANÇÕES</w:t>
      </w:r>
    </w:p>
    <w:p>
      <w:pPr>
        <w:pStyle w:val="Normal"/>
        <w:spacing w:lineRule="auto" w:line="276"/>
        <w:jc w:val="both"/>
        <w:rPr>
          <w:rFonts w:ascii="Arial" w:hAnsi="Arial" w:cs="Arial"/>
          <w:sz w:val="22"/>
          <w:szCs w:val="22"/>
        </w:rPr>
      </w:pPr>
      <w:r>
        <w:rPr>
          <w:rFonts w:cs="Arial" w:ascii="Arial" w:hAnsi="Arial"/>
          <w:sz w:val="22"/>
          <w:szCs w:val="22"/>
        </w:rPr>
        <w:t>11.1 - Comete infração administrativa, nos termos da Lei no 14.133, de 2021, o contratado que:</w:t>
      </w:r>
    </w:p>
    <w:p>
      <w:pPr>
        <w:pStyle w:val="Normal"/>
        <w:spacing w:lineRule="auto" w:line="276"/>
        <w:jc w:val="both"/>
        <w:rPr>
          <w:rFonts w:ascii="Arial" w:hAnsi="Arial" w:cs="Arial"/>
          <w:sz w:val="22"/>
          <w:szCs w:val="22"/>
        </w:rPr>
      </w:pPr>
      <w:r>
        <w:rPr>
          <w:rFonts w:cs="Arial" w:ascii="Arial" w:hAnsi="Arial"/>
          <w:sz w:val="22"/>
          <w:szCs w:val="22"/>
        </w:rPr>
        <w:t>a) der causa à inexecução parcial do contrato;</w:t>
      </w:r>
    </w:p>
    <w:p>
      <w:pPr>
        <w:pStyle w:val="Normal"/>
        <w:spacing w:lineRule="auto" w:line="276"/>
        <w:jc w:val="both"/>
        <w:rPr>
          <w:rFonts w:ascii="Arial" w:hAnsi="Arial" w:cs="Arial"/>
          <w:sz w:val="22"/>
          <w:szCs w:val="22"/>
        </w:rPr>
      </w:pPr>
      <w:r>
        <w:rPr>
          <w:rFonts w:cs="Arial" w:ascii="Arial" w:hAnsi="Arial"/>
          <w:sz w:val="22"/>
          <w:szCs w:val="22"/>
        </w:rPr>
        <w:t>b) der causa à inexecução parcial do contrato que cause grave dano à Administração ou ao funcionamento dos serviços públicos ou ao interesse coletivo;</w:t>
      </w:r>
    </w:p>
    <w:p>
      <w:pPr>
        <w:pStyle w:val="Normal"/>
        <w:spacing w:lineRule="auto" w:line="276"/>
        <w:jc w:val="both"/>
        <w:rPr>
          <w:rFonts w:ascii="Arial" w:hAnsi="Arial" w:cs="Arial"/>
          <w:sz w:val="22"/>
          <w:szCs w:val="22"/>
        </w:rPr>
      </w:pPr>
      <w:r>
        <w:rPr>
          <w:rFonts w:cs="Arial" w:ascii="Arial" w:hAnsi="Arial"/>
          <w:sz w:val="22"/>
          <w:szCs w:val="22"/>
        </w:rPr>
        <w:t>c) der causa à inexecução total do contrato;</w:t>
      </w:r>
    </w:p>
    <w:p>
      <w:pPr>
        <w:pStyle w:val="Normal"/>
        <w:spacing w:lineRule="auto" w:line="276"/>
        <w:jc w:val="both"/>
        <w:rPr>
          <w:rFonts w:ascii="Arial" w:hAnsi="Arial" w:cs="Arial"/>
          <w:sz w:val="22"/>
          <w:szCs w:val="22"/>
        </w:rPr>
      </w:pPr>
      <w:r>
        <w:rPr>
          <w:rFonts w:cs="Arial" w:ascii="Arial" w:hAnsi="Arial"/>
          <w:sz w:val="22"/>
          <w:szCs w:val="22"/>
        </w:rPr>
        <w:t>d) ensejar o retardamento da execução ou da entrega do objeto da contratação sem motivo justificado;</w:t>
      </w:r>
    </w:p>
    <w:p>
      <w:pPr>
        <w:pStyle w:val="Normal"/>
        <w:spacing w:lineRule="auto" w:line="276"/>
        <w:jc w:val="both"/>
        <w:rPr>
          <w:rFonts w:ascii="Arial" w:hAnsi="Arial" w:cs="Arial"/>
          <w:sz w:val="22"/>
          <w:szCs w:val="22"/>
        </w:rPr>
      </w:pPr>
      <w:r>
        <w:rPr>
          <w:rFonts w:cs="Arial" w:ascii="Arial" w:hAnsi="Arial"/>
          <w:sz w:val="22"/>
          <w:szCs w:val="22"/>
        </w:rPr>
        <w:t>e) apresentar documentação falsa ou prestar declaração falsa durante a execução do contrato;</w:t>
      </w:r>
    </w:p>
    <w:p>
      <w:pPr>
        <w:pStyle w:val="Normal"/>
        <w:spacing w:lineRule="auto" w:line="276"/>
        <w:jc w:val="both"/>
        <w:rPr>
          <w:rFonts w:ascii="Arial" w:hAnsi="Arial" w:cs="Arial"/>
          <w:sz w:val="22"/>
          <w:szCs w:val="22"/>
        </w:rPr>
      </w:pPr>
      <w:r>
        <w:rPr>
          <w:rFonts w:cs="Arial" w:ascii="Arial" w:hAnsi="Arial"/>
          <w:sz w:val="22"/>
          <w:szCs w:val="22"/>
        </w:rPr>
        <w:t>f) praticar ato fraudulento na execução do contrato;</w:t>
      </w:r>
    </w:p>
    <w:p>
      <w:pPr>
        <w:pStyle w:val="Normal"/>
        <w:spacing w:lineRule="auto" w:line="276"/>
        <w:jc w:val="both"/>
        <w:rPr>
          <w:rFonts w:ascii="Arial" w:hAnsi="Arial" w:cs="Arial"/>
          <w:sz w:val="22"/>
          <w:szCs w:val="22"/>
        </w:rPr>
      </w:pPr>
      <w:r>
        <w:rPr>
          <w:rFonts w:cs="Arial" w:ascii="Arial" w:hAnsi="Arial"/>
          <w:sz w:val="22"/>
          <w:szCs w:val="22"/>
        </w:rPr>
        <w:t>g) comportar-se de modo inidôneo ou cometer fraude de qualquer natureza;</w:t>
      </w:r>
    </w:p>
    <w:p>
      <w:pPr>
        <w:pStyle w:val="Normal"/>
        <w:spacing w:lineRule="auto" w:line="276"/>
        <w:jc w:val="both"/>
        <w:rPr>
          <w:rFonts w:ascii="Arial" w:hAnsi="Arial" w:cs="Arial"/>
          <w:sz w:val="22"/>
          <w:szCs w:val="22"/>
        </w:rPr>
      </w:pPr>
      <w:r>
        <w:rPr>
          <w:rFonts w:cs="Arial" w:ascii="Arial" w:hAnsi="Arial"/>
          <w:sz w:val="22"/>
          <w:szCs w:val="22"/>
        </w:rPr>
        <w:t>h) praticar ato lesivo previsto no art. 5o da Lei no 12.846, de 1o de agosto de 2013.</w:t>
      </w:r>
    </w:p>
    <w:p>
      <w:pPr>
        <w:pStyle w:val="Normal"/>
        <w:spacing w:lineRule="auto" w:line="276"/>
        <w:jc w:val="both"/>
        <w:rPr>
          <w:rFonts w:ascii="Arial" w:hAnsi="Arial" w:cs="Arial"/>
          <w:sz w:val="22"/>
          <w:szCs w:val="22"/>
        </w:rPr>
      </w:pPr>
      <w:r>
        <w:rPr>
          <w:rFonts w:cs="Arial" w:ascii="Arial" w:hAnsi="Arial"/>
          <w:sz w:val="22"/>
          <w:szCs w:val="22"/>
        </w:rPr>
        <w:t>Serão aplicadas ao contratado que incorrer nas infrações acima descritas as seguintes sanções:</w:t>
      </w:r>
    </w:p>
    <w:p>
      <w:pPr>
        <w:pStyle w:val="Normal"/>
        <w:spacing w:lineRule="auto" w:line="276"/>
        <w:jc w:val="both"/>
        <w:rPr>
          <w:rFonts w:ascii="Arial" w:hAnsi="Arial" w:cs="Arial"/>
          <w:sz w:val="22"/>
          <w:szCs w:val="22"/>
        </w:rPr>
      </w:pPr>
      <w:r>
        <w:rPr>
          <w:rFonts w:cs="Arial" w:ascii="Arial" w:hAnsi="Arial"/>
          <w:sz w:val="22"/>
          <w:szCs w:val="22"/>
        </w:rPr>
        <w:tab/>
        <w:t>i. Advertência, quando o contratado der causa à inexecução parcial do contrato, sempre que não se justificar a imposição de penalidade mais grave (art. 156, §2o, da Lei no 14.133, de 2021);</w:t>
      </w:r>
    </w:p>
    <w:p>
      <w:pPr>
        <w:pStyle w:val="Normal"/>
        <w:spacing w:lineRule="auto" w:line="276"/>
        <w:jc w:val="both"/>
        <w:rPr>
          <w:rFonts w:ascii="Arial" w:hAnsi="Arial" w:cs="Arial"/>
          <w:sz w:val="22"/>
          <w:szCs w:val="22"/>
        </w:rPr>
      </w:pPr>
      <w:r>
        <w:rPr>
          <w:rFonts w:cs="Arial" w:ascii="Arial" w:hAnsi="Arial"/>
          <w:sz w:val="22"/>
          <w:szCs w:val="22"/>
        </w:rPr>
        <w:tab/>
        <w:t>ii. Impedimento de licitar e contratar, quando praticadas as condutas descritas nas alíneas “b”, “c” e “d” do subitem acima deste Contrato, sempre que não se justificar a imposição de penalidade mais grave (art. 156, § 4o, da Lei no 14.133, de 2021);</w:t>
      </w:r>
    </w:p>
    <w:p>
      <w:pPr>
        <w:pStyle w:val="Normal"/>
        <w:spacing w:lineRule="auto" w:line="276"/>
        <w:jc w:val="both"/>
        <w:rPr>
          <w:rFonts w:ascii="Arial" w:hAnsi="Arial" w:cs="Arial"/>
          <w:sz w:val="22"/>
          <w:szCs w:val="22"/>
        </w:rPr>
      </w:pPr>
      <w:r>
        <w:rPr>
          <w:rFonts w:cs="Arial" w:ascii="Arial" w:hAnsi="Arial"/>
          <w:sz w:val="22"/>
          <w:szCs w:val="22"/>
        </w:rPr>
        <w:tab/>
        <w:t>iii. Declaração de inidoneidade para licitar e contratar, quando praticadas as condutas descritas nas alíneas “e”, “f”, “g” e “h” do subitem acima deste Contrato, bem como nas alíneas “b”, “c” e “d”, que justifiquem a imposição de penalidade mais grave (art. 156, §5o, da Lei no 14.133, de 2021).</w:t>
      </w:r>
    </w:p>
    <w:p>
      <w:pPr>
        <w:pStyle w:val="Normal"/>
        <w:spacing w:lineRule="auto" w:line="276"/>
        <w:jc w:val="both"/>
        <w:rPr>
          <w:rFonts w:ascii="Arial" w:hAnsi="Arial" w:cs="Arial"/>
          <w:sz w:val="22"/>
          <w:szCs w:val="22"/>
        </w:rPr>
      </w:pPr>
      <w:r>
        <w:rPr>
          <w:rFonts w:cs="Arial" w:ascii="Arial" w:hAnsi="Arial"/>
          <w:sz w:val="22"/>
          <w:szCs w:val="22"/>
        </w:rPr>
        <w:tab/>
        <w:t>iv. Multa:</w:t>
      </w:r>
    </w:p>
    <w:p>
      <w:pPr>
        <w:pStyle w:val="Normal"/>
        <w:numPr>
          <w:ilvl w:val="0"/>
          <w:numId w:val="7"/>
        </w:numPr>
        <w:spacing w:lineRule="auto" w:line="276"/>
        <w:ind w:hanging="0" w:left="0"/>
        <w:jc w:val="both"/>
        <w:rPr>
          <w:rFonts w:ascii="Arial" w:hAnsi="Arial" w:eastAsia="Arial" w:cs="Arial"/>
          <w:sz w:val="22"/>
          <w:szCs w:val="22"/>
        </w:rPr>
      </w:pPr>
      <w:r>
        <w:rPr>
          <w:rFonts w:eastAsia="Arial" w:cs="Arial" w:ascii="Arial" w:hAnsi="Arial"/>
          <w:sz w:val="22"/>
          <w:szCs w:val="22"/>
        </w:rPr>
        <w:t>moratória de 0,3% (três décimos por cento) por dia de atraso injustificado sobre o valor da parcela inadimplida, até o limite de 30 (trinta) dias;</w:t>
      </w:r>
    </w:p>
    <w:p>
      <w:pPr>
        <w:pStyle w:val="Normal"/>
        <w:numPr>
          <w:ilvl w:val="0"/>
          <w:numId w:val="7"/>
        </w:numPr>
        <w:spacing w:lineRule="auto" w:line="276"/>
        <w:ind w:hanging="0" w:left="0"/>
        <w:jc w:val="both"/>
        <w:rPr>
          <w:rFonts w:ascii="Arial" w:hAnsi="Arial" w:eastAsia="Arial" w:cs="Arial"/>
          <w:sz w:val="22"/>
          <w:szCs w:val="22"/>
        </w:rPr>
      </w:pPr>
      <w:r>
        <w:rPr>
          <w:rFonts w:eastAsia="Arial" w:cs="Arial" w:ascii="Arial" w:hAnsi="Arial"/>
          <w:sz w:val="22"/>
          <w:szCs w:val="22"/>
        </w:rPr>
        <w:t>moratória de 10% (dez por cento) por dia de atraso injustificado sobre o valor total do contrato, até o máximo de 30% (trinta por cento), pela inobservância do prazo fixado para apresentação, suplementação ou reposição da garantia.</w:t>
      </w:r>
    </w:p>
    <w:p>
      <w:pPr>
        <w:pStyle w:val="Normal"/>
        <w:spacing w:lineRule="auto" w:line="276"/>
        <w:jc w:val="both"/>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3) compensatória de 30% (trinta por cento) sobre o valor total do contrato, no caso de inexecução total do objeto.</w:t>
      </w:r>
    </w:p>
    <w:p>
      <w:pPr>
        <w:pStyle w:val="Normal"/>
        <w:spacing w:lineRule="auto" w:line="276"/>
        <w:jc w:val="both"/>
        <w:rPr>
          <w:rFonts w:ascii="Arial" w:hAnsi="Arial" w:cs="Arial"/>
          <w:sz w:val="22"/>
          <w:szCs w:val="22"/>
        </w:rPr>
      </w:pPr>
      <w:r>
        <w:rPr>
          <w:rFonts w:cs="Arial" w:ascii="Arial" w:hAnsi="Arial"/>
          <w:sz w:val="22"/>
          <w:szCs w:val="22"/>
        </w:rPr>
        <w:t>i) A aplicação das sanções previstas neste Contrato não exclui, em hipótese alguma, a obrigação de reparação integral do dano causado ao Contratante (art. 156, §9o, da Lei no 14.133, de 2021).</w:t>
      </w:r>
    </w:p>
    <w:p>
      <w:pPr>
        <w:pStyle w:val="Normal"/>
        <w:spacing w:lineRule="auto" w:line="276"/>
        <w:jc w:val="both"/>
        <w:rPr>
          <w:rFonts w:ascii="Arial" w:hAnsi="Arial" w:cs="Arial"/>
          <w:sz w:val="22"/>
          <w:szCs w:val="22"/>
        </w:rPr>
      </w:pPr>
      <w:r>
        <w:rPr>
          <w:rFonts w:cs="Arial" w:ascii="Arial" w:hAnsi="Arial"/>
          <w:sz w:val="22"/>
          <w:szCs w:val="22"/>
        </w:rPr>
        <w:t>j) Todas as sanções previstas neste Contrato poderão ser aplicadas cumulativamente com a multa (art. 156, §7o, da Lei no 14.133, de 2021).</w:t>
      </w:r>
    </w:p>
    <w:p>
      <w:pPr>
        <w:pStyle w:val="Normal"/>
        <w:spacing w:lineRule="auto" w:line="276"/>
        <w:jc w:val="both"/>
        <w:rPr>
          <w:rFonts w:ascii="Arial" w:hAnsi="Arial" w:cs="Arial"/>
          <w:sz w:val="22"/>
          <w:szCs w:val="22"/>
        </w:rPr>
      </w:pPr>
      <w:r>
        <w:rPr>
          <w:rFonts w:cs="Arial" w:ascii="Arial" w:hAnsi="Arial"/>
          <w:sz w:val="22"/>
          <w:szCs w:val="22"/>
        </w:rPr>
        <w:t>k) Antes da aplicação da multa será facultada a defesa do interessado no prazo de 15 (quinze) dias úteis, contado da data de sua intimação (art. 157, da Lei no 14.133, de 2021).</w:t>
      </w:r>
    </w:p>
    <w:p>
      <w:pPr>
        <w:pStyle w:val="Normal"/>
        <w:spacing w:lineRule="auto" w:line="276"/>
        <w:jc w:val="both"/>
        <w:rPr>
          <w:rFonts w:ascii="Arial" w:hAnsi="Arial" w:cs="Arial"/>
          <w:sz w:val="22"/>
          <w:szCs w:val="22"/>
        </w:rPr>
      </w:pPr>
      <w:r>
        <w:rPr>
          <w:rFonts w:cs="Arial" w:ascii="Arial" w:hAnsi="Arial"/>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§8o, da Lei no 14.133, de 2021).</w:t>
      </w:r>
    </w:p>
    <w:p>
      <w:pPr>
        <w:pStyle w:val="Normal"/>
        <w:spacing w:lineRule="auto" w:line="276"/>
        <w:jc w:val="both"/>
        <w:rPr>
          <w:rFonts w:ascii="Arial" w:hAnsi="Arial" w:cs="Arial"/>
          <w:sz w:val="22"/>
          <w:szCs w:val="22"/>
        </w:rPr>
      </w:pPr>
      <w:r>
        <w:rPr>
          <w:rFonts w:cs="Arial" w:ascii="Arial" w:hAnsi="Arial"/>
          <w:sz w:val="22"/>
          <w:szCs w:val="22"/>
        </w:rPr>
        <w:t>m) Previamente ao encaminhamento à cobrança judicial, a multa poderá ser recolhida administrativamente no prazo máximo de 30 (trinta) dias, a contar da data do recebimento da comunicação enviada pela autoridade competente.</w:t>
      </w:r>
    </w:p>
    <w:p>
      <w:pPr>
        <w:pStyle w:val="Normal"/>
        <w:spacing w:lineRule="auto" w:line="276"/>
        <w:jc w:val="both"/>
        <w:rPr>
          <w:rFonts w:ascii="Arial" w:hAnsi="Arial" w:cs="Arial"/>
          <w:sz w:val="22"/>
          <w:szCs w:val="22"/>
        </w:rPr>
      </w:pPr>
      <w:r>
        <w:rPr>
          <w:rFonts w:cs="Arial" w:ascii="Arial" w:hAnsi="Arial"/>
          <w:sz w:val="22"/>
          <w:szCs w:val="22"/>
        </w:rPr>
        <w:t>n) A aplicação das sanções realizar-se-á em processo administrativo que assegure o contraditório e a ampla defesa ao Contratado, observando-se o procedimento previsto no caput e parágrafos do art. 158 da Lei no 14.133, de 2021, para as penalidades de impedimento de licitar e contratar e de declaração de inidoneidade para licitar ou contratar.</w:t>
      </w:r>
    </w:p>
    <w:p>
      <w:pPr>
        <w:pStyle w:val="Normal"/>
        <w:spacing w:lineRule="auto" w:line="276"/>
        <w:jc w:val="both"/>
        <w:rPr>
          <w:rFonts w:ascii="Arial" w:hAnsi="Arial" w:cs="Arial"/>
          <w:sz w:val="22"/>
          <w:szCs w:val="22"/>
        </w:rPr>
      </w:pPr>
      <w:r>
        <w:rPr>
          <w:rFonts w:cs="Arial" w:ascii="Arial" w:hAnsi="Arial"/>
          <w:sz w:val="22"/>
          <w:szCs w:val="22"/>
        </w:rPr>
        <w:t>Na aplicação das sanções serão considerados (art. 156, §1o, da Lei no 14.133, de 2021):</w:t>
      </w:r>
    </w:p>
    <w:p>
      <w:pPr>
        <w:pStyle w:val="Normal"/>
        <w:spacing w:lineRule="auto" w:line="276"/>
        <w:jc w:val="both"/>
        <w:rPr>
          <w:rFonts w:ascii="Arial" w:hAnsi="Arial" w:cs="Arial"/>
          <w:sz w:val="22"/>
          <w:szCs w:val="22"/>
        </w:rPr>
      </w:pPr>
      <w:r>
        <w:rPr>
          <w:rFonts w:cs="Arial" w:ascii="Arial" w:hAnsi="Arial"/>
          <w:sz w:val="22"/>
          <w:szCs w:val="22"/>
        </w:rPr>
        <w:tab/>
        <w:t>a) a natureza e a gravidade da infração cometida;</w:t>
      </w:r>
    </w:p>
    <w:p>
      <w:pPr>
        <w:pStyle w:val="Normal"/>
        <w:spacing w:lineRule="auto" w:line="276"/>
        <w:jc w:val="both"/>
        <w:rPr>
          <w:rFonts w:ascii="Arial" w:hAnsi="Arial" w:cs="Arial"/>
          <w:sz w:val="22"/>
          <w:szCs w:val="22"/>
        </w:rPr>
      </w:pPr>
      <w:r>
        <w:rPr>
          <w:rFonts w:cs="Arial" w:ascii="Arial" w:hAnsi="Arial"/>
          <w:sz w:val="22"/>
          <w:szCs w:val="22"/>
        </w:rPr>
        <w:tab/>
        <w:t>b) as peculiaridades do caso concreto;</w:t>
      </w:r>
    </w:p>
    <w:p>
      <w:pPr>
        <w:pStyle w:val="Normal"/>
        <w:spacing w:lineRule="auto" w:line="276"/>
        <w:jc w:val="both"/>
        <w:rPr>
          <w:rFonts w:ascii="Arial" w:hAnsi="Arial" w:cs="Arial"/>
          <w:sz w:val="22"/>
          <w:szCs w:val="22"/>
        </w:rPr>
      </w:pPr>
      <w:r>
        <w:rPr>
          <w:rFonts w:cs="Arial" w:ascii="Arial" w:hAnsi="Arial"/>
          <w:sz w:val="22"/>
          <w:szCs w:val="22"/>
        </w:rPr>
        <w:tab/>
        <w:t>c) as circunstâncias agravantes ou atenuantes;</w:t>
      </w:r>
    </w:p>
    <w:p>
      <w:pPr>
        <w:pStyle w:val="Normal"/>
        <w:spacing w:lineRule="auto" w:line="276"/>
        <w:jc w:val="both"/>
        <w:rPr>
          <w:rFonts w:ascii="Arial" w:hAnsi="Arial" w:cs="Arial"/>
          <w:sz w:val="22"/>
          <w:szCs w:val="22"/>
        </w:rPr>
      </w:pPr>
      <w:r>
        <w:rPr>
          <w:rFonts w:cs="Arial" w:ascii="Arial" w:hAnsi="Arial"/>
          <w:sz w:val="22"/>
          <w:szCs w:val="22"/>
        </w:rPr>
        <w:tab/>
        <w:t>d) os danos que dela provierem para o Contratante;</w:t>
      </w:r>
    </w:p>
    <w:p>
      <w:pPr>
        <w:pStyle w:val="Normal"/>
        <w:spacing w:lineRule="auto" w:line="276"/>
        <w:jc w:val="both"/>
        <w:rPr>
          <w:rFonts w:ascii="Arial" w:hAnsi="Arial" w:cs="Arial"/>
          <w:sz w:val="22"/>
          <w:szCs w:val="22"/>
        </w:rPr>
      </w:pPr>
      <w:r>
        <w:rPr>
          <w:rFonts w:cs="Arial" w:ascii="Arial" w:hAnsi="Arial"/>
          <w:sz w:val="22"/>
          <w:szCs w:val="22"/>
        </w:rPr>
        <w:tab/>
        <w:t>e) a implantação ou o aperfeiçoamento de programa de integridade, conforme normas e orientações dos órgãos de controle.</w:t>
      </w:r>
    </w:p>
    <w:p>
      <w:pPr>
        <w:pStyle w:val="Normal"/>
        <w:spacing w:lineRule="auto" w:line="276"/>
        <w:jc w:val="both"/>
        <w:rPr>
          <w:rFonts w:ascii="Arial" w:hAnsi="Arial" w:cs="Arial"/>
          <w:sz w:val="22"/>
          <w:szCs w:val="22"/>
        </w:rPr>
      </w:pPr>
      <w:r>
        <w:rPr>
          <w:rFonts w:cs="Arial" w:ascii="Arial" w:hAnsi="Arial"/>
          <w:sz w:val="22"/>
          <w:szCs w:val="22"/>
        </w:rPr>
        <w:t>o) Os atos previstos como infrações administrativas na Lei no 14.133, de 2021, ou em outras leis de licitações e contratos da Administração Pública que também sejam tipificados como atos lesivos na Lei no 12.846, de 2013, serão apurados e julgados conjuntamente, nos mesmos autos, observados o rito procedimental e autoridade competente definidos na referida Lei (art. 159).</w:t>
      </w:r>
    </w:p>
    <w:p>
      <w:pPr>
        <w:pStyle w:val="Normal"/>
        <w:spacing w:lineRule="auto" w:line="276"/>
        <w:jc w:val="both"/>
        <w:rPr>
          <w:rFonts w:ascii="Arial" w:hAnsi="Arial" w:cs="Arial"/>
          <w:sz w:val="22"/>
          <w:szCs w:val="22"/>
        </w:rPr>
      </w:pPr>
      <w:r>
        <w:rPr>
          <w:rFonts w:cs="Arial" w:ascii="Arial" w:hAnsi="Arial"/>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no 14.133, de 2021).</w:t>
      </w:r>
    </w:p>
    <w:p>
      <w:pPr>
        <w:pStyle w:val="Normal"/>
        <w:spacing w:lineRule="auto" w:line="276"/>
        <w:jc w:val="both"/>
        <w:rPr>
          <w:rFonts w:ascii="Arial" w:hAnsi="Arial" w:cs="Arial"/>
          <w:sz w:val="22"/>
          <w:szCs w:val="22"/>
        </w:rPr>
      </w:pPr>
      <w:r>
        <w:rPr>
          <w:rFonts w:cs="Arial" w:ascii="Arial" w:hAnsi="Arial"/>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no 14.133, de 2021).</w:t>
      </w:r>
    </w:p>
    <w:p>
      <w:pPr>
        <w:pStyle w:val="Normal"/>
        <w:spacing w:lineRule="auto" w:line="276"/>
        <w:jc w:val="both"/>
        <w:rPr>
          <w:rFonts w:ascii="Arial" w:hAnsi="Arial" w:cs="Arial"/>
          <w:sz w:val="22"/>
          <w:szCs w:val="22"/>
        </w:rPr>
      </w:pPr>
      <w:r>
        <w:rPr>
          <w:rFonts w:cs="Arial" w:ascii="Arial" w:hAnsi="Arial"/>
          <w:sz w:val="22"/>
          <w:szCs w:val="22"/>
        </w:rPr>
        <w:t>r) As sanções de impedimento de licitar e contratar e declaração de inidoneidade para licitar ou contratar são passíveis de reabilitação na forma do art. 163 da Lei no 14.133/21.</w:t>
      </w:r>
    </w:p>
    <w:p>
      <w:pPr>
        <w:pStyle w:val="Normal"/>
        <w:spacing w:lineRule="auto" w:line="276"/>
        <w:jc w:val="both"/>
        <w:rPr>
          <w:rFonts w:ascii="Arial" w:hAnsi="Arial" w:cs="Arial"/>
          <w:sz w:val="22"/>
          <w:szCs w:val="22"/>
        </w:rPr>
      </w:pPr>
      <w:r>
        <w:rPr>
          <w:rFonts w:cs="Arial" w:ascii="Arial" w:hAnsi="Arial"/>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no 26, de 13 de abril de 2022.</w:t>
      </w:r>
    </w:p>
    <w:p>
      <w:pPr>
        <w:pStyle w:val="Normal"/>
        <w:tabs>
          <w:tab w:val="clear" w:pos="709"/>
          <w:tab w:val="left" w:pos="1620" w:leader="none"/>
        </w:tabs>
        <w:spacing w:lineRule="auto" w:line="276"/>
        <w:ind w:left="426"/>
        <w:jc w:val="both"/>
        <w:rPr>
          <w:rFonts w:ascii="Arial" w:hAnsi="Arial" w:eastAsia="MS Mincho;ＭＳ 明朝" w:cs="Arial"/>
          <w:kern w:val="0"/>
          <w:sz w:val="22"/>
          <w:szCs w:val="22"/>
          <w:lang w:eastAsia="en-US"/>
        </w:rPr>
      </w:pPr>
      <w:r>
        <w:rPr>
          <w:rFonts w:eastAsia="MS Mincho;ＭＳ 明朝" w:cs="Arial" w:ascii="Arial" w:hAnsi="Arial"/>
          <w:kern w:val="0"/>
          <w:sz w:val="22"/>
          <w:szCs w:val="22"/>
          <w:lang w:eastAsia="en-US"/>
        </w:rPr>
      </w:r>
    </w:p>
    <w:p>
      <w:pPr>
        <w:pStyle w:val="Nvel3-R"/>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ivel3"/>
        <w:tabs>
          <w:tab w:val="clear" w:pos="0"/>
        </w:tabs>
        <w:spacing w:before="0" w:after="0"/>
        <w:ind w:hanging="0" w:left="0"/>
        <w:rPr>
          <w:i/>
          <w:i/>
          <w:iCs/>
          <w:color w:val="auto"/>
          <w:sz w:val="22"/>
          <w:szCs w:val="22"/>
          <w:lang w:eastAsia="en-US"/>
        </w:rPr>
      </w:pPr>
      <w:r>
        <w:rPr>
          <w:i/>
          <w:iCs/>
          <w:color w:val="auto"/>
          <w:sz w:val="22"/>
          <w:szCs w:val="22"/>
          <w:lang w:eastAsia="en-US"/>
        </w:rPr>
      </w:r>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r>
      <w:bookmarkStart w:id="34" w:name="_Hlk82471863"/>
      <w:bookmarkStart w:id="35" w:name="_Hlk82471863"/>
      <w:bookmarkEnd w:id="35"/>
    </w:p>
    <w:p>
      <w:pPr>
        <w:pStyle w:val="Normal"/>
        <w:tabs>
          <w:tab w:val="clear" w:pos="709"/>
          <w:tab w:val="left" w:pos="3857" w:leader="none"/>
        </w:tabs>
        <w:spacing w:lineRule="auto" w:line="276"/>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PREGÃO ELETRÔNICO 34/2026</w:t>
      </w:r>
    </w:p>
    <w:p>
      <w:pPr>
        <w:pStyle w:val="Normal"/>
        <w:spacing w:lineRule="auto" w:line="276"/>
        <w:ind w:right="-57"/>
        <w:jc w:val="both"/>
        <w:rPr>
          <w:rFonts w:ascii="Arial" w:hAnsi="Arial" w:cs="Arial"/>
          <w:sz w:val="22"/>
          <w:szCs w:val="22"/>
        </w:rPr>
      </w:pPr>
      <w:r>
        <w:rPr>
          <w:rFonts w:cs="Arial" w:ascii="Arial" w:hAnsi="Arial"/>
          <w:b/>
          <w:bCs/>
          <w:sz w:val="22"/>
          <w:szCs w:val="22"/>
        </w:rPr>
        <w:t>EDITAL Nº 48/2026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3.042/2026</w:t>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r>
    </w:p>
    <w:p>
      <w:pPr>
        <w:pStyle w:val="Normal"/>
        <w:tabs>
          <w:tab w:val="clear" w:pos="709"/>
          <w:tab w:val="left" w:pos="1978" w:leader="none"/>
        </w:tabs>
        <w:spacing w:lineRule="auto" w:line="276"/>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276"/>
        <w:ind w:right="-54"/>
        <w:jc w:val="both"/>
        <w:rPr>
          <w:rFonts w:ascii="Arial" w:hAnsi="Arial" w:cs="Arial"/>
          <w:sz w:val="22"/>
          <w:szCs w:val="22"/>
          <w:u w:val="single"/>
        </w:rPr>
      </w:pPr>
      <w:r>
        <w:rPr>
          <w:rFonts w:cs="Arial" w:ascii="Arial" w:hAnsi="Arial"/>
          <w:sz w:val="22"/>
          <w:szCs w:val="22"/>
          <w:u w:val="single"/>
        </w:rPr>
      </w:r>
    </w:p>
    <w:p>
      <w:pPr>
        <w:pStyle w:val="Normal"/>
        <w:spacing w:lineRule="auto" w:line="276"/>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34/2026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276"/>
        <w:ind w:right="-54"/>
        <w:jc w:val="both"/>
        <w:rPr>
          <w:rFonts w:ascii="Arial" w:hAnsi="Arial" w:cs="Arial"/>
          <w:sz w:val="22"/>
          <w:szCs w:val="22"/>
        </w:rPr>
      </w:pPr>
      <w:r>
        <w:rPr>
          <w:rFonts w:cs="Arial" w:ascii="Arial" w:hAnsi="Arial"/>
          <w:sz w:val="22"/>
          <w:szCs w:val="22"/>
        </w:rPr>
        <w:tab/>
        <w:tab/>
        <w:tab/>
        <w:tab/>
        <w:tab/>
      </w:r>
    </w:p>
    <w:p>
      <w:pPr>
        <w:pStyle w:val="Normal"/>
        <w:spacing w:lineRule="auto" w:line="276"/>
        <w:ind w:firstLine="709" w:left="2831" w:right="-54"/>
        <w:jc w:val="both"/>
        <w:rPr>
          <w:rFonts w:ascii="Arial" w:hAnsi="Arial" w:cs="Arial"/>
          <w:sz w:val="22"/>
          <w:szCs w:val="22"/>
        </w:rPr>
      </w:pPr>
      <w:r>
        <w:rPr>
          <w:rFonts w:cs="Arial" w:ascii="Arial" w:hAnsi="Arial"/>
          <w:sz w:val="22"/>
          <w:szCs w:val="22"/>
        </w:rPr>
        <w:t>..........................   , .... de ............... de 2026.</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t>ANEXO III</w:t>
      </w:r>
    </w:p>
    <w:p>
      <w:pPr>
        <w:pStyle w:val="Normal"/>
        <w:spacing w:lineRule="auto" w:line="276"/>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PREGÃO ELETRÔNICO 34/2026</w:t>
      </w:r>
    </w:p>
    <w:p>
      <w:pPr>
        <w:pStyle w:val="Normal"/>
        <w:spacing w:lineRule="auto" w:line="276"/>
        <w:ind w:right="-57"/>
        <w:jc w:val="both"/>
        <w:rPr>
          <w:rFonts w:ascii="Arial" w:hAnsi="Arial" w:cs="Arial"/>
          <w:sz w:val="22"/>
          <w:szCs w:val="22"/>
        </w:rPr>
      </w:pPr>
      <w:r>
        <w:rPr>
          <w:rFonts w:cs="Arial" w:ascii="Arial" w:hAnsi="Arial"/>
          <w:b/>
          <w:bCs/>
          <w:sz w:val="22"/>
          <w:szCs w:val="22"/>
        </w:rPr>
        <w:t>EDITAL Nº 48/2026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3.042/2026</w:t>
      </w:r>
    </w:p>
    <w:p>
      <w:pPr>
        <w:pStyle w:val="Normal"/>
        <w:tabs>
          <w:tab w:val="clear" w:pos="709"/>
          <w:tab w:val="left" w:pos="1978"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34/2026),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276"/>
        <w:ind w:right="-54"/>
        <w:jc w:val="both"/>
        <w:rPr>
          <w:rFonts w:ascii="Arial" w:hAnsi="Arial" w:eastAsia="Arial" w:cs="Arial"/>
          <w:b/>
          <w:bCs/>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tabs>
          <w:tab w:val="clear" w:pos="709"/>
          <w:tab w:val="left" w:pos="2304" w:leader="none"/>
        </w:tabs>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276"/>
        <w:ind w:right="-57"/>
        <w:jc w:val="both"/>
        <w:rPr>
          <w:rFonts w:ascii="Arial" w:hAnsi="Arial" w:cs="Arial"/>
          <w:sz w:val="22"/>
          <w:szCs w:val="22"/>
        </w:rPr>
      </w:pPr>
      <w:r>
        <w:rPr>
          <w:rFonts w:cs="Arial" w:ascii="Arial" w:hAnsi="Arial"/>
          <w:b/>
          <w:bCs/>
          <w:sz w:val="22"/>
          <w:szCs w:val="22"/>
        </w:rPr>
        <w:t>PREGÃO ELETRÔNICO 34/2026</w:t>
      </w:r>
    </w:p>
    <w:p>
      <w:pPr>
        <w:pStyle w:val="Normal"/>
        <w:spacing w:lineRule="auto" w:line="276"/>
        <w:ind w:right="-57"/>
        <w:jc w:val="both"/>
        <w:rPr>
          <w:rFonts w:ascii="Arial" w:hAnsi="Arial" w:cs="Arial"/>
          <w:sz w:val="22"/>
          <w:szCs w:val="22"/>
        </w:rPr>
      </w:pPr>
      <w:r>
        <w:rPr>
          <w:rFonts w:cs="Arial" w:ascii="Arial" w:hAnsi="Arial"/>
          <w:b/>
          <w:bCs/>
          <w:sz w:val="22"/>
          <w:szCs w:val="22"/>
        </w:rPr>
        <w:t>EDITAL Nº 48/2026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3.042/2026</w:t>
      </w:r>
    </w:p>
    <w:p>
      <w:pPr>
        <w:pStyle w:val="Normal"/>
        <w:spacing w:lineRule="auto" w:line="276"/>
        <w:jc w:val="both"/>
        <w:rPr>
          <w:rFonts w:ascii="Arial" w:hAnsi="Arial" w:cs="Arial"/>
          <w:b/>
          <w:sz w:val="22"/>
          <w:szCs w:val="22"/>
          <w:u w:val="single"/>
        </w:rPr>
      </w:pPr>
      <w:r>
        <w:rPr>
          <w:rFonts w:cs="Arial" w:ascii="Arial" w:hAnsi="Arial"/>
          <w:b/>
          <w:sz w:val="22"/>
          <w:szCs w:val="22"/>
          <w:u w:val="single"/>
        </w:rPr>
      </w:r>
    </w:p>
    <w:p>
      <w:pPr>
        <w:pStyle w:val="Normal"/>
        <w:spacing w:lineRule="auto" w:line="276"/>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276"/>
        <w:ind w:right="-54"/>
        <w:jc w:val="center"/>
        <w:rPr>
          <w:rFonts w:ascii="Arial" w:hAnsi="Arial" w:cs="Arial"/>
          <w:sz w:val="22"/>
          <w:szCs w:val="22"/>
        </w:rPr>
      </w:pPr>
      <w:r>
        <w:rPr>
          <w:rFonts w:cs="Arial" w:ascii="Arial" w:hAnsi="Arial"/>
          <w:sz w:val="22"/>
          <w:szCs w:val="22"/>
        </w:rPr>
        <w:t>OU</w:t>
      </w:r>
    </w:p>
    <w:p>
      <w:pPr>
        <w:pStyle w:val="Normal"/>
        <w:spacing w:lineRule="auto" w:line="276"/>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276"/>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276"/>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ab/>
        <w:tab/>
        <w:tab/>
        <w:tab/>
        <w:tab/>
        <w:t>..............................  , .... de ............... de 2026.</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276"/>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276"/>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276"/>
        <w:ind w:left="3540" w:right="-54"/>
        <w:jc w:val="both"/>
        <w:rPr>
          <w:rFonts w:ascii="Arial" w:hAnsi="Arial" w:cs="Arial"/>
          <w:sz w:val="22"/>
          <w:szCs w:val="22"/>
        </w:rPr>
      </w:pPr>
      <w:r>
        <w:rPr>
          <w:rFonts w:cs="Arial" w:ascii="Arial" w:hAnsi="Arial"/>
          <w:sz w:val="22"/>
          <w:szCs w:val="22"/>
        </w:rPr>
        <w:t>RG nº...................................</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w:t>
      </w:r>
    </w:p>
    <w:p>
      <w:pPr>
        <w:pStyle w:val="Normal"/>
        <w:spacing w:lineRule="auto" w:line="276"/>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276"/>
        <w:ind w:right="-57"/>
        <w:jc w:val="both"/>
        <w:rPr>
          <w:rFonts w:ascii="Arial" w:hAnsi="Arial" w:cs="Arial"/>
          <w:sz w:val="22"/>
          <w:szCs w:val="22"/>
        </w:rPr>
      </w:pPr>
      <w:r>
        <w:rPr>
          <w:rFonts w:cs="Arial" w:ascii="Arial" w:hAnsi="Arial"/>
          <w:b/>
          <w:bCs/>
          <w:sz w:val="22"/>
          <w:szCs w:val="22"/>
        </w:rPr>
        <w:t>Pregão nº 34/2026</w:t>
      </w:r>
    </w:p>
    <w:p>
      <w:pPr>
        <w:pStyle w:val="Normal"/>
        <w:spacing w:lineRule="auto" w:line="276"/>
        <w:ind w:right="-57"/>
        <w:jc w:val="both"/>
        <w:rPr>
          <w:rFonts w:ascii="Arial" w:hAnsi="Arial" w:cs="Arial"/>
          <w:b/>
          <w:bCs/>
          <w:sz w:val="22"/>
          <w:szCs w:val="22"/>
        </w:rPr>
      </w:pPr>
      <w:r>
        <w:rPr>
          <w:rFonts w:cs="Arial" w:ascii="Arial" w:hAnsi="Arial"/>
          <w:b/>
          <w:bCs/>
          <w:sz w:val="22"/>
          <w:szCs w:val="22"/>
        </w:rPr>
        <w:t>Processo nº 3.042/2026</w:t>
      </w:r>
    </w:p>
    <w:p>
      <w:pPr>
        <w:pStyle w:val="Normal"/>
        <w:spacing w:lineRule="auto" w:line="276"/>
        <w:ind w:right="-54"/>
        <w:jc w:val="both"/>
        <w:rPr>
          <w:rFonts w:ascii="Arial" w:hAnsi="Arial" w:cs="Arial"/>
          <w:sz w:val="22"/>
          <w:szCs w:val="22"/>
        </w:rPr>
      </w:pPr>
      <w:r>
        <w:rPr>
          <w:rFonts w:cs="Arial" w:ascii="Arial" w:hAnsi="Arial"/>
          <w:sz w:val="22"/>
          <w:szCs w:val="22"/>
        </w:rPr>
        <w:t>À</w:t>
      </w:r>
    </w:p>
    <w:p>
      <w:pPr>
        <w:pStyle w:val="Normal"/>
        <w:spacing w:lineRule="auto" w:line="276"/>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276"/>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276"/>
        <w:ind w:right="-54"/>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numPr>
          <w:ilvl w:val="0"/>
          <w:numId w:val="0"/>
        </w:numPr>
        <w:spacing w:lineRule="auto" w:line="276"/>
        <w:ind w:hanging="0" w:left="360"/>
        <w:jc w:val="center"/>
        <w:rPr>
          <w:sz w:val="22"/>
          <w:szCs w:val="22"/>
        </w:rPr>
      </w:pPr>
      <w:r>
        <w:rPr>
          <w:sz w:val="22"/>
          <w:szCs w:val="22"/>
        </w:rPr>
        <w:t>COTA PRINCIPAL - AMPLA PARTICIPAÇÃO</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tbl>
      <w:tblPr>
        <w:tblW w:w="9077" w:type="dxa"/>
        <w:jc w:val="center"/>
        <w:tblInd w:w="0" w:type="dxa"/>
        <w:tblLayout w:type="fixed"/>
        <w:tblCellMar>
          <w:top w:w="60" w:type="dxa"/>
          <w:left w:w="60" w:type="dxa"/>
          <w:bottom w:w="60" w:type="dxa"/>
          <w:right w:w="60" w:type="dxa"/>
        </w:tblCellMar>
        <w:tblLook w:firstRow="0" w:noVBand="1" w:lastRow="0" w:firstColumn="0" w:lastColumn="0" w:noHBand="1" w:val="0600"/>
      </w:tblPr>
      <w:tblGrid>
        <w:gridCol w:w="568"/>
        <w:gridCol w:w="3827"/>
        <w:gridCol w:w="849"/>
        <w:gridCol w:w="1135"/>
        <w:gridCol w:w="710"/>
        <w:gridCol w:w="849"/>
        <w:gridCol w:w="1138"/>
      </w:tblGrid>
      <w:tr>
        <w:trPr/>
        <w:tc>
          <w:tcPr>
            <w:tcW w:w="56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Item</w:t>
            </w:r>
          </w:p>
        </w:tc>
        <w:tc>
          <w:tcPr>
            <w:tcW w:w="382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6"/>
                <w:szCs w:val="16"/>
              </w:rPr>
            </w:pPr>
            <w:r>
              <w:rPr>
                <w:rFonts w:cs="Arial" w:ascii="Arial" w:hAnsi="Arial"/>
                <w:b/>
                <w:bCs/>
                <w:sz w:val="16"/>
                <w:szCs w:val="16"/>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Quantidade</w:t>
            </w:r>
          </w:p>
        </w:tc>
        <w:tc>
          <w:tcPr>
            <w:tcW w:w="7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Marca</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Unitário</w:t>
            </w:r>
          </w:p>
        </w:tc>
        <w:tc>
          <w:tcPr>
            <w:tcW w:w="11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Total</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1.08.01.0001-3 - FORMULA INFANTIL À BASE DE PROTEINAS LACTEAS (6 - 12 meses)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538.800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 À BASE DE PROTEINAS LACTEAS (6 - 12 meses)</w:t>
            </w:r>
          </w:p>
          <w:p>
            <w:pPr>
              <w:pStyle w:val="Normal"/>
              <w:widowControl w:val="false"/>
              <w:jc w:val="both"/>
              <w:rPr>
                <w:rFonts w:ascii="Arial" w:hAnsi="Arial" w:cs="Arial"/>
                <w:sz w:val="16"/>
                <w:szCs w:val="16"/>
              </w:rPr>
            </w:pPr>
            <w:r>
              <w:rPr>
                <w:rFonts w:cs="Arial" w:ascii="Arial" w:hAnsi="Arial"/>
                <w:sz w:val="16"/>
                <w:szCs w:val="16"/>
              </w:rPr>
              <w:t>Fórmula infantil de seguimento, indicada para lactentes do 6º ao 12º mês de vida, contendo todos os nutrientes para satisfazer as necessidades nutricionais de lactentes até o 1º ano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NAN CONFORT 2 / APTAMIL 2/ MILUPA 2/ NAN SUPREME 2/ NESTOGENO 2</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1.08.01.0002-1 - FÓRMULA INFANTIL À BASE DE PROTEÍNAS LÁCTEAS (0 - 6 meses)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375.000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FÓRMULA INFANTIL À BASE DE PROTEÍNAS LÁCTEAS (0 - 6 meses)</w:t>
            </w:r>
          </w:p>
          <w:p>
            <w:pPr>
              <w:pStyle w:val="Normal"/>
              <w:widowControl w:val="false"/>
              <w:jc w:val="both"/>
              <w:rPr>
                <w:rFonts w:ascii="Arial" w:hAnsi="Arial" w:cs="Arial"/>
                <w:sz w:val="16"/>
                <w:szCs w:val="16"/>
              </w:rPr>
            </w:pPr>
            <w:r>
              <w:rPr>
                <w:rFonts w:cs="Arial" w:ascii="Arial" w:hAnsi="Arial"/>
                <w:sz w:val="16"/>
                <w:szCs w:val="16"/>
              </w:rPr>
              <w:t>Fórmula infantil de partida, indicada para lactentes até o 6º mês de vida, contendo todos os nutrientes para satisfazer as necessidades nutricionais de lactentes até o 6º mês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NESTOGENO 1/ APTAMIL 1/ NAN CONFORT 1/ MILUPA 1/ NAN SUPREME 1.</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5</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1.08.01.0006-4 - SUPLEMENTO ALIMENTAR PARA PACIENTES DIALISADOS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2.096.640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PARA PACIENTES DIALISADOS</w:t>
            </w:r>
          </w:p>
          <w:p>
            <w:pPr>
              <w:pStyle w:val="Normal"/>
              <w:widowControl w:val="false"/>
              <w:jc w:val="both"/>
              <w:rPr>
                <w:rFonts w:ascii="Arial" w:hAnsi="Arial" w:cs="Arial"/>
                <w:sz w:val="16"/>
                <w:szCs w:val="16"/>
              </w:rPr>
            </w:pPr>
            <w:r>
              <w:rPr>
                <w:rFonts w:cs="Arial" w:ascii="Arial" w:hAnsi="Arial"/>
                <w:sz w:val="16"/>
                <w:szCs w:val="16"/>
              </w:rPr>
              <w:t>Suplemento alimentar hipercalórico, normoproteico, desenvolvido para pacientes com insuficiência renal crônica em processo dialítico; isento de glúten, sacarose, xarope de glicose e de milho. Apresentação na forma líquida pronta para consumo, embalagem com no mínimo 200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HD MAX/ NUTRI RENAL D</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1.08.01.0015-3 - NUTRIÇÃO ENTERAL INFANTIL III</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206.100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4 anos de idade, sem glúten, acrescida de prebioticos e probioticos. Permite uso oral ou enteral.</w:t>
            </w:r>
          </w:p>
          <w:p>
            <w:pPr>
              <w:pStyle w:val="Normal"/>
              <w:widowControl w:val="false"/>
              <w:jc w:val="both"/>
              <w:rPr>
                <w:rFonts w:ascii="Arial" w:hAnsi="Arial" w:cs="Arial"/>
                <w:sz w:val="16"/>
                <w:szCs w:val="16"/>
              </w:rPr>
            </w:pPr>
            <w:r>
              <w:rPr>
                <w:rFonts w:cs="Arial" w:ascii="Arial" w:hAnsi="Arial"/>
                <w:sz w:val="16"/>
                <w:szCs w:val="16"/>
              </w:rPr>
              <w:t>Apresentação em pó, embalagem com no mínimo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sz w:val="16"/>
                <w:szCs w:val="16"/>
                <w:highlight w:val="yellow"/>
              </w:rPr>
              <w:t>OBRIGATORIO SER PEDIASURE COMPLETE</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9</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1.08.01.0016-1 - SUPLEMENTO ALIMENTAR HIPERCALÓRICO E HIPERPROTEICO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486.000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HIPERCALÓRICO E HIPERPROTEICO</w:t>
            </w:r>
          </w:p>
          <w:p>
            <w:pPr>
              <w:pStyle w:val="Normal"/>
              <w:widowControl w:val="false"/>
              <w:jc w:val="both"/>
              <w:rPr>
                <w:rFonts w:ascii="Arial" w:hAnsi="Arial" w:cs="Arial"/>
                <w:sz w:val="16"/>
                <w:szCs w:val="16"/>
              </w:rPr>
            </w:pPr>
            <w:r>
              <w:rPr>
                <w:rFonts w:cs="Arial" w:ascii="Arial" w:hAnsi="Arial"/>
                <w:sz w:val="16"/>
                <w:szCs w:val="16"/>
              </w:rPr>
              <w:t>Suplemento alimentar oral, hipercalórico e hiperproteico, isento de glúten. Apresentação na forma líquida pronta para uso com no mínimo 125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QUALIDADE SIMILAR OU SUPERIOR DO PRODUTO: ENERGIZIR/ NUTREN 1.5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1.08.01.0021-8 - FORMULA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210.000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w:t>
            </w:r>
          </w:p>
          <w:p>
            <w:pPr>
              <w:pStyle w:val="Normal"/>
              <w:widowControl w:val="false"/>
              <w:jc w:val="both"/>
              <w:rPr>
                <w:rFonts w:ascii="Arial" w:hAnsi="Arial" w:cs="Arial"/>
                <w:sz w:val="16"/>
                <w:szCs w:val="16"/>
              </w:rPr>
            </w:pPr>
            <w:r>
              <w:rPr>
                <w:rFonts w:cs="Arial" w:ascii="Arial" w:hAnsi="Arial"/>
                <w:sz w:val="16"/>
                <w:szCs w:val="16"/>
              </w:rPr>
              <w:t>Completa para uso oral ou enteral para lactentes ou de seguimento para lactentes e/ou crianças de primeira infância. (criança de 0-36 meses).</w:t>
            </w:r>
          </w:p>
          <w:p>
            <w:pPr>
              <w:pStyle w:val="Normal"/>
              <w:widowControl w:val="false"/>
              <w:jc w:val="both"/>
              <w:rPr>
                <w:rFonts w:ascii="Arial" w:hAnsi="Arial" w:cs="Arial"/>
                <w:sz w:val="16"/>
                <w:szCs w:val="16"/>
              </w:rPr>
            </w:pPr>
            <w:r>
              <w:rPr>
                <w:rFonts w:cs="Arial" w:ascii="Arial" w:hAnsi="Arial"/>
                <w:sz w:val="16"/>
                <w:szCs w:val="16"/>
              </w:rPr>
              <w:t>Nutricionalmente completa, destinada a necessidades dietoterápicas especificas. Apresentação em pó, lata com no mínimo 400 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O INFATRINI</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13</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1.08.01.0023-4 - ESPESSANTE ALIMENTAR – Formula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79.200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ESPESSANTE ALIMENTAR – Formula</w:t>
            </w:r>
          </w:p>
          <w:p>
            <w:pPr>
              <w:pStyle w:val="Normal"/>
              <w:widowControl w:val="false"/>
              <w:jc w:val="both"/>
              <w:rPr>
                <w:rFonts w:ascii="Arial" w:hAnsi="Arial" w:cs="Arial"/>
                <w:sz w:val="16"/>
                <w:szCs w:val="16"/>
              </w:rPr>
            </w:pPr>
            <w:r>
              <w:rPr>
                <w:rFonts w:cs="Arial" w:ascii="Arial" w:hAnsi="Arial"/>
                <w:sz w:val="16"/>
                <w:szCs w:val="16"/>
              </w:rPr>
              <w:t>Produto instantâneo, com propriedade espessante que, ao ser adicionado à água e alimento frio ou quente, não altere sabor, odor e cor. Deve conter gomas alimentares em sua composição. Apresentação em pó.</w:t>
            </w:r>
          </w:p>
          <w:p>
            <w:pPr>
              <w:pStyle w:val="Normal"/>
              <w:widowControl w:val="false"/>
              <w:jc w:val="both"/>
              <w:rPr>
                <w:rFonts w:ascii="Arial" w:hAnsi="Arial" w:cs="Arial"/>
                <w:sz w:val="16"/>
                <w:szCs w:val="16"/>
              </w:rPr>
            </w:pPr>
            <w:r>
              <w:rPr>
                <w:rFonts w:cs="Arial" w:ascii="Arial" w:hAnsi="Arial"/>
                <w:sz w:val="16"/>
                <w:szCs w:val="16"/>
              </w:rPr>
              <w:t>Embalagem com no máximo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OU SIMILAR, OU SUPERIOR QUE O PRODUTO: NUTILIS/ RESOURCE CHICKEN UP CLEAR/ INSTANTH CLEAR</w:t>
            </w:r>
            <w:r>
              <w:rPr>
                <w:rFonts w:cs="Arial" w:ascii="Arial" w:hAnsi="Arial"/>
                <w:sz w:val="16"/>
                <w:szCs w:val="16"/>
              </w:rPr>
              <w: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15</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1.08.01.0024-2 - NUTRIÇÃO ENTERAL PADRÃO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2.664.090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PADRÃO</w:t>
            </w:r>
          </w:p>
          <w:p>
            <w:pPr>
              <w:pStyle w:val="Normal"/>
              <w:widowControl w:val="false"/>
              <w:jc w:val="both"/>
              <w:rPr>
                <w:rFonts w:ascii="Arial" w:hAnsi="Arial" w:cs="Arial"/>
                <w:sz w:val="16"/>
                <w:szCs w:val="16"/>
              </w:rPr>
            </w:pPr>
            <w:r>
              <w:rPr>
                <w:rFonts w:cs="Arial" w:ascii="Arial" w:hAnsi="Arial"/>
                <w:sz w:val="16"/>
                <w:szCs w:val="16"/>
              </w:rPr>
              <w:t>Fórmula nutricionalmente completa, para uso oral ou enteral, isenta de sacarose, lactose, glúten e fibras. Permite diferentes diluições, flexibilizando a densidade calórica até 1,5 Cal/ml. A porcentagem de proteína de soja deve ser inferior a 60%, quando constar na formula. Apresentação em pó, embalagem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TROPHIC BASIC</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1.08.01.0028-5 - NUTRIÇÃO ENTERAL INFANTIL II</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345.600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04 anos de idade, isenta de glúten, para uso oral ou enteral. Apresentação em pó. Embalagem com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NUTREN JUNIOR/ TROPHIC INFANT/ FORTINI COMPLETE</w:t>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ivel2"/>
              <w:spacing w:lineRule="auto" w:line="240" w:before="120" w:after="288"/>
              <w:ind w:hanging="0" w:left="0"/>
              <w:jc w:val="center"/>
              <w:rPr>
                <w:color w:val="auto"/>
                <w:sz w:val="16"/>
                <w:szCs w:val="16"/>
              </w:rPr>
            </w:pPr>
            <w:r>
              <w:rPr>
                <w:b/>
                <w:color w:val="auto"/>
                <w:sz w:val="16"/>
                <w:szCs w:val="16"/>
                <w:u w:val="single"/>
              </w:rPr>
              <w:t>COTA RESERVADA – EXCLUSIVIDADE ME/EPP</w:t>
            </w:r>
          </w:p>
          <w:p>
            <w:pPr>
              <w:pStyle w:val="Normal"/>
              <w:widowControl w:val="false"/>
              <w:jc w:val="both"/>
              <w:rPr>
                <w:rFonts w:ascii="Arial" w:hAnsi="Arial" w:cs="Arial"/>
                <w:b/>
                <w:sz w:val="16"/>
                <w:szCs w:val="16"/>
              </w:rPr>
            </w:pPr>
            <w:r>
              <w:rPr>
                <w:rFonts w:cs="Arial" w:ascii="Arial" w:hAnsi="Arial"/>
                <w:b/>
                <w:sz w:val="16"/>
                <w:szCs w:val="16"/>
              </w:rPr>
            </w:r>
          </w:p>
        </w:tc>
      </w:tr>
      <w:tr>
        <w:trPr/>
        <w:tc>
          <w:tcPr>
            <w:tcW w:w="56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Item</w:t>
            </w:r>
          </w:p>
        </w:tc>
        <w:tc>
          <w:tcPr>
            <w:tcW w:w="382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both"/>
              <w:rPr>
                <w:rFonts w:ascii="Arial" w:hAnsi="Arial" w:cs="Arial"/>
                <w:b/>
                <w:bCs/>
                <w:sz w:val="16"/>
                <w:szCs w:val="16"/>
              </w:rPr>
            </w:pPr>
            <w:r>
              <w:rPr>
                <w:rFonts w:cs="Arial" w:ascii="Arial" w:hAnsi="Arial"/>
                <w:b/>
                <w:bCs/>
                <w:sz w:val="16"/>
                <w:szCs w:val="16"/>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Quantidade</w:t>
            </w:r>
          </w:p>
        </w:tc>
        <w:tc>
          <w:tcPr>
            <w:tcW w:w="7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b/>
                <w:bCs/>
                <w:sz w:val="16"/>
                <w:szCs w:val="16"/>
              </w:rPr>
            </w:pPr>
            <w:r>
              <w:rPr>
                <w:rFonts w:cs="Arial" w:ascii="Arial" w:hAnsi="Arial"/>
                <w:b/>
                <w:bCs/>
                <w:sz w:val="16"/>
                <w:szCs w:val="16"/>
              </w:rPr>
              <w:t>Marca</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Unitário</w:t>
            </w:r>
          </w:p>
        </w:tc>
        <w:tc>
          <w:tcPr>
            <w:tcW w:w="11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b/>
                <w:bCs/>
                <w:sz w:val="16"/>
                <w:szCs w:val="16"/>
              </w:rPr>
            </w:pPr>
            <w:r>
              <w:rPr>
                <w:rFonts w:cs="Arial" w:ascii="Arial" w:hAnsi="Arial"/>
                <w:b/>
                <w:bCs/>
                <w:sz w:val="16"/>
                <w:szCs w:val="16"/>
              </w:rPr>
              <w:t>Preço Total</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1.08.01.0001-3 - FORMULA INFANTIL À BASE DE PROTEINAS LACTEAS (6 - 12 meses)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179.600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 À BASE DE PROTEINAS LACTEAS (6 - 12 meses)</w:t>
            </w:r>
          </w:p>
          <w:p>
            <w:pPr>
              <w:pStyle w:val="Normal"/>
              <w:widowControl w:val="false"/>
              <w:jc w:val="both"/>
              <w:rPr>
                <w:rFonts w:ascii="Arial" w:hAnsi="Arial" w:cs="Arial"/>
                <w:sz w:val="16"/>
                <w:szCs w:val="16"/>
              </w:rPr>
            </w:pPr>
            <w:r>
              <w:rPr>
                <w:rFonts w:cs="Arial" w:ascii="Arial" w:hAnsi="Arial"/>
                <w:sz w:val="16"/>
                <w:szCs w:val="16"/>
              </w:rPr>
              <w:t>Fórmula infantil de seguimento, indicada para lactentes do 6º ao 12º mês de vida, contendo todos os nutrientes para satisfazer as necessidades nutricionais de lactentes até o 1º ano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NAN CONFORT 2 / APTAMIL 2/ MILUPA 2/ NAN SUPREME 2/ NESTOGENO 2</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4</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1.08.01.0002-1 - FÓRMULA INFANTIL À BASE DE PROTEÍNAS LÁCTEAS (0 - 6 meses)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125.000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FÓRMULA INFANTIL À BASE DE PROTEÍNAS LÁCTEAS (0 - 6 meses)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Fórmula infantil de partida, indicada para lactentes até o 6º mês de vida, contendo todos os nutrientes para satisfazer as necessidades nutricionais de lactentes até o 6º mês de vida, de acordo com os critérios estabelecidos pelo Regulamento Técnico para Fórmulas Infantis – RDC nº 43, de19 de setembro de 2011, da ANVISA. Apresentação em pó; lata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NESTOGENO 1/ APTAMIL 1/ NAN CONFORT 1/ MILUPA 1/ NAN SUPREME 1</w:t>
            </w:r>
            <w:r>
              <w:rPr>
                <w:rFonts w:cs="Arial" w:ascii="Arial" w:hAnsi="Arial"/>
                <w:sz w:val="16"/>
                <w:szCs w:val="16"/>
              </w:rPr>
              <w:t>.</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1.08.01.0006-4 - SUPLEMENTO ALIMENTAR PARA PACIENTES DIALISADOS</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698.880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PARA PACIENTES DIALISADOS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rPr>
              <w:t>Suplemento alimentar hipercalórico, normoproteico, desenvolvido para pacientes com insuficiência renal crônica em processo dialítico; isento de glúten, sacarose, xarope de glicose e de milho. Apresentação na forma líquida pronta para consumo, embalagem com no mínimo 200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color w:val="FF0000"/>
                <w:sz w:val="16"/>
                <w:szCs w:val="16"/>
              </w:rPr>
              <w:t>PADRÃO DE QUALIDADE SIMILAR, OU SUPERIOR QUE O PRODUTO: HD MAX/ NUTRI RENAL D</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1.08.01.0015-3 - NUTRIÇÃO ENTERAL INFANTIL III</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68.700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4 anos de idade, sem gluten, acrescida de prebioticos e probioticos. Permite uso oral ou enteral.</w:t>
            </w:r>
          </w:p>
          <w:p>
            <w:pPr>
              <w:pStyle w:val="Normal"/>
              <w:widowControl w:val="false"/>
              <w:jc w:val="both"/>
              <w:rPr>
                <w:rFonts w:ascii="Arial" w:hAnsi="Arial" w:cs="Arial"/>
                <w:sz w:val="16"/>
                <w:szCs w:val="16"/>
              </w:rPr>
            </w:pPr>
            <w:r>
              <w:rPr>
                <w:rFonts w:cs="Arial" w:ascii="Arial" w:hAnsi="Arial"/>
                <w:sz w:val="16"/>
                <w:szCs w:val="16"/>
              </w:rPr>
              <w:t>Apresentação em pó, embalagem com no minimo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PEDIASURE COMPLETE.</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10</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1.08.01.0016-1 - SUPLEMENTO ALIMENTAR HIPERCALÓRICO E HIPERPROTEICO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ML</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162.000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SUPLEMENTO ALIMENTAR HIPERCALÓRICO E HIPERPROTEICO</w:t>
            </w:r>
          </w:p>
          <w:p>
            <w:pPr>
              <w:pStyle w:val="Normal"/>
              <w:widowControl w:val="false"/>
              <w:jc w:val="both"/>
              <w:rPr>
                <w:rFonts w:ascii="Arial" w:hAnsi="Arial" w:cs="Arial"/>
                <w:sz w:val="16"/>
                <w:szCs w:val="16"/>
              </w:rPr>
            </w:pPr>
            <w:r>
              <w:rPr>
                <w:rFonts w:cs="Arial" w:ascii="Arial" w:hAnsi="Arial"/>
                <w:sz w:val="16"/>
                <w:szCs w:val="16"/>
              </w:rPr>
              <w:t>Suplemento alimentar oral, hipercalórico e hiperproteico, isento de glúten. Apresentação na forma líquida pronta para uso com no mínimo 125 ml.</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QUALIDADE SIMILAR OU SUPERIOR DO PRODUTO: ENERGIZIR/ NUTREN 1.5</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12</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1.08.01.0021-8 - FORMULA INFANTIL</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70.000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FORMULA INFANTIL</w:t>
            </w:r>
          </w:p>
          <w:p>
            <w:pPr>
              <w:pStyle w:val="Normal"/>
              <w:widowControl w:val="false"/>
              <w:jc w:val="both"/>
              <w:rPr>
                <w:rFonts w:ascii="Arial" w:hAnsi="Arial" w:cs="Arial"/>
                <w:sz w:val="16"/>
                <w:szCs w:val="16"/>
              </w:rPr>
            </w:pPr>
            <w:r>
              <w:rPr>
                <w:rFonts w:cs="Arial" w:ascii="Arial" w:hAnsi="Arial"/>
                <w:sz w:val="16"/>
                <w:szCs w:val="16"/>
              </w:rPr>
              <w:t>Completa para uso oral ou enteral para lactentes ou de seguimento para lactentes e/ou crianças de primeira infância. (criança de 0-36 meses). Nutricionalmente completa, destinada a necessidades dietoterápicas especificas. Apresentação em pó, lata com no mínimo 400 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sz w:val="16"/>
                <w:szCs w:val="16"/>
              </w:rPr>
            </w:pPr>
            <w:r>
              <w:rPr>
                <w:rFonts w:cs="Arial" w:ascii="Arial" w:hAnsi="Arial"/>
                <w:sz w:val="16"/>
                <w:szCs w:val="16"/>
                <w:highlight w:val="yellow"/>
              </w:rPr>
              <w:t>OBRIGATORIO SER O INFATRINI</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14</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1.08.01.0023-4 - ESPESSANTE ALIMENTAR – Formula</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26.400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ESPESSANTE ALIMENTAR – Formula</w:t>
            </w:r>
          </w:p>
          <w:p>
            <w:pPr>
              <w:pStyle w:val="Normal"/>
              <w:widowControl w:val="false"/>
              <w:jc w:val="both"/>
              <w:rPr>
                <w:rFonts w:ascii="Arial" w:hAnsi="Arial" w:cs="Arial"/>
                <w:sz w:val="16"/>
                <w:szCs w:val="16"/>
              </w:rPr>
            </w:pPr>
            <w:r>
              <w:rPr>
                <w:rFonts w:cs="Arial" w:ascii="Arial" w:hAnsi="Arial"/>
                <w:sz w:val="16"/>
                <w:szCs w:val="16"/>
              </w:rPr>
              <w:t>Produto  instantâneo, com propriedade espessante que, ao ser adicionado à agua e alimento frio ou quente, não altere sabor, odor e cor. Deve conter gomas alimentares em sua composição. Apresentação em pó. Embalagem com no máximo 400 gramas.</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NUTILIS/ RESOURCE CHICKEN UP CLEAR/ INSTANTH CLEAR</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16</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1.08.01.0024-2 - NUTRIÇÃO ENTERAL PADRÃO</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888.030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PADRÃO</w:t>
            </w:r>
          </w:p>
          <w:p>
            <w:pPr>
              <w:pStyle w:val="Normal"/>
              <w:widowControl w:val="false"/>
              <w:jc w:val="both"/>
              <w:rPr>
                <w:rFonts w:ascii="Arial" w:hAnsi="Arial" w:cs="Arial"/>
                <w:sz w:val="16"/>
                <w:szCs w:val="16"/>
              </w:rPr>
            </w:pPr>
            <w:r>
              <w:rPr>
                <w:rFonts w:cs="Arial" w:ascii="Arial" w:hAnsi="Arial"/>
                <w:sz w:val="16"/>
                <w:szCs w:val="16"/>
              </w:rPr>
              <w:t>Fórmula nutricionalmente completa, para uso oral ou enteral, isenta de sacarose, lactose, glúten e fibras. Permite diferentes diluições, flexibilizando a densidade calórica até 1,5 Cal/ml. A porcentagem de proteína de soja deve ser inferior a 60%, quando constar na formula. Apresentação em pó, embalagem com no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SIMILAR OU SUPERIOR QUE O PRODUTO: TROPHIC BASIC</w:t>
            </w:r>
          </w:p>
        </w:tc>
      </w:tr>
      <w:tr>
        <w:trPr/>
        <w:tc>
          <w:tcPr>
            <w:tcW w:w="56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18</w:t>
            </w:r>
          </w:p>
        </w:tc>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w:hAnsi="Arial" w:cs="Arial"/>
                <w:sz w:val="16"/>
                <w:szCs w:val="16"/>
              </w:rPr>
            </w:pPr>
            <w:r>
              <w:rPr>
                <w:rFonts w:cs="Arial" w:ascii="Arial" w:hAnsi="Arial"/>
                <w:sz w:val="16"/>
                <w:szCs w:val="16"/>
              </w:rPr>
              <w:t>1.08.01.0028-5 - NUTRIÇÃO ENTERAL INFANTIL II</w:t>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t>GR</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t>115.200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cs="Arial"/>
                <w:sz w:val="16"/>
                <w:szCs w:val="16"/>
              </w:rPr>
            </w:pPr>
            <w:r>
              <w:rPr>
                <w:rFonts w:cs="Arial" w:ascii="Arial" w:hAnsi="Arial"/>
                <w:sz w:val="16"/>
                <w:szCs w:val="16"/>
              </w:rPr>
            </w:r>
          </w:p>
        </w:tc>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rFonts w:ascii="Arial" w:hAnsi="Arial" w:cs="Arial"/>
                <w:sz w:val="16"/>
                <w:szCs w:val="16"/>
              </w:rPr>
            </w:pPr>
            <w:r>
              <w:rPr>
                <w:rFonts w:cs="Arial" w:ascii="Arial" w:hAnsi="Arial"/>
                <w:sz w:val="16"/>
                <w:szCs w:val="16"/>
              </w:rPr>
            </w:r>
          </w:p>
        </w:tc>
      </w:tr>
      <w:tr>
        <w:trPr/>
        <w:tc>
          <w:tcPr>
            <w:tcW w:w="9076"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6"/>
                <w:szCs w:val="16"/>
              </w:rPr>
            </w:pPr>
            <w:r>
              <w:rPr>
                <w:rFonts w:cs="Arial" w:ascii="Arial" w:hAnsi="Arial"/>
                <w:sz w:val="16"/>
                <w:szCs w:val="16"/>
              </w:rPr>
              <w:t>NUTRIÇÃO ENTERAL INFANTIL II</w:t>
            </w:r>
          </w:p>
          <w:p>
            <w:pPr>
              <w:pStyle w:val="Normal"/>
              <w:widowControl w:val="false"/>
              <w:jc w:val="both"/>
              <w:rPr>
                <w:rFonts w:ascii="Arial" w:hAnsi="Arial" w:cs="Arial"/>
                <w:sz w:val="16"/>
                <w:szCs w:val="16"/>
              </w:rPr>
            </w:pPr>
            <w:r>
              <w:rPr>
                <w:rFonts w:cs="Arial" w:ascii="Arial" w:hAnsi="Arial"/>
                <w:sz w:val="16"/>
                <w:szCs w:val="16"/>
              </w:rPr>
              <w:t>Formula infantil, nutricionalmente completa, para crianças a partir de 04 anos de idade, isenta de gluten, para uso oral ou enteral. Apresentação em pó. Embalagem com mínimo 400g.</w:t>
            </w:r>
          </w:p>
          <w:p>
            <w:pPr>
              <w:pStyle w:val="Normal"/>
              <w:widowControl w:val="false"/>
              <w:jc w:val="both"/>
              <w:rPr>
                <w:rFonts w:ascii="Arial" w:hAnsi="Arial" w:cs="Arial"/>
                <w:sz w:val="16"/>
                <w:szCs w:val="16"/>
              </w:rPr>
            </w:pPr>
            <w:r>
              <w:rPr>
                <w:rFonts w:cs="Arial" w:ascii="Arial" w:hAnsi="Arial"/>
                <w:sz w:val="16"/>
                <w:szCs w:val="16"/>
              </w:rPr>
            </w:r>
          </w:p>
          <w:p>
            <w:pPr>
              <w:pStyle w:val="Normal"/>
              <w:widowControl w:val="false"/>
              <w:jc w:val="both"/>
              <w:rPr>
                <w:rFonts w:ascii="Arial" w:hAnsi="Arial" w:cs="Arial"/>
                <w:color w:val="FF0000"/>
                <w:sz w:val="16"/>
                <w:szCs w:val="16"/>
              </w:rPr>
            </w:pPr>
            <w:r>
              <w:rPr>
                <w:rFonts w:cs="Arial" w:ascii="Arial" w:hAnsi="Arial"/>
                <w:color w:val="FF0000"/>
                <w:sz w:val="16"/>
                <w:szCs w:val="16"/>
              </w:rPr>
              <w:t>PADRÃO DE QUALIDADE OU SIMILAR, OU SUPERIOR QUE O PRODUTO: NUTREN JUNIOR/ TROPHIC INFANT/ FORTINI COMPLETE.</w:t>
            </w:r>
          </w:p>
        </w:tc>
      </w:tr>
    </w:tbl>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t>...........................   , .... de ............... de 2026.</w:t>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cs="Arial" w:ascii="Arial" w:hAnsi="Arial"/>
          <w:sz w:val="22"/>
          <w:szCs w:val="22"/>
        </w:rPr>
      </w:r>
    </w:p>
    <w:p>
      <w:pPr>
        <w:pStyle w:val="Normal"/>
        <w:spacing w:lineRule="auto" w:line="276"/>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276"/>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276"/>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both"/>
        <w:rPr>
          <w:rFonts w:ascii="Arial" w:hAnsi="Arial" w:cs="Arial"/>
          <w:b/>
          <w:bCs/>
          <w:sz w:val="22"/>
          <w:szCs w:val="22"/>
        </w:rPr>
      </w:pPr>
      <w:r>
        <w:rPr>
          <w:rFonts w:cs="Arial" w:ascii="Arial" w:hAnsi="Arial"/>
          <w:b/>
          <w:bCs/>
          <w:sz w:val="22"/>
          <w:szCs w:val="22"/>
        </w:rPr>
        <w:t>ANEXO VI – MINUTA DA ATA DE REGISTRO DE PREÇOS</w:t>
      </w:r>
    </w:p>
    <w:p>
      <w:pPr>
        <w:pStyle w:val="Normal"/>
        <w:spacing w:lineRule="auto" w:line="276"/>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b/>
          <w:bCs/>
        </w:rPr>
      </w:pPr>
      <w:r>
        <w:rPr>
          <w:rFonts w:cs="Arial" w:ascii="Arial" w:hAnsi="Arial"/>
          <w:b/>
          <w:bCs/>
        </w:rPr>
        <w:t>ATA DE REGISTRO DE PREÇO nº XX/2026</w:t>
      </w:r>
    </w:p>
    <w:p>
      <w:pPr>
        <w:pStyle w:val="NoSpacing"/>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PREGÃO ELETRÔNICO nº XX/2026</w:t>
      </w:r>
    </w:p>
    <w:p>
      <w:pPr>
        <w:pStyle w:val="NoSpacing"/>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PROCESSO nº 3.042/2026</w:t>
      </w:r>
    </w:p>
    <w:p>
      <w:pPr>
        <w:pStyle w:val="Normal"/>
        <w:spacing w:lineRule="auto" w:line="276"/>
        <w:jc w:val="both"/>
        <w:rPr>
          <w:rFonts w:ascii="Arial" w:hAnsi="Arial" w:cs="Arial"/>
          <w:b/>
          <w:bCs/>
          <w:iCs/>
          <w:sz w:val="22"/>
          <w:szCs w:val="22"/>
        </w:rPr>
      </w:pPr>
      <w:r>
        <w:rPr>
          <w:rFonts w:cs="Arial" w:ascii="Arial" w:hAnsi="Arial"/>
          <w:b/>
          <w:bCs/>
          <w:iCs/>
          <w:sz w:val="22"/>
          <w:szCs w:val="22"/>
        </w:rPr>
      </w:r>
    </w:p>
    <w:p>
      <w:pPr>
        <w:pStyle w:val="NoSpacing"/>
        <w:spacing w:lineRule="auto" w:line="276"/>
        <w:jc w:val="both"/>
        <w:rPr>
          <w:rFonts w:ascii="Arial" w:hAnsi="Arial" w:cs="Arial"/>
        </w:rPr>
      </w:pPr>
      <w:r>
        <w:rPr>
          <w:rFonts w:cs="Arial" w:ascii="Arial" w:hAnsi="Arial"/>
        </w:rPr>
        <w:t>Aos XX dias do mês de XXX de 2026,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XX/2026,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ivel01"/>
        <w:numPr>
          <w:ilvl w:val="0"/>
          <w:numId w:val="13"/>
        </w:numPr>
        <w:spacing w:lineRule="auto" w:line="276"/>
        <w:rPr>
          <w:sz w:val="22"/>
          <w:szCs w:val="22"/>
        </w:rPr>
      </w:pPr>
      <w:r>
        <w:rPr>
          <w:sz w:val="22"/>
          <w:szCs w:val="22"/>
        </w:rPr>
        <w:t>DO OBJETO</w:t>
      </w:r>
    </w:p>
    <w:p>
      <w:pPr>
        <w:pStyle w:val="Nivel2"/>
        <w:numPr>
          <w:ilvl w:val="1"/>
          <w:numId w:val="3"/>
        </w:numPr>
        <w:ind w:hanging="0" w:left="0"/>
        <w:rPr>
          <w:color w:val="auto"/>
          <w:sz w:val="22"/>
          <w:szCs w:val="22"/>
        </w:rPr>
      </w:pPr>
      <w:r>
        <w:rPr>
          <w:color w:val="auto"/>
          <w:sz w:val="22"/>
          <w:szCs w:val="22"/>
        </w:rPr>
        <w:t>A presente Ata tem por objeto o registro de preços para a eventual aquisição/contratação de XX , especificado no Termo de Referência, anexo I</w:t>
      </w:r>
      <w:r>
        <w:rPr>
          <w:i/>
          <w:color w:val="auto"/>
          <w:sz w:val="22"/>
          <w:szCs w:val="22"/>
        </w:rPr>
        <w:t xml:space="preserve"> do Edital xx</w:t>
      </w:r>
      <w:r>
        <w:rPr>
          <w:color w:val="auto"/>
          <w:sz w:val="22"/>
          <w:szCs w:val="22"/>
        </w:rPr>
        <w:t>/2025 que é parte integrante desta Ata, assim como as propostas cujos preços tenham sido registrados, independentemente de transcrição.</w:t>
      </w:r>
    </w:p>
    <w:p>
      <w:pPr>
        <w:pStyle w:val="Nivel01"/>
        <w:numPr>
          <w:ilvl w:val="0"/>
          <w:numId w:val="3"/>
        </w:numPr>
        <w:tabs>
          <w:tab w:val="clear" w:pos="567"/>
          <w:tab w:val="left" w:pos="426" w:leader="none"/>
        </w:tabs>
        <w:spacing w:lineRule="auto" w:line="276"/>
        <w:ind w:hanging="0" w:left="0"/>
        <w:rPr>
          <w:sz w:val="22"/>
          <w:szCs w:val="22"/>
        </w:rPr>
      </w:pPr>
      <w:r>
        <w:rPr>
          <w:sz w:val="22"/>
          <w:szCs w:val="22"/>
        </w:rPr>
        <w:t xml:space="preserve">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ind w:hanging="0" w:left="0"/>
        <w:rPr/>
      </w:pPr>
      <w:r>
        <w:rPr>
          <w:rFonts w:eastAsia="Arial"/>
        </w:rPr>
        <w:t xml:space="preserve"> </w:t>
      </w:r>
      <w:r>
        <w:rPr/>
        <w:t>PRAZO DE ENTREGA: XXX</w:t>
      </w:r>
    </w:p>
    <w:p>
      <w:pPr>
        <w:pStyle w:val="Normal"/>
        <w:rPr/>
      </w:pPr>
      <w:r>
        <w:rPr/>
      </w:r>
    </w:p>
    <w:p>
      <w:pPr>
        <w:pStyle w:val="Nivel01"/>
        <w:numPr>
          <w:ilvl w:val="0"/>
          <w:numId w:val="3"/>
        </w:numPr>
        <w:spacing w:lineRule="auto" w:line="276"/>
        <w:rPr>
          <w:sz w:val="22"/>
          <w:szCs w:val="22"/>
        </w:rPr>
      </w:pPr>
      <w:r>
        <w:rPr>
          <w:sz w:val="22"/>
          <w:szCs w:val="22"/>
        </w:rPr>
        <w:t>DOS PREÇOS, ESPECIFICAÇÕES E QUANTITATIVOS</w:t>
      </w:r>
    </w:p>
    <w:p>
      <w:pPr>
        <w:pStyle w:val="Nivel2"/>
        <w:numPr>
          <w:ilvl w:val="1"/>
          <w:numId w:val="3"/>
        </w:numPr>
        <w:ind w:hanging="0" w:left="0"/>
        <w:rPr>
          <w:color w:val="auto"/>
          <w:sz w:val="22"/>
          <w:szCs w:val="22"/>
        </w:rPr>
      </w:pPr>
      <w:r>
        <w:rPr>
          <w:color w:val="auto"/>
          <w:sz w:val="22"/>
          <w:szCs w:val="22"/>
        </w:rPr>
        <w:t xml:space="preserve">O preço registrado, as especificações do objeto, as quantidades mínimas e máximas de cada item, fornecedor(es) e as demais condições ofertadas na(s) proposta(s) são as que seguem: </w:t>
      </w:r>
    </w:p>
    <w:tbl>
      <w:tblPr>
        <w:tblW w:w="8957" w:type="dxa"/>
        <w:jc w:val="left"/>
        <w:tblInd w:w="0" w:type="dxa"/>
        <w:tblLayout w:type="fixed"/>
        <w:tblCellMar>
          <w:top w:w="60" w:type="dxa"/>
          <w:left w:w="60" w:type="dxa"/>
          <w:bottom w:w="60" w:type="dxa"/>
          <w:right w:w="60" w:type="dxa"/>
        </w:tblCellMar>
        <w:tblLook w:firstRow="1" w:noVBand="1" w:lastRow="0" w:firstColumn="1" w:lastColumn="0" w:noHBand="0" w:val="04a0"/>
      </w:tblPr>
      <w:tblGrid>
        <w:gridCol w:w="688"/>
        <w:gridCol w:w="1536"/>
        <w:gridCol w:w="790"/>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16"/>
                <w:szCs w:val="16"/>
              </w:rPr>
            </w:pPr>
            <w:r>
              <w:rPr>
                <w:rFonts w:cs="Arial" w:ascii="Arial" w:hAnsi="Arial"/>
                <w:b/>
                <w:bCs/>
                <w:sz w:val="16"/>
                <w:szCs w:val="16"/>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jc w:val="both"/>
              <w:rPr>
                <w:rFonts w:ascii="Arial" w:hAnsi="Arial" w:cs="Arial"/>
                <w:sz w:val="16"/>
                <w:szCs w:val="16"/>
              </w:rPr>
            </w:pPr>
            <w:r>
              <w:rPr>
                <w:rFonts w:cs="Arial" w:ascii="Arial" w:hAnsi="Arial"/>
                <w:sz w:val="16"/>
                <w:szCs w:val="16"/>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16"/>
                <w:szCs w:val="16"/>
              </w:rPr>
            </w:pPr>
            <w:r>
              <w:rPr>
                <w:rFonts w:cs="Arial" w:ascii="Arial" w:hAnsi="Arial"/>
                <w:sz w:val="16"/>
                <w:szCs w:val="16"/>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76"/>
              <w:jc w:val="both"/>
              <w:rPr>
                <w:rFonts w:ascii="Arial" w:hAnsi="Arial" w:cs="Arial"/>
                <w:sz w:val="16"/>
                <w:szCs w:val="16"/>
              </w:rPr>
            </w:pPr>
            <w:r>
              <w:rPr>
                <w:rFonts w:cs="Arial" w:ascii="Arial" w:hAnsi="Arial"/>
                <w:sz w:val="16"/>
                <w:szCs w:val="16"/>
              </w:rPr>
              <w:t>Especificação do item</w:t>
            </w:r>
          </w:p>
        </w:tc>
      </w:tr>
    </w:tbl>
    <w:p>
      <w:pPr>
        <w:pStyle w:val="Nivel2"/>
        <w:numPr>
          <w:ilvl w:val="1"/>
          <w:numId w:val="3"/>
        </w:numPr>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3"/>
        </w:numPr>
        <w:spacing w:lineRule="auto" w:line="276"/>
        <w:rPr>
          <w:sz w:val="22"/>
          <w:szCs w:val="22"/>
        </w:rPr>
      </w:pPr>
      <w:r>
        <w:rPr>
          <w:sz w:val="22"/>
          <w:szCs w:val="22"/>
        </w:rPr>
        <w:t>ÓRGÃO(S) GERENCIADOR E PARTICIPANTE(S)</w:t>
      </w:r>
    </w:p>
    <w:p>
      <w:pPr>
        <w:pStyle w:val="Nivel2"/>
        <w:numPr>
          <w:ilvl w:val="1"/>
          <w:numId w:val="3"/>
        </w:numPr>
        <w:ind w:hanging="0" w:left="0"/>
        <w:rPr>
          <w:color w:val="auto"/>
          <w:sz w:val="22"/>
          <w:szCs w:val="22"/>
        </w:rPr>
      </w:pPr>
      <w:r>
        <w:rPr>
          <w:color w:val="auto"/>
          <w:sz w:val="22"/>
          <w:szCs w:val="22"/>
        </w:rPr>
        <w:t>O órgão gerenciador será a Seção de Licitações:</w:t>
      </w:r>
    </w:p>
    <w:p>
      <w:pPr>
        <w:pStyle w:val="Nvel2-Red"/>
        <w:rPr>
          <w:i w:val="false"/>
          <w:i w:val="false"/>
          <w:iCs w:val="false"/>
          <w:color w:val="auto"/>
          <w:sz w:val="22"/>
          <w:szCs w:val="22"/>
        </w:rPr>
      </w:pPr>
      <w:r>
        <w:rPr>
          <w:i w:val="false"/>
          <w:iCs w:val="false"/>
          <w:color w:val="auto"/>
          <w:sz w:val="22"/>
          <w:szCs w:val="22"/>
        </w:rPr>
        <w:t>Secretarias participantes do registro de preços:</w:t>
      </w:r>
    </w:p>
    <w:tbl>
      <w:tblPr>
        <w:tblW w:w="89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248"/>
        <w:gridCol w:w="2241"/>
        <w:gridCol w:w="2248"/>
        <w:gridCol w:w="2240"/>
      </w:tblGrid>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Item nº</w:t>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Órgãos Participantes</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Unidade</w:t>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30"/>
              <w:jc w:val="both"/>
              <w:rPr>
                <w:rFonts w:ascii="Arial" w:hAnsi="Arial" w:cs="Arial"/>
                <w:i/>
                <w:i/>
                <w:iCs/>
                <w:sz w:val="22"/>
                <w:szCs w:val="22"/>
              </w:rPr>
            </w:pPr>
            <w:r>
              <w:rPr>
                <w:rFonts w:cs="Arial" w:ascii="Arial" w:hAnsi="Arial"/>
                <w:i/>
                <w:iCs/>
                <w:sz w:val="22"/>
                <w:szCs w:val="22"/>
              </w:rPr>
              <w:t>Quantidade</w:t>
            </w:r>
          </w:p>
        </w:tc>
      </w:tr>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highlight w:val="cyan"/>
              </w:rPr>
            </w:pPr>
            <w:r>
              <w:rPr>
                <w:rFonts w:cs="Arial" w:ascii="Arial" w:hAnsi="Arial"/>
                <w:i/>
                <w:iCs/>
                <w:sz w:val="22"/>
                <w:szCs w:val="22"/>
                <w:highlight w:val="cyan"/>
              </w:rPr>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highlight w:val="cyan"/>
              </w:rPr>
            </w:pPr>
            <w:r>
              <w:rPr>
                <w:rFonts w:cs="Arial" w:ascii="Arial" w:hAnsi="Arial"/>
                <w:i/>
                <w:iCs/>
                <w:sz w:val="22"/>
                <w:szCs w:val="22"/>
                <w:highlight w:val="cyan"/>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r>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3"/>
        </w:numPr>
        <w:spacing w:lineRule="auto" w:line="276"/>
        <w:rPr>
          <w:sz w:val="22"/>
          <w:szCs w:val="22"/>
        </w:rPr>
      </w:pPr>
      <w:r>
        <w:rPr>
          <w:sz w:val="22"/>
          <w:szCs w:val="22"/>
        </w:rPr>
        <w:t xml:space="preserve">DA ADESÃO À ATA DE REGISTRO DE PREÇOS </w:t>
      </w:r>
      <w:r>
        <w:rPr>
          <w:i/>
          <w:sz w:val="22"/>
          <w:szCs w:val="22"/>
        </w:rPr>
        <w:t>(item obrigatório)</w:t>
      </w:r>
    </w:p>
    <w:p>
      <w:pPr>
        <w:pStyle w:val="Nvel2-Red"/>
        <w:rPr>
          <w:color w:val="auto"/>
          <w:sz w:val="22"/>
          <w:szCs w:val="22"/>
        </w:rPr>
      </w:pPr>
      <w:r>
        <w:rPr>
          <w:color w:val="auto"/>
          <w:sz w:val="22"/>
          <w:szCs w:val="22"/>
        </w:rPr>
        <w:t>Durante a vigência da ata, as Secretarias Municipais que não participaram do procedimento poderão aderir à ata de registro de preços na condição de não participantes, observados os seguintes requisitos: consulta e aceitação prévias da Secretaria participante.</w:t>
      </w:r>
    </w:p>
    <w:p>
      <w:pPr>
        <w:pStyle w:val="SubTitNN"/>
        <w:rPr>
          <w:sz w:val="22"/>
          <w:szCs w:val="22"/>
        </w:rPr>
      </w:pPr>
      <w:r>
        <w:rPr>
          <w:sz w:val="22"/>
          <w:szCs w:val="22"/>
        </w:rPr>
        <w:t>Vedação a acréscimo de quantitativos</w:t>
      </w:r>
    </w:p>
    <w:p>
      <w:pPr>
        <w:pStyle w:val="Nivel2"/>
        <w:numPr>
          <w:ilvl w:val="1"/>
          <w:numId w:val="3"/>
        </w:numPr>
        <w:ind w:hanging="0" w:left="0"/>
        <w:rPr>
          <w:color w:val="auto"/>
          <w:sz w:val="22"/>
          <w:szCs w:val="22"/>
        </w:rPr>
      </w:pPr>
      <w:r>
        <w:rPr>
          <w:color w:val="auto"/>
          <w:sz w:val="22"/>
          <w:szCs w:val="22"/>
        </w:rPr>
        <w:t>É vedado efetuar acréscimos nos quantitativos fixados na ata de registro de preços.</w:t>
      </w:r>
    </w:p>
    <w:p>
      <w:pPr>
        <w:pStyle w:val="Nivel01"/>
        <w:numPr>
          <w:ilvl w:val="0"/>
          <w:numId w:val="3"/>
        </w:numPr>
        <w:spacing w:lineRule="auto" w:line="276"/>
        <w:ind w:hanging="0" w:left="0"/>
        <w:rPr>
          <w:sz w:val="22"/>
          <w:szCs w:val="22"/>
        </w:rPr>
      </w:pPr>
      <w:r>
        <w:rPr>
          <w:sz w:val="22"/>
          <w:szCs w:val="22"/>
        </w:rPr>
        <w:t>VALIDADE, FORMALIZAÇÃO DA ATA DE REGISTRO DE PREÇOS E CADASTRO RESERVA</w:t>
      </w:r>
    </w:p>
    <w:p>
      <w:pPr>
        <w:pStyle w:val="Nivel2"/>
        <w:numPr>
          <w:ilvl w:val="1"/>
          <w:numId w:val="3"/>
        </w:numPr>
        <w:ind w:hanging="0" w:left="0"/>
        <w:rPr>
          <w:color w:val="auto"/>
          <w:sz w:val="22"/>
          <w:szCs w:val="22"/>
        </w:rPr>
      </w:pPr>
      <w:r>
        <w:rPr>
          <w:color w:val="auto"/>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3"/>
        </w:numPr>
        <w:ind w:hanging="0" w:left="0"/>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3"/>
        </w:numPr>
        <w:ind w:hanging="0" w:left="0"/>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3"/>
        </w:numPr>
        <w:tabs>
          <w:tab w:val="clear" w:pos="0"/>
          <w:tab w:val="left" w:pos="142" w:leader="none"/>
        </w:tabs>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3"/>
        </w:numPr>
        <w:tabs>
          <w:tab w:val="clear" w:pos="0"/>
          <w:tab w:val="left" w:pos="142" w:leader="none"/>
        </w:tabs>
        <w:ind w:hanging="0" w:left="0"/>
        <w:rPr>
          <w:color w:val="auto"/>
          <w:sz w:val="22"/>
          <w:szCs w:val="22"/>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3"/>
        </w:numPr>
        <w:tabs>
          <w:tab w:val="clear" w:pos="0"/>
          <w:tab w:val="left" w:pos="142" w:leader="none"/>
        </w:tabs>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3"/>
        </w:numPr>
        <w:tabs>
          <w:tab w:val="clear" w:pos="0"/>
          <w:tab w:val="left" w:pos="142" w:leader="none"/>
        </w:tabs>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3"/>
        </w:numPr>
        <w:tabs>
          <w:tab w:val="clear" w:pos="0"/>
          <w:tab w:val="left" w:pos="142" w:leader="none"/>
        </w:tabs>
        <w:ind w:hanging="0" w:left="0"/>
        <w:rPr>
          <w:color w:val="auto"/>
          <w:sz w:val="22"/>
          <w:szCs w:val="22"/>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3"/>
        </w:numPr>
        <w:tabs>
          <w:tab w:val="clear" w:pos="0"/>
          <w:tab w:val="left" w:pos="142" w:leader="none"/>
        </w:tabs>
        <w:ind w:hanging="0" w:left="0"/>
        <w:rPr>
          <w:color w:val="auto"/>
          <w:sz w:val="22"/>
          <w:szCs w:val="22"/>
        </w:rPr>
      </w:pPr>
      <w:r>
        <w:rPr>
          <w:color w:val="auto"/>
          <w:sz w:val="22"/>
          <w:szCs w:val="22"/>
        </w:rPr>
        <w:t>Será incluído na ata, na forma de anexo, o registro dos licitantes ou dos fornecedores que:</w:t>
      </w:r>
    </w:p>
    <w:p>
      <w:pPr>
        <w:pStyle w:val="Nvel4"/>
        <w:tabs>
          <w:tab w:val="left" w:pos="142" w:leader="none"/>
        </w:tabs>
        <w:ind w:hanging="0" w:left="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tabs>
          <w:tab w:val="left" w:pos="142" w:leader="none"/>
        </w:tabs>
        <w:ind w:hanging="0" w:left="0"/>
        <w:rPr>
          <w:color w:val="auto"/>
          <w:sz w:val="22"/>
          <w:szCs w:val="22"/>
        </w:rPr>
      </w:pPr>
      <w:r>
        <w:rPr>
          <w:color w:val="auto"/>
          <w:sz w:val="22"/>
          <w:szCs w:val="22"/>
        </w:rPr>
        <w:t xml:space="preserve">Mantiverem sua proposta original. </w:t>
      </w:r>
      <w:bookmarkStart w:id="36" w:name="cadastro_reserva"/>
      <w:bookmarkEnd w:id="36"/>
    </w:p>
    <w:p>
      <w:pPr>
        <w:pStyle w:val="Nvel3"/>
        <w:numPr>
          <w:ilvl w:val="2"/>
          <w:numId w:val="3"/>
        </w:numPr>
        <w:tabs>
          <w:tab w:val="clear" w:pos="0"/>
          <w:tab w:val="left" w:pos="142" w:leader="none"/>
        </w:tabs>
        <w:ind w:hanging="0" w:left="0"/>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3"/>
        </w:numPr>
        <w:tabs>
          <w:tab w:val="clear" w:pos="0"/>
          <w:tab w:val="left" w:pos="142" w:leader="none"/>
        </w:tabs>
        <w:ind w:hanging="0" w:left="0"/>
        <w:rPr>
          <w:color w:val="auto"/>
          <w:sz w:val="22"/>
          <w:szCs w:val="22"/>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3"/>
        </w:numPr>
        <w:tabs>
          <w:tab w:val="clear" w:pos="0"/>
          <w:tab w:val="left" w:pos="142" w:leader="none"/>
        </w:tabs>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3"/>
        </w:numPr>
        <w:tabs>
          <w:tab w:val="clear" w:pos="0"/>
          <w:tab w:val="left" w:pos="142" w:leader="none"/>
        </w:tabs>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37" w:name="habilitacao_reserva"/>
      <w:bookmarkEnd w:id="37"/>
    </w:p>
    <w:p>
      <w:pPr>
        <w:pStyle w:val="Nvel3"/>
        <w:numPr>
          <w:ilvl w:val="2"/>
          <w:numId w:val="3"/>
        </w:numPr>
        <w:tabs>
          <w:tab w:val="clear" w:pos="0"/>
          <w:tab w:val="left" w:pos="142" w:leader="none"/>
        </w:tabs>
        <w:ind w:hanging="0" w:left="0"/>
        <w:rPr>
          <w:color w:val="auto"/>
          <w:sz w:val="22"/>
          <w:szCs w:val="22"/>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3"/>
        </w:numPr>
        <w:tabs>
          <w:tab w:val="clear" w:pos="0"/>
          <w:tab w:val="left" w:pos="142" w:leader="none"/>
        </w:tabs>
        <w:ind w:hanging="0" w:left="0"/>
        <w:rPr>
          <w:color w:val="auto"/>
          <w:sz w:val="22"/>
          <w:szCs w:val="22"/>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3"/>
        </w:numPr>
        <w:tabs>
          <w:tab w:val="clear" w:pos="0"/>
          <w:tab w:val="left" w:pos="142" w:leader="none"/>
        </w:tabs>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3"/>
        </w:numPr>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3"/>
        </w:numPr>
        <w:ind w:hanging="0" w:left="0"/>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3"/>
        </w:numPr>
        <w:ind w:hanging="0" w:left="0"/>
        <w:rPr>
          <w:color w:val="auto"/>
          <w:sz w:val="22"/>
          <w:szCs w:val="22"/>
        </w:rPr>
      </w:pPr>
      <w:r>
        <w:rPr>
          <w:color w:val="auto"/>
          <w:sz w:val="22"/>
          <w:szCs w:val="22"/>
        </w:rPr>
        <w:t>A ata de registro de preços poderá ser assinada por meio de assinatura digital.</w:t>
      </w:r>
    </w:p>
    <w:p>
      <w:pPr>
        <w:pStyle w:val="Nivel2"/>
        <w:numPr>
          <w:ilvl w:val="1"/>
          <w:numId w:val="3"/>
        </w:numPr>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38" w:name="recusa_dos_que_baixaram_preco"/>
      <w:bookmarkEnd w:id="38"/>
    </w:p>
    <w:p>
      <w:pPr>
        <w:pStyle w:val="Nivel2"/>
        <w:numPr>
          <w:ilvl w:val="1"/>
          <w:numId w:val="3"/>
        </w:numPr>
        <w:ind w:hanging="0" w:left="0"/>
        <w:rPr>
          <w:color w:val="auto"/>
          <w:sz w:val="22"/>
          <w:szCs w:val="22"/>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3"/>
        </w:numPr>
        <w:ind w:hanging="0" w:left="0"/>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3"/>
        </w:numPr>
        <w:ind w:hanging="0" w:left="0"/>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3"/>
        </w:numPr>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3"/>
        </w:numPr>
        <w:spacing w:lineRule="auto" w:line="276"/>
        <w:rPr>
          <w:sz w:val="22"/>
          <w:szCs w:val="22"/>
        </w:rPr>
      </w:pPr>
      <w:r>
        <w:rPr>
          <w:sz w:val="22"/>
          <w:szCs w:val="22"/>
        </w:rPr>
        <w:t>ALTERAÇÃO OU ATUALIZAÇÃO DOS PREÇOS REGISTRADOS</w:t>
      </w:r>
    </w:p>
    <w:p>
      <w:pPr>
        <w:pStyle w:val="Nivel2"/>
        <w:numPr>
          <w:ilvl w:val="1"/>
          <w:numId w:val="3"/>
        </w:numPr>
        <w:tabs>
          <w:tab w:val="clear" w:pos="0"/>
        </w:tabs>
        <w:ind w:hanging="0" w:left="0"/>
        <w:rPr>
          <w:color w:val="auto"/>
          <w:sz w:val="22"/>
          <w:szCs w:val="22"/>
        </w:rPr>
      </w:pPr>
      <w:r>
        <w:rPr>
          <w:color w:val="auto"/>
          <w:sz w:val="22"/>
          <w:szCs w:val="22"/>
        </w:rPr>
        <w:t>Os preços registrados poderão ser alterados ou atualizados em decorrência de eventual redução dos preços pra</w:t>
      </w:r>
      <w:r>
        <w:rPr>
          <w:rFonts w:eastAsia="Calibri"/>
          <w:color w:val="auto"/>
          <w:sz w:val="22"/>
          <w:szCs w:val="22"/>
        </w:rPr>
        <w:t>ti</w:t>
      </w:r>
      <w:r>
        <w:rPr>
          <w:color w:val="auto"/>
          <w:sz w:val="22"/>
          <w:szCs w:val="22"/>
        </w:rPr>
        <w:t>cados no mercado ou de fato que eleve o custo dos bens, das obras ou dos serviços registrados, nas seguintes situações:</w:t>
      </w:r>
    </w:p>
    <w:p>
      <w:pPr>
        <w:pStyle w:val="Nvel3"/>
        <w:numPr>
          <w:ilvl w:val="2"/>
          <w:numId w:val="3"/>
        </w:numPr>
        <w:tabs>
          <w:tab w:val="clear" w:pos="0"/>
        </w:tabs>
        <w:ind w:hanging="0" w:left="0"/>
        <w:rPr>
          <w:color w:val="auto"/>
          <w:sz w:val="22"/>
          <w:szCs w:val="22"/>
        </w:rPr>
      </w:pPr>
      <w:r>
        <w:rPr>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3"/>
        </w:numPr>
        <w:tabs>
          <w:tab w:val="clear" w:pos="0"/>
        </w:tabs>
        <w:ind w:hanging="0" w:left="0"/>
        <w:rPr>
          <w:color w:val="auto"/>
          <w:sz w:val="22"/>
          <w:szCs w:val="22"/>
        </w:rPr>
      </w:pPr>
      <w:r>
        <w:rPr>
          <w:color w:val="auto"/>
          <w:sz w:val="22"/>
          <w:szCs w:val="22"/>
        </w:rPr>
        <w:t>Em caso de criação, alteração ou ex</w:t>
      </w:r>
      <w:r>
        <w:rPr>
          <w:rFonts w:eastAsia="Calibri"/>
          <w:color w:val="auto"/>
          <w:sz w:val="22"/>
          <w:szCs w:val="22"/>
        </w:rPr>
        <w:t>ti</w:t>
      </w:r>
      <w:r>
        <w:rPr>
          <w:color w:val="auto"/>
          <w:sz w:val="22"/>
          <w:szCs w:val="22"/>
        </w:rPr>
        <w:t xml:space="preserve">nção de quaisquer tributos ou encargos legais ou a superveniência de disposições legais, com comprovada repercussão sobre os preços registrados; </w:t>
      </w:r>
    </w:p>
    <w:p>
      <w:pPr>
        <w:pStyle w:val="Nivel2"/>
        <w:numPr>
          <w:ilvl w:val="1"/>
          <w:numId w:val="6"/>
        </w:numPr>
        <w:tabs>
          <w:tab w:val="clear" w:pos="0"/>
        </w:tabs>
        <w:ind w:hanging="0" w:left="0"/>
        <w:rPr>
          <w:color w:val="auto"/>
          <w:sz w:val="22"/>
          <w:szCs w:val="22"/>
        </w:rPr>
      </w:pPr>
      <w:bookmarkStart w:id="39" w:name="_Hlk165615619"/>
      <w:r>
        <w:rPr>
          <w:color w:val="auto"/>
          <w:sz w:val="22"/>
          <w:szCs w:val="22"/>
        </w:rPr>
        <w:t>- Caso o prazo exceda os 12 (doze) meses previstos, os preços serão reajustados de acordo com o índice de variação do IPCA-IBGE.</w:t>
      </w:r>
      <w:bookmarkEnd w:id="39"/>
    </w:p>
    <w:p>
      <w:pPr>
        <w:pStyle w:val="Nivel2"/>
        <w:tabs>
          <w:tab w:val="clear" w:pos="0"/>
        </w:tabs>
        <w:ind w:hanging="0" w:left="0"/>
        <w:rPr>
          <w:color w:val="auto"/>
          <w:sz w:val="22"/>
          <w:szCs w:val="22"/>
        </w:rPr>
      </w:pPr>
      <w:r>
        <w:rPr>
          <w:color w:val="auto"/>
          <w:sz w:val="22"/>
          <w:szCs w:val="22"/>
        </w:rPr>
      </w:r>
    </w:p>
    <w:p>
      <w:pPr>
        <w:pStyle w:val="Nivel01"/>
        <w:numPr>
          <w:ilvl w:val="0"/>
          <w:numId w:val="3"/>
        </w:numPr>
        <w:spacing w:lineRule="auto" w:line="276"/>
        <w:rPr>
          <w:sz w:val="22"/>
          <w:szCs w:val="22"/>
        </w:rPr>
      </w:pPr>
      <w:r>
        <w:rPr>
          <w:sz w:val="22"/>
          <w:szCs w:val="22"/>
        </w:rPr>
        <w:t>NEGOCIAÇÃO DE PREÇOS REGISTRADOS</w:t>
      </w:r>
    </w:p>
    <w:p>
      <w:pPr>
        <w:pStyle w:val="Nivel2"/>
        <w:numPr>
          <w:ilvl w:val="1"/>
          <w:numId w:val="3"/>
        </w:numPr>
        <w:ind w:hanging="0" w:left="0"/>
        <w:rPr>
          <w:color w:val="auto"/>
          <w:sz w:val="22"/>
          <w:szCs w:val="22"/>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3"/>
        </w:numPr>
        <w:ind w:hanging="0" w:left="0"/>
        <w:rPr>
          <w:color w:val="auto"/>
          <w:sz w:val="22"/>
          <w:szCs w:val="22"/>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3"/>
        </w:numPr>
        <w:ind w:hanging="0" w:left="0"/>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3"/>
        </w:numPr>
        <w:ind w:hanging="0" w:left="0"/>
        <w:rPr>
          <w:color w:val="auto"/>
          <w:sz w:val="22"/>
          <w:szCs w:val="22"/>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0" w:name="reducao_preco_mercado_negociacao_frustra"/>
      <w:bookmarkEnd w:id="40"/>
    </w:p>
    <w:p>
      <w:pPr>
        <w:pStyle w:val="Nvel3"/>
        <w:numPr>
          <w:ilvl w:val="2"/>
          <w:numId w:val="3"/>
        </w:numPr>
        <w:ind w:hanging="0" w:left="0"/>
        <w:rPr>
          <w:color w:val="auto"/>
          <w:sz w:val="22"/>
          <w:szCs w:val="22"/>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3"/>
        </w:numPr>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pPr>
        <w:pStyle w:val="Nvel3"/>
        <w:numPr>
          <w:ilvl w:val="2"/>
          <w:numId w:val="3"/>
        </w:numPr>
        <w:ind w:hanging="0" w:left="0"/>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pPr>
        <w:pStyle w:val="Nvel3"/>
        <w:numPr>
          <w:ilvl w:val="2"/>
          <w:numId w:val="3"/>
        </w:numPr>
        <w:ind w:hanging="0" w:left="0"/>
        <w:rPr>
          <w:color w:val="auto"/>
          <w:sz w:val="22"/>
          <w:szCs w:val="22"/>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3"/>
        </w:numPr>
        <w:ind w:hanging="0" w:left="0"/>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3"/>
        </w:numPr>
        <w:ind w:hanging="0" w:left="0"/>
        <w:rPr>
          <w:color w:val="auto"/>
          <w:sz w:val="22"/>
          <w:szCs w:val="22"/>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3"/>
        </w:numPr>
        <w:ind w:hanging="0" w:left="0"/>
        <w:rPr>
          <w:color w:val="auto"/>
          <w:sz w:val="22"/>
          <w:szCs w:val="22"/>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3"/>
        </w:numPr>
        <w:ind w:hanging="0" w:left="0"/>
        <w:rPr>
          <w:color w:val="auto"/>
          <w:sz w:val="22"/>
          <w:szCs w:val="22"/>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3"/>
        </w:numPr>
        <w:spacing w:lineRule="auto" w:line="276"/>
        <w:rPr>
          <w:sz w:val="22"/>
          <w:szCs w:val="22"/>
        </w:rPr>
      </w:pPr>
      <w:r>
        <w:rPr>
          <w:sz w:val="22"/>
          <w:szCs w:val="22"/>
        </w:rPr>
        <w:t>REMANEJAMENTO DAS QUANTIDADES REGISTRADAS NA ATA DE REGISTRO DE PREÇOS</w:t>
      </w:r>
    </w:p>
    <w:p>
      <w:pPr>
        <w:pStyle w:val="Nivel2"/>
        <w:numPr>
          <w:ilvl w:val="1"/>
          <w:numId w:val="3"/>
        </w:numPr>
        <w:ind w:hanging="0" w:left="0"/>
        <w:rPr>
          <w:color w:val="auto"/>
          <w:sz w:val="22"/>
          <w:szCs w:val="22"/>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3"/>
        </w:numPr>
        <w:ind w:hanging="0" w:left="0"/>
        <w:rPr>
          <w:color w:val="auto"/>
          <w:sz w:val="22"/>
          <w:szCs w:val="22"/>
        </w:rPr>
      </w:pPr>
      <w:r>
        <w:rPr>
          <w:rFonts w:eastAsia="Arial"/>
          <w:color w:val="auto"/>
          <w:sz w:val="22"/>
          <w:szCs w:val="22"/>
        </w:rPr>
        <w:t xml:space="preserve"> </w:t>
      </w:r>
      <w:r>
        <w:rPr>
          <w:color w:val="auto"/>
          <w:sz w:val="22"/>
          <w:szCs w:val="22"/>
        </w:rPr>
        <w:t>O remanejamento somente poderá ser feito:</w:t>
      </w:r>
    </w:p>
    <w:p>
      <w:pPr>
        <w:pStyle w:val="Nvel3"/>
        <w:numPr>
          <w:ilvl w:val="2"/>
          <w:numId w:val="3"/>
        </w:numPr>
        <w:ind w:hanging="0" w:left="0"/>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3"/>
        </w:numPr>
        <w:ind w:hanging="0" w:left="0"/>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3"/>
        </w:numPr>
        <w:ind w:hanging="0" w:left="0"/>
        <w:rPr>
          <w:color w:val="auto"/>
          <w:sz w:val="22"/>
          <w:szCs w:val="22"/>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3" w:name="gerenciador_estimador_é_partic_em_remane"/>
      <w:bookmarkEnd w:id="43"/>
    </w:p>
    <w:p>
      <w:pPr>
        <w:pStyle w:val="Nivel01"/>
        <w:numPr>
          <w:ilvl w:val="0"/>
          <w:numId w:val="3"/>
        </w:numPr>
        <w:tabs>
          <w:tab w:val="clear" w:pos="567"/>
          <w:tab w:val="left" w:pos="284" w:leader="none"/>
        </w:tabs>
        <w:spacing w:lineRule="auto" w:line="276"/>
        <w:ind w:hanging="0" w:left="0"/>
        <w:rPr>
          <w:sz w:val="22"/>
          <w:szCs w:val="22"/>
        </w:rPr>
      </w:pPr>
      <w:r>
        <w:rPr>
          <w:sz w:val="22"/>
          <w:szCs w:val="22"/>
        </w:rPr>
        <w:t>CANCELAMENTO DO REGISTRO DO LICITANTE VENCEDOR E DOS PREÇOS REGISTRADOS</w:t>
      </w:r>
      <w:bookmarkStart w:id="44" w:name="cancelamento"/>
      <w:bookmarkEnd w:id="44"/>
    </w:p>
    <w:p>
      <w:pPr>
        <w:pStyle w:val="Nivel2"/>
        <w:numPr>
          <w:ilvl w:val="1"/>
          <w:numId w:val="3"/>
        </w:numPr>
        <w:tabs>
          <w:tab w:val="clear" w:pos="0"/>
          <w:tab w:val="left" w:pos="142" w:leader="none"/>
        </w:tabs>
        <w:ind w:hanging="0" w:left="0"/>
        <w:rPr>
          <w:color w:val="auto"/>
          <w:sz w:val="22"/>
          <w:szCs w:val="22"/>
        </w:rPr>
      </w:pPr>
      <w:r>
        <w:rPr>
          <w:color w:val="auto"/>
          <w:sz w:val="22"/>
          <w:szCs w:val="22"/>
        </w:rPr>
        <w:t>O registro do fornecedor será cancelado pelo gerenciador, quando o fornecedor:</w:t>
      </w:r>
      <w:bookmarkStart w:id="45" w:name="cancelamento_do_fornecedor"/>
      <w:bookmarkEnd w:id="45"/>
    </w:p>
    <w:p>
      <w:pPr>
        <w:pStyle w:val="Nvel3"/>
        <w:numPr>
          <w:ilvl w:val="2"/>
          <w:numId w:val="3"/>
        </w:numPr>
        <w:tabs>
          <w:tab w:val="clear" w:pos="0"/>
          <w:tab w:val="left" w:pos="142" w:leader="none"/>
        </w:tabs>
        <w:ind w:hanging="0" w:left="0"/>
        <w:rPr>
          <w:color w:val="auto"/>
          <w:sz w:val="22"/>
          <w:szCs w:val="22"/>
        </w:rPr>
      </w:pPr>
      <w:r>
        <w:rPr>
          <w:color w:val="auto"/>
          <w:sz w:val="22"/>
          <w:szCs w:val="22"/>
        </w:rPr>
        <w:t>Descumprir as condições da ata de registro de preços, sem motivo justificado;</w:t>
      </w:r>
    </w:p>
    <w:p>
      <w:pPr>
        <w:pStyle w:val="Nvel3"/>
        <w:numPr>
          <w:ilvl w:val="2"/>
          <w:numId w:val="3"/>
        </w:numPr>
        <w:tabs>
          <w:tab w:val="clear" w:pos="0"/>
          <w:tab w:val="left" w:pos="142" w:leader="none"/>
        </w:tabs>
        <w:ind w:hanging="0" w:left="0"/>
        <w:rPr>
          <w:color w:val="auto"/>
          <w:sz w:val="22"/>
          <w:szCs w:val="22"/>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3"/>
        </w:numPr>
        <w:tabs>
          <w:tab w:val="clear" w:pos="0"/>
          <w:tab w:val="left" w:pos="142" w:leader="none"/>
        </w:tabs>
        <w:ind w:hanging="0" w:left="0"/>
        <w:rPr>
          <w:color w:val="auto"/>
          <w:sz w:val="22"/>
          <w:szCs w:val="22"/>
        </w:rPr>
      </w:pPr>
      <w:r>
        <w:rPr>
          <w:color w:val="auto"/>
          <w:sz w:val="22"/>
          <w:szCs w:val="22"/>
        </w:rPr>
        <w:t>Sofrer sanção prevista nos incisos III ou IV do caput do art. 156 da Lei nº 14.133, de 2021.</w:t>
      </w:r>
    </w:p>
    <w:p>
      <w:pPr>
        <w:pStyle w:val="Nvel4"/>
        <w:tabs>
          <w:tab w:val="left" w:pos="142" w:leader="none"/>
        </w:tabs>
        <w:ind w:hanging="0" w:left="0"/>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3"/>
        </w:numPr>
        <w:tabs>
          <w:tab w:val="clear" w:pos="0"/>
          <w:tab w:val="left" w:pos="142" w:leader="none"/>
        </w:tabs>
        <w:ind w:hanging="0" w:left="0"/>
        <w:rPr>
          <w:color w:val="auto"/>
          <w:sz w:val="22"/>
          <w:szCs w:val="22"/>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3"/>
        </w:numPr>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3"/>
        </w:numPr>
        <w:ind w:hanging="0" w:left="0"/>
        <w:rPr>
          <w:color w:val="auto"/>
          <w:sz w:val="22"/>
          <w:szCs w:val="22"/>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46" w:name="cancelamento_da_ata"/>
      <w:bookmarkEnd w:id="46"/>
      <w:r>
        <w:rPr>
          <w:color w:val="auto"/>
          <w:sz w:val="22"/>
          <w:szCs w:val="22"/>
        </w:rPr>
        <w:t xml:space="preserve"> </w:t>
      </w:r>
    </w:p>
    <w:p>
      <w:pPr>
        <w:pStyle w:val="Nvel3"/>
        <w:numPr>
          <w:ilvl w:val="2"/>
          <w:numId w:val="3"/>
        </w:numPr>
        <w:ind w:hanging="0" w:left="0"/>
        <w:rPr>
          <w:color w:val="auto"/>
          <w:sz w:val="22"/>
          <w:szCs w:val="22"/>
        </w:rPr>
      </w:pPr>
      <w:r>
        <w:rPr>
          <w:color w:val="auto"/>
          <w:sz w:val="22"/>
          <w:szCs w:val="22"/>
        </w:rPr>
        <w:t>Por razão de interesse público;</w:t>
      </w:r>
    </w:p>
    <w:p>
      <w:pPr>
        <w:pStyle w:val="Nvel3"/>
        <w:numPr>
          <w:ilvl w:val="2"/>
          <w:numId w:val="3"/>
        </w:numPr>
        <w:ind w:hanging="0" w:left="0"/>
        <w:rPr>
          <w:color w:val="auto"/>
          <w:sz w:val="22"/>
          <w:szCs w:val="22"/>
        </w:rPr>
      </w:pPr>
      <w:r>
        <w:rPr>
          <w:color w:val="auto"/>
          <w:sz w:val="22"/>
          <w:szCs w:val="22"/>
        </w:rPr>
        <w:t>A pedido do fornecedor, decorrente de caso fortuito ou força maior; ou</w:t>
      </w:r>
    </w:p>
    <w:p>
      <w:pPr>
        <w:pStyle w:val="Nvel3"/>
        <w:numPr>
          <w:ilvl w:val="2"/>
          <w:numId w:val="3"/>
        </w:numPr>
        <w:ind w:hanging="0" w:left="0"/>
        <w:rPr>
          <w:color w:val="auto"/>
          <w:sz w:val="22"/>
          <w:szCs w:val="22"/>
        </w:rPr>
      </w:pPr>
      <w:r>
        <w:rPr>
          <w:color w:val="auto"/>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3"/>
        </w:numPr>
        <w:spacing w:lineRule="auto" w:line="276"/>
        <w:rPr>
          <w:sz w:val="22"/>
          <w:szCs w:val="22"/>
        </w:rPr>
      </w:pPr>
      <w:r>
        <w:rPr>
          <w:sz w:val="22"/>
          <w:szCs w:val="22"/>
        </w:rPr>
        <w:t>DAS PENALIDADES</w:t>
      </w:r>
    </w:p>
    <w:p>
      <w:pPr>
        <w:pStyle w:val="Nivel2"/>
        <w:numPr>
          <w:ilvl w:val="1"/>
          <w:numId w:val="3"/>
        </w:numPr>
        <w:ind w:hanging="0" w:left="0"/>
        <w:rPr>
          <w:color w:val="auto"/>
          <w:sz w:val="22"/>
          <w:szCs w:val="22"/>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3"/>
        </w:numPr>
        <w:ind w:hanging="0" w:left="0"/>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3"/>
        </w:numPr>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3"/>
        </w:numPr>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3"/>
        </w:numPr>
        <w:spacing w:lineRule="auto" w:line="276"/>
        <w:rPr>
          <w:sz w:val="22"/>
          <w:szCs w:val="22"/>
        </w:rPr>
      </w:pPr>
      <w:r>
        <w:rPr>
          <w:sz w:val="22"/>
          <w:szCs w:val="22"/>
        </w:rPr>
        <w:t>CONDIÇÕES GERAIS</w:t>
      </w:r>
    </w:p>
    <w:p>
      <w:pPr>
        <w:pStyle w:val="Nivel2"/>
        <w:numPr>
          <w:ilvl w:val="1"/>
          <w:numId w:val="3"/>
        </w:numPr>
        <w:ind w:hanging="0" w:left="0"/>
        <w:rPr>
          <w:color w:val="auto"/>
          <w:sz w:val="22"/>
          <w:szCs w:val="22"/>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vel2-Red"/>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ormal"/>
        <w:widowControl w:val="false"/>
        <w:spacing w:lineRule="auto" w:line="276" w:before="120" w:after="120"/>
        <w:jc w:val="both"/>
        <w:rPr>
          <w:rFonts w:ascii="Arial" w:hAnsi="Arial" w:cs="Arial"/>
          <w:sz w:val="22"/>
          <w:szCs w:val="22"/>
        </w:rPr>
      </w:pPr>
      <w:r>
        <w:rPr>
          <w:rFonts w:cs="Arial" w:ascii="Arial" w:hAnsi="Arial"/>
          <w:sz w:val="22"/>
          <w:szCs w:val="22"/>
        </w:rPr>
        <w:t>Para firmeza e validade do pactuado, a presente Ata foi lavrada em uma única via, que, depois de lida e achada em ordem, vai assinada pelas partes.</w:t>
      </w:r>
    </w:p>
    <w:p>
      <w:pPr>
        <w:pStyle w:val="Normal"/>
        <w:widowControl w:val="false"/>
        <w:spacing w:lineRule="auto" w:line="276"/>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276"/>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276"/>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276"/>
        <w:jc w:val="center"/>
        <w:rPr>
          <w:rFonts w:ascii="Arial" w:hAnsi="Arial" w:cs="Arial"/>
          <w:b/>
          <w:bCs/>
          <w:sz w:val="22"/>
          <w:szCs w:val="22"/>
        </w:rPr>
      </w:pPr>
      <w:r>
        <w:rPr>
          <w:rFonts w:cs="Arial" w:ascii="Arial" w:hAnsi="Arial"/>
          <w:b/>
          <w:bCs/>
          <w:sz w:val="22"/>
          <w:szCs w:val="22"/>
        </w:rPr>
        <w:t>THOMÁS ANTÔNIO CAPELETTO DE OLIVEIRA</w:t>
      </w:r>
    </w:p>
    <w:p>
      <w:pPr>
        <w:pStyle w:val="Normal"/>
        <w:spacing w:lineRule="auto" w:line="276"/>
        <w:jc w:val="center"/>
        <w:rPr>
          <w:rFonts w:ascii="Arial" w:hAnsi="Arial" w:cs="Arial"/>
          <w:b/>
          <w:sz w:val="22"/>
          <w:szCs w:val="22"/>
        </w:rPr>
      </w:pPr>
      <w:r>
        <w:rPr>
          <w:rFonts w:cs="Arial" w:ascii="Arial" w:hAnsi="Arial"/>
          <w:b/>
          <w:sz w:val="22"/>
          <w:szCs w:val="22"/>
        </w:rPr>
        <w:t>PREFEITO MUNICIPAL</w:t>
      </w:r>
    </w:p>
    <w:p>
      <w:pPr>
        <w:pStyle w:val="Normal"/>
        <w:spacing w:lineRule="auto" w:line="276"/>
        <w:jc w:val="center"/>
        <w:rPr>
          <w:rFonts w:ascii="Arial" w:hAnsi="Arial" w:cs="Arial"/>
          <w:b/>
          <w:sz w:val="22"/>
          <w:szCs w:val="22"/>
        </w:rPr>
      </w:pPr>
      <w:r>
        <w:rPr>
          <w:rFonts w:cs="Arial" w:ascii="Arial" w:hAnsi="Arial"/>
          <w:b/>
          <w:sz w:val="22"/>
          <w:szCs w:val="22"/>
        </w:rPr>
      </w:r>
    </w:p>
    <w:p>
      <w:pPr>
        <w:pStyle w:val="Normal"/>
        <w:spacing w:lineRule="auto" w:line="276"/>
        <w:jc w:val="center"/>
        <w:rPr>
          <w:rFonts w:ascii="Arial" w:hAnsi="Arial" w:cs="Arial"/>
          <w:b/>
          <w:sz w:val="22"/>
          <w:szCs w:val="22"/>
        </w:rPr>
      </w:pPr>
      <w:r>
        <w:rPr>
          <w:rFonts w:cs="Arial" w:ascii="Arial" w:hAnsi="Arial"/>
          <w:b/>
          <w:sz w:val="22"/>
          <w:szCs w:val="22"/>
        </w:rPr>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t>___________________________________</w:t>
      </w:r>
    </w:p>
    <w:p>
      <w:pPr>
        <w:pStyle w:val="Normal"/>
        <w:tabs>
          <w:tab w:val="clear" w:pos="709"/>
          <w:tab w:val="left" w:pos="1620" w:leader="none"/>
          <w:tab w:val="left" w:pos="3210" w:leader="none"/>
        </w:tabs>
        <w:spacing w:lineRule="auto" w:line="276"/>
        <w:jc w:val="center"/>
        <w:rPr>
          <w:rFonts w:ascii="Arial" w:hAnsi="Arial" w:cs="Arial"/>
          <w:b/>
          <w:sz w:val="22"/>
          <w:szCs w:val="22"/>
        </w:rPr>
      </w:pPr>
      <w:r>
        <w:rPr>
          <w:rFonts w:cs="Arial" w:ascii="Arial" w:hAnsi="Arial"/>
          <w:b/>
          <w:sz w:val="22"/>
          <w:szCs w:val="22"/>
        </w:rPr>
        <w:t>Fornecedor</w:t>
      </w:r>
    </w:p>
    <w:p>
      <w:pPr>
        <w:pStyle w:val="Normal"/>
        <w:tabs>
          <w:tab w:val="clear" w:pos="709"/>
          <w:tab w:val="left" w:pos="1620" w:leader="none"/>
          <w:tab w:val="left" w:pos="3210" w:leader="none"/>
        </w:tabs>
        <w:spacing w:lineRule="auto" w:line="276"/>
        <w:rPr>
          <w:rFonts w:ascii="Arial" w:hAnsi="Arial" w:cs="Arial"/>
          <w:b/>
          <w:sz w:val="22"/>
          <w:szCs w:val="22"/>
        </w:rPr>
      </w:pPr>
      <w:r>
        <w:rPr>
          <w:rFonts w:cs="Arial" w:ascii="Arial" w:hAnsi="Arial"/>
          <w:b/>
          <w:sz w:val="22"/>
          <w:szCs w:val="22"/>
        </w:rPr>
      </w:r>
    </w:p>
    <w:p>
      <w:pPr>
        <w:pStyle w:val="Normal"/>
        <w:tabs>
          <w:tab w:val="clear" w:pos="709"/>
          <w:tab w:val="left" w:pos="1620" w:leader="none"/>
          <w:tab w:val="left" w:pos="3210" w:leader="none"/>
        </w:tabs>
        <w:spacing w:lineRule="auto" w:line="276"/>
        <w:rPr>
          <w:rFonts w:ascii="Arial" w:hAnsi="Arial" w:cs="Arial"/>
          <w:b/>
          <w:sz w:val="22"/>
          <w:szCs w:val="22"/>
        </w:rPr>
      </w:pPr>
      <w:r>
        <w:rPr>
          <w:rFonts w:cs="Arial" w:ascii="Arial" w:hAnsi="Arial"/>
          <w:b/>
          <w:sz w:val="22"/>
          <w:szCs w:val="22"/>
        </w:rPr>
      </w:r>
    </w:p>
    <w:p>
      <w:pPr>
        <w:pStyle w:val="Normal"/>
        <w:tabs>
          <w:tab w:val="clear" w:pos="709"/>
          <w:tab w:val="left" w:pos="1620" w:leader="none"/>
          <w:tab w:val="left" w:pos="3210" w:leader="none"/>
        </w:tabs>
        <w:spacing w:lineRule="auto" w:line="276"/>
        <w:jc w:val="center"/>
        <w:rPr>
          <w:rFonts w:ascii="Arial" w:hAnsi="Arial" w:cs="Arial"/>
          <w:b/>
          <w:bCs/>
          <w:sz w:val="22"/>
          <w:szCs w:val="22"/>
          <w:lang w:val="en-US"/>
        </w:rPr>
      </w:pPr>
      <w:r>
        <w:rPr>
          <w:rFonts w:cs="Arial" w:ascii="Arial" w:hAnsi="Arial"/>
          <w:b/>
          <w:bCs/>
          <w:sz w:val="22"/>
          <w:szCs w:val="22"/>
          <w:lang w:val="en-US"/>
        </w:rPr>
        <w:t>____________________________________</w:t>
      </w:r>
    </w:p>
    <w:p>
      <w:pPr>
        <w:pStyle w:val="Normal"/>
        <w:tabs>
          <w:tab w:val="clear" w:pos="709"/>
          <w:tab w:val="left" w:pos="1620" w:leader="none"/>
        </w:tabs>
        <w:spacing w:lineRule="auto" w:line="276"/>
        <w:jc w:val="center"/>
        <w:rPr>
          <w:rFonts w:ascii="Arial" w:hAnsi="Arial" w:cs="Arial"/>
          <w:b/>
          <w:bCs/>
          <w:sz w:val="22"/>
          <w:szCs w:val="22"/>
          <w:lang w:val="en-US"/>
        </w:rPr>
      </w:pPr>
      <w:r>
        <w:rPr>
          <w:rFonts w:cs="Arial" w:ascii="Arial" w:hAnsi="Arial"/>
          <w:b/>
          <w:bCs/>
          <w:sz w:val="22"/>
          <w:szCs w:val="22"/>
          <w:lang w:val="en-US"/>
        </w:rPr>
        <w:t>ADRIANA STOCCO</w:t>
      </w:r>
    </w:p>
    <w:p>
      <w:pPr>
        <w:pStyle w:val="Normal"/>
        <w:tabs>
          <w:tab w:val="clear" w:pos="709"/>
          <w:tab w:val="left" w:pos="1620" w:leader="none"/>
        </w:tabs>
        <w:spacing w:lineRule="auto" w:line="276"/>
        <w:jc w:val="center"/>
        <w:rPr>
          <w:rFonts w:ascii="Arial" w:hAnsi="Arial" w:cs="Arial"/>
          <w:b/>
          <w:bCs/>
          <w:sz w:val="22"/>
          <w:szCs w:val="22"/>
          <w:lang w:val="en-US"/>
        </w:rPr>
      </w:pPr>
      <w:r>
        <w:rPr>
          <w:rFonts w:cs="Arial" w:ascii="Arial" w:hAnsi="Arial"/>
          <w:b/>
          <w:bCs/>
          <w:sz w:val="22"/>
          <w:szCs w:val="22"/>
          <w:lang w:val="en-US"/>
        </w:rPr>
        <w:t>RG 28.024.701-1</w:t>
      </w:r>
    </w:p>
    <w:p>
      <w:pPr>
        <w:pStyle w:val="Normal"/>
        <w:tabs>
          <w:tab w:val="clear" w:pos="709"/>
          <w:tab w:val="left" w:pos="1620" w:leader="none"/>
        </w:tabs>
        <w:spacing w:lineRule="auto" w:line="276"/>
        <w:jc w:val="center"/>
        <w:rPr>
          <w:rFonts w:ascii="Arial" w:hAnsi="Arial" w:cs="Arial"/>
          <w:b/>
          <w:bCs/>
          <w:sz w:val="22"/>
          <w:szCs w:val="22"/>
          <w:lang w:val="en-US"/>
        </w:rPr>
      </w:pPr>
      <w:r>
        <w:rPr>
          <w:rFonts w:cs="Arial" w:ascii="Arial" w:hAnsi="Arial"/>
          <w:b/>
          <w:bCs/>
          <w:sz w:val="22"/>
          <w:szCs w:val="22"/>
          <w:lang w:val="en-US"/>
        </w:rPr>
      </w:r>
    </w:p>
    <w:p>
      <w:pPr>
        <w:pStyle w:val="Normal"/>
        <w:tabs>
          <w:tab w:val="clear" w:pos="709"/>
          <w:tab w:val="left" w:pos="1620" w:leader="none"/>
        </w:tabs>
        <w:spacing w:lineRule="auto" w:line="276"/>
        <w:jc w:val="center"/>
        <w:rPr>
          <w:rFonts w:ascii="Arial" w:hAnsi="Arial" w:cs="Arial"/>
          <w:b/>
          <w:sz w:val="22"/>
          <w:szCs w:val="22"/>
        </w:rPr>
      </w:pPr>
      <w:r>
        <w:rPr>
          <w:rFonts w:cs="Arial" w:ascii="Arial" w:hAnsi="Arial"/>
          <w:b/>
          <w:sz w:val="22"/>
          <w:szCs w:val="22"/>
        </w:rPr>
        <w:t>________________________________</w:t>
      </w:r>
    </w:p>
    <w:p>
      <w:pPr>
        <w:pStyle w:val="Normal"/>
        <w:tabs>
          <w:tab w:val="clear" w:pos="709"/>
          <w:tab w:val="left" w:pos="1620" w:leader="none"/>
        </w:tabs>
        <w:spacing w:lineRule="auto" w:line="276"/>
        <w:jc w:val="center"/>
        <w:rPr>
          <w:rFonts w:ascii="Arial" w:hAnsi="Arial" w:cs="Arial"/>
          <w:b/>
          <w:bCs/>
          <w:sz w:val="22"/>
          <w:szCs w:val="22"/>
        </w:rPr>
      </w:pPr>
      <w:r>
        <w:rPr>
          <w:rFonts w:cs="Arial" w:ascii="Arial" w:hAnsi="Arial"/>
          <w:b/>
          <w:bCs/>
          <w:sz w:val="22"/>
          <w:szCs w:val="22"/>
        </w:rPr>
        <w:t>ADRIANA DE OLIVEIRA SCHIAVINATTO</w:t>
      </w:r>
    </w:p>
    <w:p>
      <w:pPr>
        <w:pStyle w:val="Normal"/>
        <w:tabs>
          <w:tab w:val="clear" w:pos="709"/>
          <w:tab w:val="left" w:pos="1620" w:leader="none"/>
        </w:tabs>
        <w:spacing w:lineRule="auto" w:line="276"/>
        <w:jc w:val="center"/>
        <w:rPr>
          <w:rFonts w:ascii="Arial" w:hAnsi="Arial" w:cs="Arial"/>
          <w:b/>
          <w:bCs/>
          <w:sz w:val="22"/>
          <w:szCs w:val="22"/>
          <w:lang w:val="en-US"/>
        </w:rPr>
      </w:pPr>
      <w:r>
        <w:rPr>
          <w:rFonts w:cs="Arial" w:ascii="Arial" w:hAnsi="Arial"/>
          <w:b/>
          <w:bCs/>
          <w:sz w:val="22"/>
          <w:szCs w:val="22"/>
          <w:lang w:val="en-US"/>
        </w:rPr>
        <w:t>RG 34.464.785-7</w:t>
      </w:r>
    </w:p>
    <w:p>
      <w:pPr>
        <w:pStyle w:val="Normal"/>
        <w:tabs>
          <w:tab w:val="clear" w:pos="709"/>
          <w:tab w:val="left" w:pos="2345" w:leader="none"/>
        </w:tabs>
        <w:spacing w:lineRule="auto" w:line="276"/>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t>Anexo I -  ATA</w:t>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276"/>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276"/>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ind w:right="-30"/>
              <w:jc w:val="both"/>
              <w:rPr>
                <w:rFonts w:ascii="Arial" w:hAnsi="Arial" w:cs="Arial"/>
                <w:sz w:val="22"/>
                <w:szCs w:val="22"/>
              </w:rPr>
            </w:pPr>
            <w:bookmarkStart w:id="47" w:name="_Hlk159838635"/>
            <w:bookmarkEnd w:id="47"/>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276"/>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r>
    </w:tbl>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widowControl w:val="false"/>
        <w:spacing w:lineRule="auto" w:line="276"/>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276"/>
        <w:ind w:right="-30"/>
        <w:jc w:val="both"/>
        <w:rPr>
          <w:rFonts w:ascii="Arial" w:hAnsi="Arial" w:cs="Arial"/>
          <w:sz w:val="22"/>
          <w:szCs w:val="22"/>
        </w:rPr>
      </w:pPr>
      <w:r>
        <w:rPr>
          <w:rFonts w:cs="Arial" w:ascii="Arial" w:hAnsi="Arial"/>
          <w:sz w:val="22"/>
          <w:szCs w:val="22"/>
        </w:rPr>
      </w:r>
    </w:p>
    <w:tbl>
      <w:tblPr>
        <w:tblW w:w="8957"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276"/>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276"/>
              <w:jc w:val="center"/>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276"/>
              <w:jc w:val="both"/>
              <w:rPr>
                <w:rFonts w:ascii="Arial" w:hAnsi="Arial" w:cs="Arial"/>
                <w:sz w:val="22"/>
                <w:szCs w:val="22"/>
              </w:rPr>
            </w:pPr>
            <w:r>
              <w:rPr>
                <w:rFonts w:cs="Arial" w:ascii="Arial" w:hAnsi="Arial"/>
                <w:sz w:val="22"/>
                <w:szCs w:val="22"/>
              </w:rPr>
            </w:r>
          </w:p>
        </w:tc>
      </w:tr>
    </w:tbl>
    <w:p>
      <w:pPr>
        <w:pStyle w:val="Normal"/>
        <w:widowControl w:val="false"/>
        <w:spacing w:lineRule="auto" w:line="276"/>
        <w:ind w:right="-30"/>
        <w:jc w:val="both"/>
        <w:rPr>
          <w:rFonts w:ascii="Arial" w:hAnsi="Arial" w:cs="Arial"/>
          <w:sz w:val="22"/>
          <w:szCs w:val="22"/>
        </w:rPr>
      </w:pPr>
      <w:r>
        <w:rPr>
          <w:rFonts w:cs="Arial" w:ascii="Arial" w:hAnsi="Arial"/>
          <w:sz w:val="22"/>
          <w:szCs w:val="22"/>
        </w:rPr>
      </w:r>
    </w:p>
    <w:p>
      <w:pPr>
        <w:pStyle w:val="Normal"/>
        <w:spacing w:lineRule="auto" w:line="276"/>
        <w:ind w:right="-54"/>
        <w:jc w:val="both"/>
        <w:rPr>
          <w:rFonts w:ascii="Arial" w:hAnsi="Arial" w:cs="Arial"/>
          <w:bCs/>
          <w:sz w:val="22"/>
          <w:szCs w:val="22"/>
          <w:u w:val="single"/>
        </w:rPr>
      </w:pPr>
      <w:r>
        <w:drawing>
          <wp:anchor behindDoc="0" distT="0" distB="0" distL="0" distR="0" simplePos="0" locked="0" layoutInCell="0" allowOverlap="1" relativeHeight="96">
            <wp:simplePos x="0" y="0"/>
            <wp:positionH relativeFrom="column">
              <wp:posOffset>-267335</wp:posOffset>
            </wp:positionH>
            <wp:positionV relativeFrom="paragraph">
              <wp:posOffset>294005</wp:posOffset>
            </wp:positionV>
            <wp:extent cx="6227445" cy="7387590"/>
            <wp:effectExtent l="0" t="0" r="0" b="0"/>
            <wp:wrapSquare wrapText="bothSides"/>
            <wp:docPr id="1" name="ole_rI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descr=""/>
                    <pic:cNvPicPr>
                      <a:picLocks noChangeAspect="1" noChangeArrowheads="1"/>
                    </pic:cNvPicPr>
                  </pic:nvPicPr>
                  <pic:blipFill>
                    <a:blip r:embed="rId15"/>
                    <a:stretch>
                      <a:fillRect/>
                    </a:stretch>
                  </pic:blipFill>
                  <pic:spPr bwMode="auto">
                    <a:xfrm>
                      <a:off x="0" y="0"/>
                      <a:ext cx="6227445" cy="7387590"/>
                    </a:xfrm>
                    <a:prstGeom prst="rect">
                      <a:avLst/>
                    </a:prstGeom>
                    <a:noFill/>
                  </pic:spPr>
                </pic:pic>
              </a:graphicData>
            </a:graphic>
          </wp:anchor>
        </w:drawing>
      </w:r>
      <w:r>
        <w:rPr>
          <w:rFonts w:cs="Arial" w:ascii="Arial" w:hAnsi="Arial"/>
          <w:b/>
          <w:bCs/>
          <w:sz w:val="22"/>
          <w:szCs w:val="22"/>
        </w:rPr>
        <w:t>ANEXO VII</w:t>
      </w:r>
    </w:p>
    <w:p>
      <w:pPr>
        <w:pStyle w:val="Heading1"/>
        <w:numPr>
          <w:ilvl w:val="0"/>
          <w:numId w:val="1"/>
        </w:numPr>
        <w:tabs>
          <w:tab w:val="clear" w:pos="709"/>
          <w:tab w:val="left" w:pos="0" w:leader="none"/>
          <w:tab w:val="left" w:pos="1440" w:leader="none"/>
        </w:tabs>
        <w:spacing w:lineRule="auto" w:line="276"/>
        <w:jc w:val="center"/>
        <w:rPr>
          <w:bCs w:val="false"/>
          <w:sz w:val="22"/>
          <w:szCs w:val="22"/>
          <w:u w:val="single"/>
        </w:rPr>
      </w:pPr>
      <w:r>
        <w:rPr>
          <w:bCs w:val="false"/>
          <w:sz w:val="22"/>
          <w:szCs w:val="22"/>
          <w:u w:val="single"/>
        </w:rPr>
        <w:t>TERMO DE RECEBIMENTO DO EDITAL</w:t>
      </w:r>
    </w:p>
    <w:p>
      <w:pPr>
        <w:pStyle w:val="Normal"/>
        <w:tabs>
          <w:tab w:val="clear" w:pos="709"/>
          <w:tab w:val="left" w:pos="1440" w:leader="none"/>
          <w:tab w:val="left" w:pos="5213" w:leader="none"/>
        </w:tabs>
        <w:spacing w:lineRule="auto" w:line="276" w:before="57" w:after="57"/>
        <w:jc w:val="both"/>
        <w:rPr>
          <w:rFonts w:ascii="Arial" w:hAnsi="Arial" w:cs="Arial"/>
          <w:sz w:val="22"/>
          <w:szCs w:val="22"/>
        </w:rPr>
      </w:pPr>
      <w:r>
        <w:rPr>
          <w:rFonts w:cs="Arial" w:ascii="Arial" w:hAnsi="Arial"/>
          <w:sz w:val="22"/>
          <w:szCs w:val="22"/>
        </w:rPr>
      </w:r>
    </w:p>
    <w:p>
      <w:pPr>
        <w:pStyle w:val="Normal"/>
        <w:tabs>
          <w:tab w:val="clear" w:pos="709"/>
          <w:tab w:val="left" w:pos="1440" w:leader="none"/>
          <w:tab w:val="left" w:pos="5213" w:leader="none"/>
        </w:tabs>
        <w:spacing w:lineRule="auto" w:line="276" w:before="57" w:after="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34/2026. Objeto: </w:t>
      </w:r>
      <w:r>
        <w:rPr>
          <w:rFonts w:cs="Arial" w:ascii="Arial" w:hAnsi="Arial"/>
          <w:sz w:val="22"/>
          <w:szCs w:val="22"/>
        </w:rPr>
        <w:t>O Registro de Preço pelo prazo de 12 (doze) meses, para eventual aquisição de suplemento alimentar.</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spacing w:lineRule="auto" w:line="276"/>
        <w:ind w:right="-57"/>
        <w:jc w:val="both"/>
        <w:rPr>
          <w:rFonts w:ascii="Arial" w:hAnsi="Arial" w:cs="Arial"/>
          <w:b/>
          <w:bCs/>
          <w:sz w:val="22"/>
          <w:szCs w:val="22"/>
        </w:rPr>
      </w:pPr>
      <w:r>
        <w:rPr>
          <w:rFonts w:cs="Arial" w:ascii="Arial" w:hAnsi="Arial"/>
          <w:b/>
          <w:bCs/>
          <w:sz w:val="22"/>
          <w:szCs w:val="22"/>
        </w:rPr>
      </w:r>
      <w:bookmarkStart w:id="48" w:name="_Hlk183442727"/>
      <w:bookmarkStart w:id="49" w:name="_Hlk183442727"/>
      <w:bookmarkEnd w:id="49"/>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b/>
          <w:bCs/>
          <w:sz w:val="22"/>
          <w:szCs w:val="22"/>
        </w:rPr>
        <w:t>Pregão Eletrônico Nº 34/2026, Edital Nº 48/2026</w:t>
      </w:r>
      <w:r>
        <w:rPr>
          <w:rFonts w:cs="Arial" w:ascii="Arial" w:hAnsi="Arial"/>
          <w:sz w:val="22"/>
          <w:szCs w:val="22"/>
        </w:rPr>
        <w:t xml:space="preserve">, Tipo Menor Preço por Item. Objeto: O Registro de Preço para 12 meses, para eventual aquisição de suplemento alimentar. Os cadastros das Propostas serão recebidos até o dia </w:t>
      </w:r>
      <w:r>
        <w:rPr>
          <w:rFonts w:cs="Arial" w:ascii="Arial" w:hAnsi="Arial"/>
          <w:b/>
          <w:bCs/>
          <w:sz w:val="22"/>
          <w:szCs w:val="22"/>
        </w:rPr>
        <w:t>25/06/2026 às 08h50min</w:t>
      </w:r>
      <w:r>
        <w:rPr>
          <w:rFonts w:cs="Arial" w:ascii="Arial" w:hAnsi="Arial"/>
          <w:sz w:val="22"/>
          <w:szCs w:val="22"/>
        </w:rPr>
        <w:t xml:space="preserve">, na </w:t>
      </w:r>
      <w:r>
        <w:rPr>
          <w:rStyle w:val="Strong"/>
          <w:rFonts w:cs="Arial" w:ascii="Arial" w:hAnsi="Arial"/>
          <w:sz w:val="22"/>
          <w:szCs w:val="22"/>
        </w:rPr>
        <w:t>página eletrônica da BBMnet (</w:t>
      </w:r>
      <w:hyperlink r:id="rId16">
        <w:r>
          <w:rPr>
            <w:rStyle w:val="Hyperlink"/>
            <w:rFonts w:cs="Arial" w:ascii="Arial" w:hAnsi="Arial"/>
            <w:sz w:val="22"/>
            <w:szCs w:val="22"/>
          </w:rPr>
          <w:t>www.novobbmnet.com.br</w:t>
        </w:r>
      </w:hyperlink>
      <w:r>
        <w:rPr>
          <w:rStyle w:val="Strong"/>
          <w:rFonts w:cs="Arial" w:ascii="Arial" w:hAnsi="Arial"/>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17">
        <w:r>
          <w:rPr>
            <w:rStyle w:val="Hyperlink"/>
            <w:rFonts w:cs="Arial" w:ascii="Arial" w:hAnsi="Arial"/>
            <w:sz w:val="22"/>
            <w:szCs w:val="22"/>
          </w:rPr>
          <w:t>www.itatiba.sp.gov.br</w:t>
        </w:r>
      </w:hyperlink>
      <w:r>
        <w:rPr>
          <w:rFonts w:cs="Arial" w:ascii="Arial" w:hAnsi="Arial"/>
          <w:sz w:val="22"/>
          <w:szCs w:val="22"/>
        </w:rPr>
        <w:t xml:space="preserve"> e </w:t>
      </w:r>
      <w:hyperlink r:id="rId18">
        <w:r>
          <w:rPr>
            <w:rStyle w:val="Hyperlink"/>
            <w:rFonts w:cs="Arial" w:ascii="Arial" w:hAnsi="Arial"/>
            <w:sz w:val="22"/>
            <w:szCs w:val="22"/>
          </w:rPr>
          <w:t>www.novobbmnet.com.br</w:t>
        </w:r>
      </w:hyperlink>
      <w:r>
        <w:rPr>
          <w:rStyle w:val="Strong"/>
          <w:rFonts w:cs="Arial" w:ascii="Arial" w:hAnsi="Arial"/>
          <w:sz w:val="22"/>
          <w:szCs w:val="22"/>
        </w:rPr>
        <w:t xml:space="preserve">. </w:t>
      </w:r>
      <w:r>
        <w:rPr>
          <w:rFonts w:cs="Arial" w:ascii="Arial" w:hAnsi="Arial"/>
          <w:sz w:val="22"/>
          <w:szCs w:val="22"/>
        </w:rPr>
        <w:t>Informações: 11 3183-0655. Adriana Stocco - Pregoeira.</w:t>
      </w:r>
    </w:p>
    <w:sectPr>
      <w:headerReference w:type="even" r:id="rId19"/>
      <w:headerReference w:type="default" r:id="rId20"/>
      <w:headerReference w:type="first" r:id="rId21"/>
      <w:footerReference w:type="even" r:id="rId22"/>
      <w:footerReference w:type="default" r:id="rId23"/>
      <w:footerReference w:type="first" r:id="rId24"/>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5111" w:hanging="432"/>
      </w:pPr>
      <w:rPr>
        <w:dstrike w:val="false"/>
        <w:strike w:val="false"/>
        <w:sz w:val="22"/>
        <w:i w:val="false"/>
        <w:u w:val="none"/>
        <w:b w:val="false"/>
        <w:szCs w:val="20"/>
        <w:color w:val="000000"/>
      </w:rPr>
    </w:lvl>
    <w:lvl w:ilvl="2">
      <w:start w:val="1"/>
      <w:numFmt w:val="decimal"/>
      <w:lvlText w:val="%1.%2.%3."/>
      <w:lvlJc w:val="left"/>
      <w:pPr>
        <w:tabs>
          <w:tab w:val="num" w:pos="0"/>
        </w:tabs>
        <w:ind w:left="1497" w:hanging="504"/>
      </w:pPr>
      <w:rPr>
        <w:dstrike w:val="false"/>
        <w:strike w:val="false"/>
        <w:sz w:val="22"/>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4897" w:hanging="360"/>
      </w:pPr>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7"/>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5111" w:hanging="432"/>
      </w:pPr>
      <w:rPr>
        <w:dstrike w:val="false"/>
        <w:strike w:val="false"/>
        <w:sz w:val="22"/>
        <w:i w:val="false"/>
        <w:u w:val="none"/>
        <w:b w:val="false"/>
        <w:szCs w:val="20"/>
        <w:color w:val="000000"/>
      </w:rPr>
    </w:lvl>
    <w:lvl w:ilvl="2">
      <w:start w:val="1"/>
      <w:numFmt w:val="decimal"/>
      <w:lvlText w:val="%1.%2.%3."/>
      <w:lvlJc w:val="left"/>
      <w:pPr>
        <w:tabs>
          <w:tab w:val="num" w:pos="0"/>
        </w:tabs>
        <w:ind w:left="1497" w:hanging="504"/>
      </w:pPr>
      <w:rPr>
        <w:dstrike w:val="false"/>
        <w:strike w:val="false"/>
        <w:sz w:val="22"/>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3"/>
    <w:lvlOverride w:ilvl="0">
      <w:startOverride w:val="1"/>
    </w:lvlOverride>
  </w:num>
</w:numbering>
</file>

<file path=word/settings.xml><?xml version="1.0" encoding="utf-8"?>
<w:settings xmlns:w="http://schemas.openxmlformats.org/wordprocessingml/2006/main">
  <w:zoom w:percent="14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i w:val="false"/>
      <w:strike w:val="false"/>
      <w:dstrike w:val="false"/>
      <w:color w:val="000000"/>
      <w:sz w:val="20"/>
      <w:szCs w:val="20"/>
      <w:u w:val="none"/>
    </w:rPr>
  </w:style>
  <w:style w:type="character" w:styleId="WW8Num5z2" w:customStyle="1">
    <w:name w:val="WW8Num5z2"/>
    <w:qFormat/>
    <w:rPr>
      <w:rFonts w:ascii="Arial" w:hAnsi="Arial" w:cs="Arial"/>
      <w:b w:val="false"/>
      <w:i w:val="false"/>
      <w:strike w:val="false"/>
      <w:dstrike w:val="false"/>
      <w:color w:val="000000"/>
      <w:sz w:val="20"/>
      <w:szCs w:val="20"/>
    </w:rPr>
  </w:style>
  <w:style w:type="character" w:styleId="WW8Num6z0" w:customStyle="1">
    <w:name w:val="WW8Num6z0"/>
    <w:qFormat/>
    <w:rPr>
      <w:sz w:val="22"/>
      <w:szCs w:val="22"/>
    </w:rPr>
  </w:style>
  <w:style w:type="character" w:styleId="WW8Num6z1" w:customStyle="1">
    <w:name w:val="WW8Num6z1"/>
    <w:qFormat/>
    <w:rPr>
      <w:rFonts w:ascii="Wingdings" w:hAnsi="Wingdings" w:cs="Wingdings"/>
      <w:sz w:val="22"/>
      <w:szCs w:val="22"/>
    </w:rPr>
  </w:style>
  <w:style w:type="character" w:styleId="WW8Num6z3" w:customStyle="1">
    <w:name w:val="WW8Num6z3"/>
    <w:qFormat/>
    <w:rPr>
      <w:rFonts w:ascii="Symbol" w:hAnsi="Symbol" w:cs="Symbol"/>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9z0" w:customStyle="1">
    <w:name w:val="WW8Num9z0"/>
    <w:qFormat/>
    <w:rPr/>
  </w:style>
  <w:style w:type="character" w:styleId="WW8Num11z0" w:customStyle="1">
    <w:name w:val="WW8Num11z0"/>
    <w:qFormat/>
    <w:rPr/>
  </w:style>
  <w:style w:type="character" w:styleId="WW8Num13z0" w:customStyle="1">
    <w:name w:val="WW8Num13z0"/>
    <w:qFormat/>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z w:val="22"/>
      <w:szCs w:val="22"/>
    </w:rPr>
  </w:style>
  <w:style w:type="character" w:styleId="WW8Num21z1" w:customStyle="1">
    <w:name w:val="WW8Num21z1"/>
    <w:qFormat/>
    <w:rPr>
      <w:rFonts w:ascii="Wingdings" w:hAnsi="Wingdings" w:cs="Wingdings"/>
      <w:sz w:val="22"/>
      <w:szCs w:val="22"/>
    </w:rPr>
  </w:style>
  <w:style w:type="character" w:styleId="WW8Num21z3" w:customStyle="1">
    <w:name w:val="WW8Num21z3"/>
    <w:qFormat/>
    <w:rPr>
      <w:rFonts w:ascii="Symbol" w:hAnsi="Symbol" w:cs="Symbol"/>
    </w:rPr>
  </w:style>
  <w:style w:type="character" w:styleId="WW8Num22z0" w:customStyle="1">
    <w:name w:val="WW8Num22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5z0" w:customStyle="1">
    <w:name w:val="WW8Num25z0"/>
    <w:qFormat/>
    <w:rPr/>
  </w:style>
  <w:style w:type="character" w:styleId="WW8Num26z0" w:customStyle="1">
    <w:name w:val="WW8Num26z0"/>
    <w:qFormat/>
    <w:rPr/>
  </w:style>
  <w:style w:type="character" w:styleId="WW8Num27z1" w:customStyle="1">
    <w:name w:val="WW8Num27z1"/>
    <w:qFormat/>
    <w:rPr>
      <w:b w:val="false"/>
      <w:i w:val="false"/>
    </w:rPr>
  </w:style>
  <w:style w:type="character" w:styleId="WW8Num27z2" w:customStyle="1">
    <w:name w:val="WW8Num27z2"/>
    <w:qFormat/>
    <w:rPr>
      <w:b w:val="false"/>
    </w:rPr>
  </w:style>
  <w:style w:type="character" w:styleId="WW8Num28z0" w:customStyle="1">
    <w:name w:val="WW8Num28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2z0" w:customStyle="1">
    <w:name w:val="WW8Num12z0"/>
    <w:qFormat/>
    <w:rPr>
      <w:rFonts w:ascii="Symbol" w:hAnsi="Symbol" w:cs="Symbol"/>
      <w:color w:val="000000"/>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2" w:customStyle="1">
    <w:name w:val="WW8Num21z2"/>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InternetLink1" w:customStyle="1">
    <w:name w:val="Internet Link1"/>
    <w:qFormat/>
    <w:rPr>
      <w:color w:val="000080"/>
      <w:u w:val="single"/>
    </w:rPr>
  </w:style>
  <w:style w:type="character" w:styleId="chatmsg" w:customStyle="1">
    <w:name w:val="chat_msg"/>
    <w:basedOn w:val="DefaultParagraphFont"/>
    <w:qFormat/>
    <w:rsid w:val="00610a2b"/>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user" w:default="1">
    <w:name w:val="Sem lista (user)"/>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image" Target="media/image1.wmf"/><Relationship Id="rId16" Type="http://schemas.openxmlformats.org/officeDocument/2006/relationships/hyperlink" Target="http://www.bbmnetlicitacoes.com.br/" TargetMode="External"/><Relationship Id="rId17" Type="http://schemas.openxmlformats.org/officeDocument/2006/relationships/hyperlink" Target="http://www.itatiba.sp.gov.br/" TargetMode="External"/><Relationship Id="rId18" Type="http://schemas.openxmlformats.org/officeDocument/2006/relationships/hyperlink" Target="http://www.bbmnetlicitacoes.com.br/"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LibreOffice/25.2.7.2$Windows_X86_64 LibreOffice_project/5cbfd1ab6520636bb5f7b99185aa69bd7456825d</Application>
  <AppVersion>15.0000</AppVersion>
  <Pages>47</Pages>
  <Words>15738</Words>
  <Characters>88960</Characters>
  <CharactersWithSpaces>103901</CharactersWithSpaces>
  <Paragraphs>920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2026-05-20T13:55:00Z</dcterms:created>
  <dc:creator>eportella</dc:creator>
  <dc:description/>
  <dc:language>pt-BR</dc:language>
  <cp:lastModifiedBy/>
  <cp:lastPrinted>2026-05-29T10:12:38Z</cp:lastPrinted>
  <dcterms:modified xsi:type="dcterms:W3CDTF">2026-05-29T10:21:25Z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file>