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wmf" ContentType="image/x-wmf"/>
  <Override PartName="/word/media/image3.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1.050/2025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PREGÃO ELETRÔNICO Nº </w:t>
      </w:r>
      <w:r>
        <w:rPr>
          <w:rFonts w:cs="Arial" w:ascii="Arial" w:hAnsi="Arial"/>
          <w:b/>
          <w:bCs/>
          <w:sz w:val="22"/>
          <w:szCs w:val="22"/>
        </w:rPr>
        <w:t>27</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EDITAL Nº </w:t>
      </w:r>
      <w:r>
        <w:rPr>
          <w:rFonts w:cs="Arial" w:ascii="Arial" w:hAnsi="Arial"/>
          <w:b/>
          <w:bCs/>
          <w:sz w:val="22"/>
          <w:szCs w:val="22"/>
        </w:rPr>
        <w:t>35</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sz w:val="22"/>
          <w:szCs w:val="22"/>
        </w:rPr>
        <w:t>O Registro de Preços pelo prazo de 12 (doze) meses para eventual execução de serviço de alambrado e gradil eletro-fundido, com fornecimento de material e mão e obra.</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R$ 2.339.189,44 (dois milhões trezentos e trinta e nove mil cento e oitenta e nove reais e quarenta e quatro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 xml:space="preserve">DATA DA SESSÃO PÚBLICA – Data </w:t>
      </w:r>
      <w:r>
        <w:rPr>
          <w:rFonts w:cs="Arial" w:ascii="Arial" w:hAnsi="Arial"/>
          <w:b/>
          <w:bCs/>
          <w:sz w:val="22"/>
          <w:szCs w:val="22"/>
        </w:rPr>
        <w:t>13</w:t>
      </w:r>
      <w:r>
        <w:rPr>
          <w:rFonts w:cs="Arial" w:ascii="Arial" w:hAnsi="Arial"/>
          <w:b/>
          <w:bCs/>
          <w:sz w:val="22"/>
          <w:szCs w:val="22"/>
        </w:rPr>
        <w:t xml:space="preserve"> de </w:t>
      </w:r>
      <w:r>
        <w:rPr>
          <w:rFonts w:cs="Arial" w:ascii="Arial" w:hAnsi="Arial"/>
          <w:b/>
          <w:bCs/>
          <w:sz w:val="22"/>
          <w:szCs w:val="22"/>
        </w:rPr>
        <w:t>junho</w:t>
      </w:r>
      <w:r>
        <w:rPr>
          <w:rFonts w:cs="Arial" w:ascii="Arial" w:hAnsi="Arial"/>
          <w:b/>
          <w:bCs/>
          <w:sz w:val="22"/>
          <w:szCs w:val="22"/>
        </w:rPr>
        <w:t xml:space="preserve"> de 2025</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13</w:t>
      </w:r>
      <w:r>
        <w:rPr>
          <w:rFonts w:cs="Arial" w:ascii="Arial" w:hAnsi="Arial"/>
          <w:sz w:val="22"/>
          <w:szCs w:val="22"/>
        </w:rPr>
        <w:t>/</w:t>
      </w:r>
      <w:r>
        <w:rPr>
          <w:rFonts w:cs="Arial" w:ascii="Arial" w:hAnsi="Arial"/>
          <w:sz w:val="22"/>
          <w:szCs w:val="22"/>
        </w:rPr>
        <w:t>06</w:t>
      </w:r>
      <w:r>
        <w:rPr>
          <w:rFonts w:cs="Arial" w:ascii="Arial" w:hAnsi="Arial"/>
          <w:sz w:val="22"/>
          <w:szCs w:val="22"/>
        </w:rPr>
        <w:t>/2025</w:t>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13</w:t>
      </w:r>
      <w:r>
        <w:rPr>
          <w:rFonts w:cs="Arial" w:ascii="Arial" w:hAnsi="Arial"/>
          <w:b w:val="false"/>
          <w:bCs w:val="false"/>
          <w:sz w:val="22"/>
          <w:szCs w:val="22"/>
        </w:rPr>
        <w:t>/</w:t>
      </w:r>
      <w:r>
        <w:rPr>
          <w:rFonts w:cs="Arial" w:ascii="Arial" w:hAnsi="Arial"/>
          <w:b w:val="false"/>
          <w:bCs w:val="false"/>
          <w:sz w:val="22"/>
          <w:szCs w:val="22"/>
        </w:rPr>
        <w:t>06</w:t>
      </w:r>
      <w:r>
        <w:rPr>
          <w:rFonts w:cs="Arial" w:ascii="Arial" w:hAnsi="Arial"/>
          <w:b w:val="false"/>
          <w:bCs w:val="false"/>
          <w:sz w:val="22"/>
          <w:szCs w:val="22"/>
        </w:rPr>
        <w:t>/2025</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b w:val="false"/>
          <w:bCs w:val="false"/>
          <w:sz w:val="22"/>
          <w:szCs w:val="22"/>
        </w:rPr>
        <w:t>13</w:t>
      </w:r>
      <w:r>
        <w:rPr>
          <w:rFonts w:cs="Arial" w:ascii="Arial" w:hAnsi="Arial"/>
          <w:b w:val="false"/>
          <w:bCs w:val="false"/>
          <w:sz w:val="22"/>
          <w:szCs w:val="22"/>
        </w:rPr>
        <w:t>/</w:t>
      </w:r>
      <w:r>
        <w:rPr>
          <w:rFonts w:cs="Arial" w:ascii="Arial" w:hAnsi="Arial"/>
          <w:b w:val="false"/>
          <w:bCs w:val="false"/>
          <w:sz w:val="22"/>
          <w:szCs w:val="22"/>
        </w:rPr>
        <w:t>06</w:t>
      </w:r>
      <w:r>
        <w:rPr>
          <w:rFonts w:cs="Arial" w:ascii="Arial" w:hAnsi="Arial"/>
          <w:b w:val="false"/>
          <w:bCs w:val="false"/>
          <w:sz w:val="22"/>
          <w:szCs w:val="22"/>
        </w:rPr>
        <w:t>/2025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GLOBAL DO LOTE OBTIDO ATRAVÉS DO MAIOR PERCENTUAL DE DESCONTO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NÃO</w:t>
      </w:r>
    </w:p>
    <w:p>
      <w:pPr>
        <w:pStyle w:val="Normal"/>
        <w:spacing w:lineRule="auto" w:line="36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 xml:space="preserve">SECRETARIA DE OBRAS E SERVIÇOS PÚBLICOS, SECRETARIA DA EDUCAÇÃO e SECRETARIA DE MEIO AMBIENTE E AGRICULTURA </w:t>
      </w:r>
    </w:p>
    <w:p>
      <w:pPr>
        <w:pStyle w:val="Normal"/>
        <w:spacing w:lineRule="auto" w:line="360"/>
        <w:jc w:val="both"/>
        <w:rPr>
          <w:rFonts w:ascii="Arial" w:hAnsi="Arial" w:cs="Arial"/>
          <w:b/>
          <w:bCs/>
          <w:sz w:val="22"/>
          <w:szCs w:val="22"/>
        </w:rPr>
      </w:pPr>
      <w:r>
        <w:rPr>
          <w:rFonts w:cs="Arial" w:ascii="Arial" w:hAnsi="Arial"/>
          <w:b/>
          <w:bCs/>
          <w:sz w:val="22"/>
          <w:szCs w:val="22"/>
        </w:rPr>
        <w:t>PROCESSO ADMINISTRATIVO Nº 1.050/2025</w:t>
      </w:r>
    </w:p>
    <w:p>
      <w:pPr>
        <w:pStyle w:val="Normal"/>
        <w:spacing w:lineRule="auto" w:line="360"/>
        <w:ind w:firstLine="567"/>
        <w:jc w:val="center"/>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pPr>
      <w:r>
        <w:rPr>
          <w:rFonts w:cs="Arial" w:ascii="Arial" w:hAnsi="Arial"/>
          <w:b/>
          <w:sz w:val="22"/>
          <w:szCs w:val="22"/>
        </w:rPr>
        <w:t xml:space="preserve">PREGÃO ELETRÔNICO Nº </w:t>
      </w:r>
      <w:r>
        <w:rPr>
          <w:rFonts w:cs="Arial" w:ascii="Arial" w:hAnsi="Arial"/>
          <w:b/>
          <w:sz w:val="22"/>
          <w:szCs w:val="22"/>
        </w:rPr>
        <w:t>27</w:t>
      </w:r>
      <w:r>
        <w:rPr>
          <w:rFonts w:cs="Arial" w:ascii="Arial" w:hAnsi="Arial"/>
          <w:b/>
          <w:sz w:val="22"/>
          <w:szCs w:val="22"/>
        </w:rPr>
        <w:t>/2025</w:t>
      </w:r>
    </w:p>
    <w:p>
      <w:pPr>
        <w:pStyle w:val="Normal"/>
        <w:spacing w:lineRule="auto" w:line="360"/>
        <w:ind w:firstLine="567"/>
        <w:jc w:val="center"/>
        <w:rPr/>
      </w:pPr>
      <w:r>
        <w:rPr>
          <w:rFonts w:cs="Arial" w:ascii="Arial" w:hAnsi="Arial"/>
          <w:b/>
          <w:sz w:val="22"/>
          <w:szCs w:val="22"/>
        </w:rPr>
        <w:t xml:space="preserve">EDITAL Nº </w:t>
      </w:r>
      <w:r>
        <w:rPr>
          <w:rFonts w:cs="Arial" w:ascii="Arial" w:hAnsi="Arial"/>
          <w:b/>
          <w:sz w:val="22"/>
          <w:szCs w:val="22"/>
        </w:rPr>
        <w:t>35</w:t>
      </w:r>
      <w:r>
        <w:rPr>
          <w:rFonts w:cs="Arial" w:ascii="Arial" w:hAnsi="Arial"/>
          <w:b/>
          <w:sz w:val="22"/>
          <w:szCs w:val="22"/>
        </w:rPr>
        <w:t>/2025</w:t>
      </w:r>
    </w:p>
    <w:p>
      <w:pPr>
        <w:pStyle w:val="Normal"/>
        <w:snapToGrid w:val="false"/>
        <w:spacing w:lineRule="auto" w:line="360"/>
        <w:jc w:val="both"/>
        <w:rPr>
          <w:rFonts w:ascii="Arial" w:hAnsi="Arial" w:cs="Arial"/>
          <w:b/>
          <w:sz w:val="22"/>
          <w:szCs w:val="22"/>
        </w:rPr>
      </w:pPr>
      <w:r>
        <w:rPr>
          <w:rFonts w:cs="Arial" w:ascii="Arial" w:hAnsi="Arial"/>
          <w:b/>
          <w:sz w:val="22"/>
          <w:szCs w:val="22"/>
        </w:rPr>
      </w:r>
    </w:p>
    <w:p>
      <w:pPr>
        <w:pStyle w:val="Normal"/>
        <w:spacing w:lineRule="auto" w:line="360"/>
        <w:ind w:right="-57"/>
        <w:jc w:val="both"/>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SECRETARIA DE OBRAS E SERVIÇOS PÚBLICOS, SECRETARIA DA EDUCAÇÃO e SECRETARIA DE MEIO AMBIENTE E AGRICULTURA,</w:t>
      </w:r>
      <w:r>
        <w:rPr>
          <w:rFonts w:cs="Arial" w:ascii="Arial" w:hAnsi="Arial"/>
          <w:sz w:val="22"/>
          <w:szCs w:val="22"/>
        </w:rPr>
        <w:t xml:space="preserve"> sediada à Avenida Luciano Consoline, nº 600, Jardim de Lucca, Itatiba/SP, realizará licitação, na modalidade PREGÃO, na forma ELETRÔNICA, nos termos da </w:t>
      </w:r>
      <w:hyperlink r:id="rId2">
        <w:r>
          <w:rPr>
            <w:rStyle w:val="ListLabel199"/>
            <w:rFonts w:cs="Arial" w:ascii="Arial" w:hAnsi="Arial"/>
            <w:sz w:val="22"/>
            <w:szCs w:val="22"/>
          </w:rPr>
          <w:t>Lei nº 14.133, de 2021</w:t>
        </w:r>
      </w:hyperlink>
      <w:r>
        <w:rPr>
          <w:rFonts w:cs="Arial" w:ascii="Arial" w:hAnsi="Arial"/>
          <w:sz w:val="22"/>
          <w:szCs w:val="22"/>
        </w:rPr>
        <w:t>, Decretos 11.462/2023 e 7.999/2024, e demais legislação aplicável e, ainda, de acordo com as condições estabelecidas neste Edital.</w:t>
      </w:r>
    </w:p>
    <w:p>
      <w:pPr>
        <w:pStyle w:val="Normal"/>
        <w:snapToGrid w:val="false"/>
        <w:spacing w:lineRule="auto" w:line="360"/>
        <w:jc w:val="both"/>
        <w:rPr/>
      </w:pPr>
      <w:r>
        <w:rPr/>
      </w:r>
    </w:p>
    <w:p>
      <w:pPr>
        <w:pStyle w:val="Nivel01"/>
        <w:numPr>
          <w:ilvl w:val="0"/>
          <w:numId w:val="3"/>
        </w:numPr>
        <w:spacing w:lineRule="auto" w:line="360" w:before="0" w:after="0"/>
        <w:ind w:hanging="0" w:left="0"/>
        <w:rPr>
          <w:sz w:val="22"/>
          <w:szCs w:val="22"/>
          <w:lang w:eastAsia="en-US"/>
        </w:rPr>
      </w:pPr>
      <w:r>
        <w:rPr>
          <w:sz w:val="22"/>
          <w:szCs w:val="22"/>
          <w:lang w:eastAsia="en-US"/>
        </w:rPr>
        <w:t>DO OBJETO</w:t>
      </w:r>
    </w:p>
    <w:p>
      <w:pPr>
        <w:pStyle w:val="Nivel2"/>
        <w:tabs>
          <w:tab w:val="clear" w:pos="0"/>
        </w:tabs>
        <w:spacing w:lineRule="auto" w:line="360" w:before="0" w:after="0"/>
        <w:ind w:hanging="0" w:left="0"/>
        <w:rPr>
          <w:sz w:val="22"/>
          <w:szCs w:val="22"/>
        </w:rPr>
      </w:pPr>
      <w:r>
        <w:rPr>
          <w:sz w:val="22"/>
          <w:szCs w:val="22"/>
        </w:rPr>
        <w:t>1.1 - O objeto da presente licitação é o Registro de Preços pelo prazo de 12 (doze) meses para eventual execução de serviço de alambrado e gradil eletro-fundido, com fornecimento de material e mão e obra, conforme condições, quantidades e exigências estabelecidas neste Edital e seus anexos.</w:t>
      </w:r>
    </w:p>
    <w:p>
      <w:pPr>
        <w:pStyle w:val="Nivel2"/>
        <w:tabs>
          <w:tab w:val="clear" w:pos="0"/>
        </w:tabs>
        <w:spacing w:lineRule="auto" w:line="360" w:before="0" w:after="0"/>
        <w:ind w:hanging="0" w:left="0"/>
        <w:rPr>
          <w:sz w:val="22"/>
          <w:szCs w:val="22"/>
        </w:rPr>
      </w:pPr>
      <w:r>
        <w:rPr>
          <w:sz w:val="22"/>
          <w:szCs w:val="22"/>
        </w:rPr>
        <w:t xml:space="preserve">1.2 - A licitação será do tipo </w:t>
      </w:r>
      <w:r>
        <w:rPr>
          <w:b/>
          <w:bCs/>
          <w:sz w:val="22"/>
          <w:szCs w:val="22"/>
        </w:rPr>
        <w:t>MENOR PREÇO GLOBAL OBTIDO ATRAVÉS DO MAIOR PERCENTUAL DE DESCONTO</w:t>
      </w:r>
      <w:r>
        <w:rPr>
          <w:sz w:val="22"/>
          <w:szCs w:val="22"/>
        </w:rPr>
        <w:t>, conforme tabela constante no Termo de Referência, devendo o licitante oferecer proposta para todos os itens que o compõem.</w:t>
      </w:r>
    </w:p>
    <w:p>
      <w:pPr>
        <w:pStyle w:val="Nivel2"/>
        <w:tabs>
          <w:tab w:val="clear" w:pos="0"/>
        </w:tabs>
        <w:spacing w:lineRule="auto" w:line="360" w:before="0" w:after="0"/>
        <w:ind w:hanging="0" w:left="0"/>
        <w:rPr>
          <w:sz w:val="22"/>
          <w:szCs w:val="22"/>
        </w:rPr>
      </w:pPr>
      <w:r>
        <w:rPr>
          <w:sz w:val="22"/>
          <w:szCs w:val="22"/>
        </w:rPr>
        <w:t>1.3 - Os quantitativos totais expressos no Anexo I, deste edital, são estimativos e representam a previsão da Secretaria requisitante, pelo prazo de 12 (doze) meses.</w:t>
      </w:r>
    </w:p>
    <w:p>
      <w:pPr>
        <w:pStyle w:val="Nivel2"/>
        <w:tabs>
          <w:tab w:val="clear" w:pos="0"/>
        </w:tabs>
        <w:spacing w:lineRule="auto" w:line="360" w:before="0" w:after="0"/>
        <w:ind w:hanging="0" w:left="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ormal"/>
        <w:spacing w:lineRule="auto" w:line="360"/>
        <w:jc w:val="both"/>
        <w:rPr/>
      </w:pPr>
      <w:r>
        <w:rPr>
          <w:rFonts w:eastAsia="MS Mincho;ＭＳ 明朝" w:cs="Arial" w:ascii="Arial" w:hAnsi="Arial"/>
          <w:kern w:val="0"/>
          <w:sz w:val="22"/>
          <w:szCs w:val="22"/>
          <w:lang w:eastAsia="pt-BR"/>
        </w:rPr>
        <w:t>1.5 – O objeto desta licitação será subsidiado com Recursos Próprios da Administração.</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DA PARTICIPAÇÃO NA LICITAÇÃO</w:t>
      </w:r>
    </w:p>
    <w:p>
      <w:pPr>
        <w:pStyle w:val="Nivel2"/>
        <w:numPr>
          <w:ilvl w:val="1"/>
          <w:numId w:val="3"/>
        </w:numPr>
        <w:spacing w:lineRule="auto" w:line="360" w:before="0" w:after="0"/>
        <w:ind w:hanging="0" w:left="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3"/>
        </w:numPr>
        <w:spacing w:lineRule="auto" w:line="360" w:before="0" w:after="0"/>
        <w:ind w:hanging="0" w:left="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3"/>
        </w:numPr>
        <w:spacing w:lineRule="auto" w:line="360" w:before="0" w:after="0"/>
        <w:ind w:hanging="0" w:left="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3"/>
        </w:numPr>
        <w:spacing w:lineRule="auto" w:line="360" w:before="0" w:after="0"/>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3"/>
        </w:numPr>
        <w:spacing w:lineRule="auto" w:line="360" w:before="0" w:after="0"/>
        <w:ind w:hanging="0" w:left="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3"/>
        </w:numPr>
        <w:spacing w:lineRule="auto" w:line="360" w:before="0" w:after="0"/>
        <w:ind w:hanging="0" w:left="0"/>
        <w:rPr>
          <w:rFonts w:eastAsia="Times New Roman"/>
          <w:sz w:val="22"/>
          <w:szCs w:val="22"/>
        </w:rPr>
      </w:pPr>
      <w:bookmarkStart w:id="0" w:name="_Ref117000692"/>
      <w:r>
        <w:rPr>
          <w:rFonts w:eastAsia="Times New Roman"/>
          <w:sz w:val="22"/>
          <w:szCs w:val="22"/>
        </w:rPr>
        <w:t>Não poderão disputar esta licitação:</w:t>
      </w:r>
      <w:bookmarkEnd w:id="0"/>
    </w:p>
    <w:p>
      <w:pPr>
        <w:pStyle w:val="Normal"/>
        <w:numPr>
          <w:ilvl w:val="2"/>
          <w:numId w:val="3"/>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3"/>
        </w:numPr>
        <w:spacing w:lineRule="auto" w:line="360" w:before="0" w:after="0"/>
        <w:ind w:hanging="0" w:left="567"/>
        <w:rPr>
          <w:sz w:val="22"/>
          <w:szCs w:val="22"/>
        </w:rPr>
      </w:pPr>
      <w:bookmarkStart w:id="1" w:name="_Ref113883003"/>
      <w:bookmarkStart w:id="2" w:name="_Ref113883338"/>
      <w:bookmarkEnd w:id="2"/>
      <w:r>
        <w:rPr>
          <w:sz w:val="22"/>
          <w:szCs w:val="22"/>
        </w:rPr>
        <w:t>pessoa física ou jurídica que se encontre, ao tempo da licitação, impossibilitada de participar da licitação em decorrência de sanção que lhe foi imposta;</w:t>
      </w:r>
      <w:bookmarkEnd w:id="1"/>
    </w:p>
    <w:p>
      <w:pPr>
        <w:pStyle w:val="Nivel3"/>
        <w:numPr>
          <w:ilvl w:val="2"/>
          <w:numId w:val="3"/>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3"/>
        </w:numPr>
        <w:spacing w:lineRule="auto" w:line="360" w:before="0" w:after="0"/>
        <w:ind w:hanging="0" w:left="567"/>
        <w:rPr>
          <w:sz w:val="22"/>
          <w:szCs w:val="22"/>
        </w:rPr>
      </w:pPr>
      <w:bookmarkStart w:id="3" w:name="_Ref113883579"/>
      <w:r>
        <w:rPr>
          <w:sz w:val="22"/>
          <w:szCs w:val="22"/>
        </w:rPr>
        <w:t>empresas controladoras, controladas ou coligadas, nos termos da Lei nº 6.404, de 15 de dezembro de 1976, concorrendo entre si;</w:t>
      </w:r>
      <w:bookmarkEnd w:id="3"/>
    </w:p>
    <w:p>
      <w:pPr>
        <w:pStyle w:val="Nivel3"/>
        <w:numPr>
          <w:ilvl w:val="2"/>
          <w:numId w:val="3"/>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3"/>
        </w:numPr>
        <w:spacing w:lineRule="auto" w:line="360" w:before="0" w:after="0"/>
        <w:ind w:hanging="0" w:left="567"/>
        <w:rPr>
          <w:sz w:val="22"/>
          <w:szCs w:val="22"/>
        </w:rPr>
      </w:pPr>
      <w:bookmarkStart w:id="4" w:name="_Ref113962336"/>
      <w:r>
        <w:rPr>
          <w:sz w:val="22"/>
          <w:szCs w:val="22"/>
        </w:rPr>
        <w:t>agente público do órgão ou entidade licitante;</w:t>
      </w:r>
      <w:bookmarkEnd w:id="4"/>
    </w:p>
    <w:p>
      <w:pPr>
        <w:pStyle w:val="Normal"/>
        <w:numPr>
          <w:ilvl w:val="2"/>
          <w:numId w:val="3"/>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3"/>
        </w:numPr>
        <w:spacing w:lineRule="auto" w:line="360" w:before="0" w:after="0"/>
        <w:ind w:hanging="0" w:left="567"/>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3"/>
        </w:numPr>
        <w:spacing w:lineRule="auto" w:line="360" w:before="0" w:after="0"/>
        <w:ind w:hanging="0" w:left="0"/>
        <w:rPr/>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fldChar w:fldCharType="separate"/>
      </w:r>
      <w:r>
        <w:rPr>
          <w:sz w:val="22"/>
          <w:szCs w:val="22"/>
        </w:rPr>
        <w:t>2.6.2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hanging="0" w:left="0"/>
        <w:rPr>
          <w:sz w:val="22"/>
          <w:szCs w:val="22"/>
        </w:rPr>
      </w:pPr>
      <w:r>
        <w:rPr>
          <w:sz w:val="22"/>
          <w:szCs w:val="22"/>
        </w:rPr>
      </w:r>
      <w:bookmarkStart w:id="5" w:name="art14§2"/>
      <w:bookmarkStart w:id="6" w:name="art14§2"/>
      <w:bookmarkEnd w:id="6"/>
    </w:p>
    <w:p>
      <w:pPr>
        <w:pStyle w:val="Nivel01"/>
        <w:numPr>
          <w:ilvl w:val="0"/>
          <w:numId w:val="3"/>
        </w:numPr>
        <w:spacing w:lineRule="auto" w:line="360" w:before="0" w:after="0"/>
        <w:ind w:hanging="0" w:left="0"/>
        <w:rPr>
          <w:sz w:val="22"/>
          <w:szCs w:val="22"/>
        </w:rPr>
      </w:pPr>
      <w:r>
        <w:rPr>
          <w:sz w:val="22"/>
          <w:szCs w:val="22"/>
        </w:rPr>
        <w:t>DA APRESENTAÇÃO DA PROPOSTA E DOS DOCUMENTOS DE HABILITAÇÃO</w:t>
      </w:r>
    </w:p>
    <w:p>
      <w:pPr>
        <w:pStyle w:val="Nivel2"/>
        <w:numPr>
          <w:ilvl w:val="1"/>
          <w:numId w:val="3"/>
        </w:numPr>
        <w:spacing w:lineRule="auto" w:line="360" w:before="0" w:after="0"/>
        <w:ind w:hanging="0" w:left="0"/>
        <w:rPr>
          <w:sz w:val="22"/>
          <w:szCs w:val="22"/>
        </w:rPr>
      </w:pPr>
      <w:r>
        <w:rPr>
          <w:sz w:val="22"/>
          <w:szCs w:val="22"/>
        </w:rPr>
        <w:t>Na presente licitação, a fase de habilitação sucederá as fases de apresentação de propostas, lances e julgamento.</w:t>
      </w:r>
    </w:p>
    <w:p>
      <w:pPr>
        <w:pStyle w:val="Nivel2"/>
        <w:numPr>
          <w:ilvl w:val="1"/>
          <w:numId w:val="3"/>
        </w:numPr>
        <w:spacing w:lineRule="auto" w:line="360" w:before="0" w:after="0"/>
        <w:ind w:hanging="0" w:left="0"/>
        <w:rPr/>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3"/>
        </w:numPr>
        <w:spacing w:lineRule="auto" w:line="360" w:before="0" w:after="0"/>
        <w:ind w:hanging="0" w:left="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Hyperlink"/>
            <w:color w:val="000000"/>
            <w:sz w:val="22"/>
            <w:szCs w:val="22"/>
          </w:rPr>
          <w:t>www.novobbmnet.com.br</w:t>
        </w:r>
      </w:hyperlink>
      <w:r>
        <w:rPr>
          <w:sz w:val="22"/>
          <w:szCs w:val="22"/>
        </w:rPr>
        <w:t>.</w:t>
      </w:r>
    </w:p>
    <w:p>
      <w:pPr>
        <w:pStyle w:val="Nivel2"/>
        <w:numPr>
          <w:ilvl w:val="1"/>
          <w:numId w:val="3"/>
        </w:numPr>
        <w:spacing w:lineRule="auto" w:line="360" w:before="0" w:after="0"/>
        <w:ind w:hanging="0" w:left="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Hyperlink"/>
            <w:color w:val="000000"/>
            <w:sz w:val="22"/>
            <w:szCs w:val="22"/>
          </w:rPr>
          <w:t>www.novobbmnet.com.br</w:t>
        </w:r>
      </w:hyperlink>
      <w:r>
        <w:rPr>
          <w:sz w:val="22"/>
          <w:szCs w:val="22"/>
        </w:rPr>
        <w:t>.</w:t>
      </w:r>
    </w:p>
    <w:p>
      <w:pPr>
        <w:pStyle w:val="Nivel2"/>
        <w:numPr>
          <w:ilvl w:val="1"/>
          <w:numId w:val="3"/>
        </w:numPr>
        <w:spacing w:lineRule="auto" w:line="360" w:before="0" w:after="0"/>
        <w:ind w:hanging="0" w:left="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3"/>
        </w:numPr>
        <w:spacing w:lineRule="auto" w:line="360" w:before="0" w:after="0"/>
        <w:ind w:hanging="0" w:left="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3"/>
        </w:numPr>
        <w:spacing w:lineRule="auto" w:line="360" w:before="0" w:after="0"/>
        <w:ind w:hanging="0" w:left="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pPr>
        <w:pStyle w:val="Nivel3"/>
        <w:numPr>
          <w:ilvl w:val="2"/>
          <w:numId w:val="3"/>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3"/>
        </w:numPr>
        <w:spacing w:lineRule="auto" w:line="360" w:before="0" w:after="0"/>
        <w:ind w:hanging="0" w:left="567"/>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3"/>
        </w:numPr>
        <w:spacing w:lineRule="auto" w:line="360" w:before="0" w:after="0"/>
        <w:ind w:hanging="0" w:left="567"/>
        <w:rPr/>
      </w:pPr>
      <w:r>
        <w:rPr>
          <w:sz w:val="22"/>
          <w:szCs w:val="22"/>
        </w:rPr>
        <w:t xml:space="preserve">Não possui, em sua cadeia produtiva, empregados executando trabalho degradante ou forçado, observando o disposto nos </w:t>
      </w:r>
      <w:hyperlink r:id="rId6">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3"/>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3"/>
        </w:numPr>
        <w:spacing w:lineRule="auto" w:line="360" w:before="0" w:after="0"/>
        <w:ind w:hanging="0" w:left="0"/>
        <w:rPr/>
      </w:pPr>
      <w:bookmarkStart w:id="9" w:name="_Hlk159222170"/>
      <w:bookmarkEnd w:id="9"/>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3"/>
        </w:numPr>
        <w:spacing w:lineRule="auto" w:line="360" w:before="0" w:after="0"/>
        <w:ind w:hanging="0" w:left="0"/>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0"/>
      <w:r>
        <w:rPr>
          <w:sz w:val="22"/>
          <w:szCs w:val="22"/>
        </w:rPr>
        <w:t xml:space="preserve"> </w:t>
      </w:r>
    </w:p>
    <w:p>
      <w:pPr>
        <w:pStyle w:val="Nivel2"/>
        <w:numPr>
          <w:ilvl w:val="1"/>
          <w:numId w:val="3"/>
        </w:numPr>
        <w:spacing w:lineRule="auto" w:line="360" w:before="0" w:after="0"/>
        <w:ind w:hanging="0" w:left="0"/>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Hyperlink"/>
            <w:color w:val="000000"/>
            <w:sz w:val="22"/>
            <w:szCs w:val="22"/>
          </w:rPr>
          <w:t>Lei nº 14.133, de 2021</w:t>
        </w:r>
      </w:hyperlink>
      <w:r>
        <w:rPr>
          <w:sz w:val="22"/>
          <w:szCs w:val="22"/>
        </w:rPr>
        <w:t>, e neste Edital.</w:t>
      </w:r>
    </w:p>
    <w:p>
      <w:pPr>
        <w:pStyle w:val="Nivel2"/>
        <w:numPr>
          <w:ilvl w:val="1"/>
          <w:numId w:val="3"/>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3"/>
        </w:numPr>
        <w:spacing w:lineRule="auto" w:line="360" w:before="0" w:after="0"/>
        <w:ind w:hanging="0" w:left="0"/>
        <w:rPr>
          <w:sz w:val="22"/>
          <w:szCs w:val="22"/>
        </w:rPr>
      </w:pPr>
      <w:r>
        <w:rPr>
          <w:sz w:val="22"/>
          <w:szCs w:val="22"/>
        </w:rPr>
        <w:t>Não haverá ordem de classificação na etapa de apresentação da proposta, o que ocorrerá somente após os procedimentos de abertura da sessão pública e da fase de envio de lances.</w:t>
      </w:r>
    </w:p>
    <w:p>
      <w:pPr>
        <w:pStyle w:val="Nivel2"/>
        <w:numPr>
          <w:ilvl w:val="1"/>
          <w:numId w:val="3"/>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3"/>
        </w:numPr>
        <w:spacing w:lineRule="auto" w:line="360" w:before="0" w:after="0"/>
        <w:ind w:hanging="0" w:left="0"/>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pPr>
        <w:pStyle w:val="Nivel2"/>
        <w:numPr>
          <w:ilvl w:val="1"/>
          <w:numId w:val="3"/>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3"/>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3"/>
        </w:numPr>
        <w:spacing w:lineRule="auto" w:line="360" w:before="0" w:after="0"/>
        <w:ind w:hanging="0" w:left="567"/>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3"/>
        </w:numPr>
        <w:spacing w:lineRule="auto" w:line="360" w:before="0" w:after="0"/>
        <w:ind w:hanging="0" w:left="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3"/>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3"/>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3"/>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3"/>
        </w:numPr>
        <w:spacing w:lineRule="auto" w:line="360" w:before="0" w:after="0"/>
        <w:ind w:hanging="0" w:left="0"/>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3"/>
        </w:numPr>
        <w:spacing w:lineRule="auto" w:line="360" w:before="0" w:after="0"/>
        <w:ind w:hanging="0" w:left="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r>
    </w:p>
    <w:p>
      <w:pPr>
        <w:pStyle w:val="Nivel01"/>
        <w:numPr>
          <w:ilvl w:val="0"/>
          <w:numId w:val="3"/>
        </w:numPr>
        <w:spacing w:lineRule="auto" w:line="360" w:before="0" w:after="0"/>
        <w:ind w:hanging="0" w:left="0"/>
        <w:rPr>
          <w:sz w:val="22"/>
          <w:szCs w:val="22"/>
        </w:rPr>
      </w:pPr>
      <w:r>
        <w:rPr>
          <w:sz w:val="22"/>
          <w:szCs w:val="22"/>
        </w:rPr>
        <w:t>DO PREENCHIMENTO DA PROPOSTA</w:t>
      </w:r>
    </w:p>
    <w:p>
      <w:pPr>
        <w:pStyle w:val="Nivel2"/>
        <w:tabs>
          <w:tab w:val="clear" w:pos="0"/>
        </w:tabs>
        <w:spacing w:lineRule="auto" w:line="360" w:before="0" w:after="0"/>
        <w:ind w:hanging="0" w:left="0"/>
        <w:rPr>
          <w:sz w:val="22"/>
          <w:szCs w:val="22"/>
        </w:rPr>
      </w:pPr>
      <w:r>
        <w:rPr>
          <w:sz w:val="22"/>
          <w:szCs w:val="22"/>
        </w:rPr>
        <w:t xml:space="preserve">O licitante deverá enviar sua proposta mediante o preenchimento, no sistema eletrônico, do campo: PERCENTUAL DE DESCONTO SOBRE A PLANILHA DE PREÇOS. </w:t>
      </w:r>
      <w:r>
        <w:rPr>
          <w:i/>
          <w:color w:val="FF0000"/>
          <w:sz w:val="22"/>
          <w:szCs w:val="22"/>
        </w:rPr>
        <w:t xml:space="preserve"> </w:t>
      </w:r>
    </w:p>
    <w:p>
      <w:pPr>
        <w:pStyle w:val="Nivel2"/>
        <w:numPr>
          <w:ilvl w:val="1"/>
          <w:numId w:val="3"/>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3"/>
        </w:numPr>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3"/>
        </w:numPr>
        <w:tabs>
          <w:tab w:val="clear" w:pos="0"/>
        </w:tabs>
        <w:spacing w:lineRule="auto" w:line="360" w:before="0" w:after="0"/>
        <w:ind w:hanging="0" w:left="0"/>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numPr>
          <w:ilvl w:val="1"/>
          <w:numId w:val="3"/>
        </w:numPr>
        <w:tabs>
          <w:tab w:val="clear" w:pos="0"/>
        </w:tabs>
        <w:spacing w:lineRule="auto" w:line="360" w:before="0" w:after="0"/>
        <w:ind w:hanging="0" w:left="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3"/>
        </w:numPr>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3"/>
        </w:numPr>
        <w:spacing w:lineRule="auto" w:line="360" w:before="0" w:after="0"/>
        <w:ind w:hanging="0" w:left="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3"/>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4"/>
        </w:numPr>
        <w:spacing w:lineRule="auto" w:line="360"/>
        <w:ind w:hanging="11" w:left="142"/>
        <w:jc w:val="both"/>
        <w:rPr>
          <w:rFonts w:ascii="Arial" w:hAnsi="Arial" w:cs="Arial"/>
        </w:rPr>
      </w:pPr>
      <w:r>
        <w:rPr>
          <w:rFonts w:cs="Arial" w:ascii="Arial" w:hAnsi="Arial"/>
        </w:rPr>
        <w:t>Empresário individual: inscrição no Registro Público de Empresas Mercantis, a cargo da Junta Comercial da respectiva sede;</w:t>
      </w:r>
    </w:p>
    <w:p>
      <w:pPr>
        <w:pStyle w:val="ListParagraph"/>
        <w:numPr>
          <w:ilvl w:val="0"/>
          <w:numId w:val="4"/>
        </w:numPr>
        <w:spacing w:lineRule="auto" w:line="360"/>
        <w:ind w:hanging="11" w:left="142"/>
        <w:jc w:val="both"/>
        <w:rPr>
          <w:rFonts w:ascii="Arial" w:hAnsi="Arial" w:cs="Arial"/>
        </w:rPr>
      </w:pPr>
      <w:r>
        <w:rPr>
          <w:rFonts w:cs="Arial" w:ascii="Arial" w:hAnsi="Arial"/>
        </w:rPr>
        <w:t xml:space="preserve">Microempreendedor Individual - MEI: Certificado da Condição de Microempreendedor Individual - CCMEI, cuja aceitação ficará condicionada à verificação da autenticidade no sítio </w:t>
      </w:r>
      <w:hyperlink r:id="rId9">
        <w:r>
          <w:rPr>
            <w:rStyle w:val="ListLabel201"/>
            <w:rFonts w:cs="Arial" w:ascii="Arial" w:hAnsi="Arial"/>
          </w:rPr>
          <w:t>https://www.gov.br/empresas-enegocios/pt-br/empreendedor</w:t>
        </w:r>
      </w:hyperlink>
      <w:r>
        <w:rPr>
          <w:rFonts w:cs="Arial" w:ascii="Arial" w:hAnsi="Arial"/>
        </w:rPr>
        <w:t>;</w:t>
      </w:r>
    </w:p>
    <w:p>
      <w:pPr>
        <w:pStyle w:val="ListParagraph"/>
        <w:numPr>
          <w:ilvl w:val="0"/>
          <w:numId w:val="4"/>
        </w:numPr>
        <w:spacing w:lineRule="auto" w:line="360"/>
        <w:ind w:hanging="11" w:left="142"/>
        <w:jc w:val="both"/>
        <w:rPr>
          <w:rFonts w:ascii="Arial" w:hAnsi="Arial" w:cs="Arial"/>
        </w:rPr>
      </w:pPr>
      <w:r>
        <w:rPr>
          <w:rFonts w:cs="Arial" w:ascii="Arial" w:hAnsi="Aria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4"/>
        </w:numPr>
        <w:spacing w:lineRule="auto" w:line="360"/>
        <w:ind w:hanging="11" w:left="142"/>
        <w:jc w:val="both"/>
        <w:rPr>
          <w:rFonts w:ascii="Arial" w:hAnsi="Arial" w:cs="Arial"/>
        </w:rPr>
      </w:pPr>
      <w:r>
        <w:rPr>
          <w:rFonts w:cs="Arial" w:ascii="Arial" w:hAnsi="Arial"/>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4"/>
        </w:numPr>
        <w:spacing w:lineRule="auto" w:line="360"/>
        <w:ind w:hanging="11" w:left="142"/>
        <w:jc w:val="both"/>
        <w:rPr>
          <w:rFonts w:ascii="Arial" w:hAnsi="Arial" w:cs="Arial"/>
        </w:rPr>
      </w:pPr>
      <w:r>
        <w:rPr>
          <w:rFonts w:cs="Arial" w:ascii="Arial" w:hAnsi="Arial"/>
        </w:rPr>
        <w:t>Sociedade simples: inscrição do ato constitutivo no Registro Civil de Pessoas Jurídicas do local de sua sede, acompanhada de documento comprobatório de seus administradores;</w:t>
      </w:r>
    </w:p>
    <w:p>
      <w:pPr>
        <w:pStyle w:val="ListParagraph"/>
        <w:numPr>
          <w:ilvl w:val="0"/>
          <w:numId w:val="4"/>
        </w:numPr>
        <w:spacing w:lineRule="auto" w:line="360"/>
        <w:ind w:hanging="11" w:left="142"/>
        <w:jc w:val="both"/>
        <w:rPr>
          <w:rFonts w:ascii="Arial" w:hAnsi="Arial" w:cs="Arial"/>
        </w:rPr>
      </w:pPr>
      <w:r>
        <w:rPr>
          <w:rFonts w:cs="Arial" w:ascii="Arial" w:hAnsi="Arial"/>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4"/>
        </w:numPr>
        <w:spacing w:lineRule="auto" w:line="360"/>
        <w:ind w:hanging="11" w:left="142"/>
        <w:jc w:val="both"/>
        <w:rPr>
          <w:rFonts w:ascii="Arial" w:hAnsi="Arial" w:cs="Arial"/>
        </w:rPr>
      </w:pPr>
      <w:r>
        <w:rPr>
          <w:rFonts w:cs="Arial" w:ascii="Arial" w:hAnsi="Arial"/>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ivel01"/>
        <w:numPr>
          <w:ilvl w:val="0"/>
          <w:numId w:val="3"/>
        </w:numPr>
        <w:spacing w:lineRule="auto" w:line="360" w:before="0" w:after="0"/>
        <w:ind w:hanging="0" w:left="0"/>
        <w:rPr>
          <w:sz w:val="22"/>
          <w:szCs w:val="22"/>
        </w:rPr>
      </w:pPr>
      <w:r>
        <w:rPr>
          <w:sz w:val="22"/>
          <w:szCs w:val="22"/>
        </w:rPr>
        <w:t>DA ABERTURA DA SESSÃO, CLASSIFICAÇÃO DAS PROPOSTAS E FORMULAÇÃO DE LANCES</w:t>
      </w:r>
    </w:p>
    <w:p>
      <w:pPr>
        <w:pStyle w:val="Nivel2"/>
        <w:numPr>
          <w:ilvl w:val="1"/>
          <w:numId w:val="3"/>
        </w:numPr>
        <w:spacing w:lineRule="auto" w:line="360" w:before="0" w:after="0"/>
        <w:ind w:hanging="0" w:left="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3"/>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3"/>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3"/>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3"/>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3"/>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3"/>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3"/>
        </w:numPr>
        <w:spacing w:lineRule="auto" w:line="360" w:before="0" w:after="0"/>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3"/>
        </w:numPr>
        <w:spacing w:lineRule="auto" w:line="360" w:before="0" w:after="0"/>
        <w:ind w:hanging="0" w:left="0"/>
        <w:rPr>
          <w:sz w:val="22"/>
          <w:szCs w:val="22"/>
        </w:rPr>
      </w:pPr>
      <w:r>
        <w:rPr>
          <w:sz w:val="22"/>
          <w:szCs w:val="22"/>
        </w:rPr>
        <w:t xml:space="preserve">O lance deverá ser ofertado pelo </w:t>
      </w:r>
      <w:r>
        <w:rPr>
          <w:b/>
          <w:bCs/>
          <w:sz w:val="22"/>
          <w:szCs w:val="22"/>
        </w:rPr>
        <w:t>maior percentual de desconto linear sobre a planilha de custo.</w:t>
      </w:r>
    </w:p>
    <w:p>
      <w:pPr>
        <w:pStyle w:val="Nivel2"/>
        <w:numPr>
          <w:ilvl w:val="1"/>
          <w:numId w:val="3"/>
        </w:numPr>
        <w:spacing w:lineRule="auto" w:line="360" w:before="0" w:after="0"/>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3"/>
        </w:numPr>
        <w:spacing w:lineRule="auto" w:line="360" w:before="0" w:after="0"/>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3"/>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3"/>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3"/>
        </w:numPr>
        <w:tabs>
          <w:tab w:val="clear" w:pos="0"/>
          <w:tab w:val="left" w:pos="567" w:leader="none"/>
        </w:tabs>
        <w:spacing w:lineRule="auto" w:line="360" w:before="0" w:after="0"/>
        <w:ind w:hanging="0" w:left="567"/>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3"/>
        </w:numPr>
        <w:spacing w:lineRule="auto" w:line="360" w:before="0" w:after="0"/>
        <w:ind w:hanging="0" w:left="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3"/>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3"/>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3"/>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3"/>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3"/>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3"/>
        </w:numPr>
        <w:spacing w:lineRule="auto" w:line="360" w:before="0" w:after="0"/>
        <w:ind w:hanging="0" w:left="0"/>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000000"/>
        </w:rPr>
        <w:instrText xml:space="preserve"> HYPERLINK "https://www.planalto.gov.br/ccivil_03/leis/lcp/lcp123.htm" \l "art44"</w:instrText>
      </w:r>
      <w:r>
        <w:rPr>
          <w:rStyle w:val="Hyperlink"/>
          <w:sz w:val="22"/>
          <w:szCs w:val="22"/>
          <w:rFonts w:eastAsia="Zurich BT"/>
          <w:color w:val="000000"/>
        </w:rPr>
        <w:fldChar w:fldCharType="separate"/>
      </w:r>
      <w:r>
        <w:rPr>
          <w:rStyle w:val="Hyperlink"/>
          <w:rFonts w:eastAsia="Zurich BT"/>
          <w:color w:val="000000"/>
          <w:sz w:val="22"/>
          <w:szCs w:val="22"/>
        </w:rPr>
        <w:t>arts. 44 e 45 da Lei Complementar nº 123, de 2006</w:t>
      </w:r>
      <w:r>
        <w:rPr>
          <w:rStyle w:val="Hyperlink"/>
          <w:sz w:val="22"/>
          <w:szCs w:val="22"/>
          <w:rFonts w:eastAsia="Zurich BT"/>
          <w:color w:val="000000"/>
        </w:rPr>
        <w:fldChar w:fldCharType="end"/>
      </w:r>
      <w:r>
        <w:rPr>
          <w:rFonts w:eastAsia="Zurich BT"/>
          <w:sz w:val="22"/>
          <w:szCs w:val="22"/>
        </w:rPr>
        <w:t xml:space="preserve">, regulamentada pelo </w:t>
      </w:r>
      <w:hyperlink r:id="rId10">
        <w:r>
          <w:rPr>
            <w:rStyle w:val="Hyperlink"/>
            <w:rFonts w:eastAsia="Zurich BT"/>
            <w:color w:val="000000"/>
            <w:sz w:val="22"/>
            <w:szCs w:val="22"/>
          </w:rPr>
          <w:t>Decreto nº 8.538, de 2015</w:t>
        </w:r>
      </w:hyperlink>
      <w:r>
        <w:rPr>
          <w:rFonts w:eastAsia="Zurich BT"/>
          <w:sz w:val="22"/>
          <w:szCs w:val="22"/>
        </w:rPr>
        <w:t>.</w:t>
      </w:r>
    </w:p>
    <w:p>
      <w:pPr>
        <w:pStyle w:val="Nivel3"/>
        <w:numPr>
          <w:ilvl w:val="2"/>
          <w:numId w:val="3"/>
        </w:numPr>
        <w:tabs>
          <w:tab w:val="clear" w:pos="0"/>
          <w:tab w:val="left" w:pos="567" w:leader="none"/>
        </w:tabs>
        <w:spacing w:lineRule="auto" w:line="360" w:before="0" w:after="0"/>
        <w:ind w:hanging="0" w:left="567"/>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3"/>
        </w:numPr>
        <w:tabs>
          <w:tab w:val="clear" w:pos="0"/>
          <w:tab w:val="left" w:pos="567" w:leader="none"/>
        </w:tabs>
        <w:spacing w:lineRule="auto" w:line="360" w:before="0" w:after="0"/>
        <w:ind w:hanging="0" w:left="567"/>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3"/>
        </w:numPr>
        <w:spacing w:lineRule="auto" w:line="360" w:before="0" w:after="0"/>
        <w:ind w:hanging="0" w:left="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3"/>
        </w:numPr>
        <w:tabs>
          <w:tab w:val="clear" w:pos="0"/>
        </w:tabs>
        <w:spacing w:lineRule="auto" w:line="360" w:before="0" w:after="0"/>
        <w:ind w:hanging="0" w:left="567"/>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3"/>
        </w:numPr>
        <w:tabs>
          <w:tab w:val="clear" w:pos="0"/>
        </w:tabs>
        <w:spacing w:lineRule="auto" w:line="360" w:before="0" w:after="0"/>
        <w:ind w:hanging="0" w:left="567"/>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3"/>
        </w:numPr>
        <w:tabs>
          <w:tab w:val="clear" w:pos="0"/>
        </w:tabs>
        <w:spacing w:lineRule="auto" w:line="360" w:before="0" w:after="0"/>
        <w:ind w:hanging="0" w:left="567"/>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3"/>
        </w:numPr>
        <w:spacing w:lineRule="auto" w:line="360" w:before="0" w:after="0"/>
        <w:ind w:hanging="0" w:left="0"/>
        <w:rPr/>
      </w:pPr>
      <w:bookmarkStart w:id="13" w:name="_Hlk114646655"/>
      <w:r>
        <w:rPr>
          <w:sz w:val="22"/>
          <w:szCs w:val="22"/>
        </w:rPr>
        <w:t>Após a negociação do preço, o Pregoeiro iniciará a fase de aceitação e julgamento da proposta.</w:t>
      </w:r>
      <w:bookmarkEnd w:id="13"/>
      <w:r>
        <w:rPr>
          <w:sz w:val="22"/>
          <w:szCs w:val="22"/>
        </w:rPr>
        <w:t xml:space="preserve"> </w:t>
      </w:r>
    </w:p>
    <w:p>
      <w:pPr>
        <w:pStyle w:val="Nivel2"/>
        <w:numPr>
          <w:ilvl w:val="1"/>
          <w:numId w:val="3"/>
        </w:numPr>
        <w:spacing w:lineRule="auto" w:line="360" w:before="0" w:after="0"/>
        <w:ind w:hanging="0" w:left="0"/>
        <w:rPr>
          <w:b/>
          <w:bCs/>
          <w:sz w:val="22"/>
          <w:szCs w:val="22"/>
        </w:rPr>
      </w:pPr>
      <w:r>
        <w:rPr>
          <w:b/>
          <w:bCs/>
          <w:sz w:val="22"/>
          <w:szCs w:val="22"/>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pPr>
        <w:pStyle w:val="Nivel2"/>
        <w:tabs>
          <w:tab w:val="clear" w:pos="0"/>
        </w:tabs>
        <w:spacing w:lineRule="auto" w:line="360" w:before="0" w:after="0"/>
        <w:ind w:hanging="0" w:left="0"/>
        <w:rPr/>
      </w:pPr>
      <w:r>
        <w:rPr/>
      </w:r>
    </w:p>
    <w:p>
      <w:pPr>
        <w:pStyle w:val="Nivel01"/>
        <w:numPr>
          <w:ilvl w:val="0"/>
          <w:numId w:val="3"/>
        </w:numPr>
        <w:spacing w:lineRule="auto" w:line="360" w:before="0" w:after="0"/>
        <w:ind w:hanging="0" w:left="0"/>
        <w:rPr>
          <w:sz w:val="22"/>
          <w:szCs w:val="22"/>
        </w:rPr>
      </w:pPr>
      <w:r>
        <w:rPr>
          <w:sz w:val="22"/>
          <w:szCs w:val="22"/>
        </w:rPr>
        <w:t>DA FASE DE JULGAMENTO</w:t>
      </w:r>
    </w:p>
    <w:p>
      <w:pPr>
        <w:pStyle w:val="Nivel2"/>
        <w:numPr>
          <w:ilvl w:val="1"/>
          <w:numId w:val="3"/>
        </w:numPr>
        <w:spacing w:lineRule="auto" w:line="360" w:before="0" w:after="0"/>
        <w:ind w:hanging="0" w:left="0"/>
        <w:rPr/>
      </w:pPr>
      <w:bookmarkStart w:id="14"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color w:val="000000"/>
        </w:rPr>
        <w:instrText xml:space="preserve"> HYPERLINK "http://www.planalto.gov.br/ccivil_03/_ato2019-2022/2021/lei/L14133.htm" \l "art14"</w:instrText>
      </w:r>
      <w:r>
        <w:rPr>
          <w:rStyle w:val="Hyperlink"/>
          <w:sz w:val="22"/>
          <w:szCs w:val="22"/>
          <w:color w:val="000000"/>
        </w:rPr>
        <w:fldChar w:fldCharType="separate"/>
      </w:r>
      <w:r>
        <w:rPr>
          <w:rStyle w:val="Hyperlink"/>
          <w:color w:val="000000"/>
          <w:sz w:val="22"/>
          <w:szCs w:val="22"/>
        </w:rPr>
        <w:t>art. 14 da Lei nº 14.133/2021</w:t>
      </w:r>
      <w:r>
        <w:rPr>
          <w:rStyle w:val="Hyperlink"/>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4"/>
      <w:r>
        <w:rPr>
          <w:sz w:val="22"/>
          <w:szCs w:val="22"/>
          <w:lang w:eastAsia="ar-SA"/>
        </w:rPr>
        <w:t>especialmente quanto à existência de sanção que impeça a participação no certame ou a futura contratação.</w:t>
      </w:r>
    </w:p>
    <w:p>
      <w:pPr>
        <w:pStyle w:val="Nivel2"/>
        <w:numPr>
          <w:ilvl w:val="1"/>
          <w:numId w:val="3"/>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3"/>
        </w:numPr>
        <w:spacing w:lineRule="auto" w:line="360" w:before="0" w:after="0"/>
        <w:ind w:hanging="0" w:left="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3"/>
        </w:numPr>
        <w:spacing w:lineRule="auto" w:line="360" w:before="0" w:after="0"/>
        <w:ind w:hanging="0" w:left="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3"/>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contiver vícios insanáveis;</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não obedecer às especificações técnicas contidas no Termo de Referência;</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apresentar preços inexequíveis ou permanecerem acima do preço máximo definido para a contratação;</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não tiverem sua exequibilidade demonstrada, quando exigido pela Administração;</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apresentar desconformidade com quaisquer outras exigências deste Edital ou seus anexos, desde que insanável.</w:t>
      </w:r>
    </w:p>
    <w:p>
      <w:pPr>
        <w:pStyle w:val="Nivel2"/>
        <w:numPr>
          <w:ilvl w:val="1"/>
          <w:numId w:val="3"/>
        </w:numPr>
        <w:spacing w:lineRule="auto" w:line="360" w:before="0" w:after="0"/>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3"/>
        </w:numPr>
        <w:spacing w:lineRule="auto" w:line="360" w:before="0" w:after="0"/>
        <w:ind w:hanging="0" w:left="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tabs>
          <w:tab w:val="clear" w:pos="0"/>
        </w:tabs>
        <w:spacing w:lineRule="auto" w:line="360" w:before="0" w:after="0"/>
        <w:ind w:hanging="0" w:left="0"/>
        <w:rPr>
          <w:b/>
          <w:sz w:val="22"/>
          <w:szCs w:val="22"/>
        </w:rPr>
      </w:pPr>
      <w:r>
        <w:rPr>
          <w:b/>
          <w:sz w:val="22"/>
          <w:szCs w:val="22"/>
        </w:rPr>
      </w:r>
    </w:p>
    <w:p>
      <w:pPr>
        <w:pStyle w:val="Nivel01"/>
        <w:numPr>
          <w:ilvl w:val="0"/>
          <w:numId w:val="3"/>
        </w:numPr>
        <w:spacing w:lineRule="auto" w:line="360" w:before="0" w:after="0"/>
        <w:ind w:hanging="0" w:left="0"/>
        <w:rPr>
          <w:sz w:val="22"/>
          <w:szCs w:val="22"/>
        </w:rPr>
      </w:pPr>
      <w:r>
        <w:rPr>
          <w:sz w:val="22"/>
          <w:szCs w:val="22"/>
        </w:rPr>
        <w:t>DA FASE DE HABILITAÇÃO</w:t>
      </w:r>
    </w:p>
    <w:p>
      <w:pPr>
        <w:pStyle w:val="Nivel2"/>
        <w:numPr>
          <w:ilvl w:val="1"/>
          <w:numId w:val="3"/>
        </w:numPr>
        <w:spacing w:lineRule="auto" w:line="360" w:before="0" w:after="0"/>
        <w:ind w:hanging="0" w:left="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Hyperlink"/>
        </w:rPr>
        <w:instrText xml:space="preserve"> HYPERLINK "http://www.planalto.gov.br/ccivil_03/_ato2019-2022/2021/lei/L14133.htm" \l "art62"</w:instrText>
      </w:r>
      <w:r>
        <w:rPr>
          <w:rStyle w:val="Hyperlink"/>
        </w:rPr>
        <w:fldChar w:fldCharType="separate"/>
      </w:r>
      <w:r>
        <w:rPr>
          <w:rStyle w:val="Hyperlink"/>
        </w:rPr>
        <w:t>arts. 62 a 70 da Lei nº 14.133, de 2021</w:t>
      </w:r>
      <w:r>
        <w:rPr>
          <w:rStyle w:val="Hyperlink"/>
        </w:rPr>
        <w:fldChar w:fldCharType="end"/>
      </w:r>
      <w:r>
        <w:rPr>
          <w:rStyle w:val="InternetLink"/>
          <w:color w:val="000000"/>
          <w:sz w:val="22"/>
          <w:szCs w:val="22"/>
        </w:rPr>
        <w:t>.</w:t>
      </w:r>
    </w:p>
    <w:p>
      <w:pPr>
        <w:pStyle w:val="Nivel2"/>
        <w:numPr>
          <w:ilvl w:val="1"/>
          <w:numId w:val="3"/>
        </w:numPr>
        <w:spacing w:lineRule="auto" w:line="360" w:before="0" w:after="0"/>
        <w:ind w:hanging="0" w:left="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3"/>
        </w:numPr>
        <w:tabs>
          <w:tab w:val="clear" w:pos="0"/>
          <w:tab w:val="left" w:pos="567" w:leader="none"/>
        </w:tabs>
        <w:spacing w:lineRule="auto" w:line="360" w:before="0" w:after="0"/>
        <w:ind w:hanging="0" w:left="567"/>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1">
        <w:r>
          <w:rPr>
            <w:rStyle w:val="Hyperlink"/>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3"/>
        </w:numPr>
        <w:spacing w:lineRule="auto" w:line="360" w:before="0" w:after="0"/>
        <w:ind w:hanging="0" w:left="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3"/>
        </w:numPr>
        <w:tabs>
          <w:tab w:val="clear" w:pos="0"/>
        </w:tabs>
        <w:spacing w:lineRule="auto" w:line="360" w:before="0" w:after="0"/>
        <w:ind w:hanging="0" w:left="567"/>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3"/>
        </w:numPr>
        <w:spacing w:lineRule="auto" w:line="360" w:before="0" w:after="0"/>
        <w:ind w:hanging="0" w:left="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3"/>
        </w:numPr>
        <w:spacing w:lineRule="auto" w:line="360" w:before="0" w:after="0"/>
        <w:ind w:hanging="0" w:left="0"/>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Hyperlink"/>
          <w:sz w:val="22"/>
          <w:szCs w:val="22"/>
          <w:color w:val="000000"/>
        </w:rPr>
        <w:instrText xml:space="preserve"> HYPERLINK "http://www.planalto.gov.br/ccivil_03/_ato2019-2022/2021/lei/L14133.htm" \l "art63"</w:instrText>
      </w:r>
      <w:r>
        <w:rPr>
          <w:rStyle w:val="Hyperlink"/>
          <w:sz w:val="22"/>
          <w:szCs w:val="22"/>
          <w:color w:val="000000"/>
        </w:rPr>
        <w:fldChar w:fldCharType="separate"/>
      </w:r>
      <w:r>
        <w:rPr>
          <w:rStyle w:val="Hyperlink"/>
          <w:color w:val="000000"/>
          <w:sz w:val="22"/>
          <w:szCs w:val="22"/>
        </w:rPr>
        <w:t>art. 63, I, da Lei nº 14.133/2021</w:t>
      </w:r>
      <w:r>
        <w:rPr>
          <w:rStyle w:val="Hyperlink"/>
          <w:sz w:val="22"/>
          <w:szCs w:val="22"/>
          <w:color w:val="000000"/>
        </w:rPr>
        <w:fldChar w:fldCharType="end"/>
      </w:r>
      <w:r>
        <w:rPr>
          <w:sz w:val="22"/>
          <w:szCs w:val="22"/>
        </w:rPr>
        <w:t>).</w:t>
      </w:r>
    </w:p>
    <w:p>
      <w:pPr>
        <w:pStyle w:val="Nivel2"/>
        <w:numPr>
          <w:ilvl w:val="1"/>
          <w:numId w:val="3"/>
        </w:numPr>
        <w:spacing w:lineRule="auto" w:line="360" w:before="0" w:after="0"/>
        <w:ind w:hanging="0" w:left="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3"/>
        </w:numPr>
        <w:spacing w:lineRule="auto" w:line="360" w:before="0" w:after="0"/>
        <w:ind w:hanging="0" w:left="567"/>
        <w:rPr/>
      </w:pPr>
      <w:bookmarkStart w:id="15" w:name="_Ref114663151"/>
      <w:r>
        <w:rPr>
          <w:sz w:val="22"/>
          <w:szCs w:val="22"/>
        </w:rPr>
        <w:t xml:space="preserve">Os documentos exigidos para habilitação deverão ser enviados por meio do sistema, em formato digital, no prazo máximo de 02 (duas) horas, </w:t>
      </w:r>
      <w:bookmarkEnd w:id="15"/>
      <w:r>
        <w:rPr>
          <w:sz w:val="22"/>
          <w:szCs w:val="22"/>
        </w:rPr>
        <w:t>contado da solicitação do Agente de Contratação.</w:t>
      </w:r>
    </w:p>
    <w:p>
      <w:pPr>
        <w:pStyle w:val="Nivel2"/>
        <w:numPr>
          <w:ilvl w:val="1"/>
          <w:numId w:val="3"/>
        </w:numPr>
        <w:spacing w:lineRule="auto" w:line="360" w:before="0" w:after="0"/>
        <w:ind w:hanging="0" w:left="0"/>
        <w:rPr>
          <w:sz w:val="22"/>
          <w:szCs w:val="22"/>
        </w:rPr>
      </w:pPr>
      <w:r>
        <w:rPr>
          <w:sz w:val="22"/>
          <w:szCs w:val="22"/>
        </w:rPr>
        <w:t>A exigência das documentações de habilitação somente será feita em relação ao licitante vencedor.</w:t>
      </w:r>
    </w:p>
    <w:p>
      <w:pPr>
        <w:pStyle w:val="Nivel2"/>
        <w:numPr>
          <w:ilvl w:val="1"/>
          <w:numId w:val="3"/>
        </w:numPr>
        <w:spacing w:lineRule="auto" w:line="360" w:before="0" w:after="0"/>
        <w:ind w:hanging="0" w:left="0"/>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rPr>
        <w:instrText xml:space="preserve"> HYPERLINK "http://www.planalto.gov.br/ccivil_03/_ato2019-2022/2021/lei/L14133.htm" \l "art64"</w:instrText>
      </w:r>
      <w:r>
        <w:rPr>
          <w:rStyle w:val="Hyperlink"/>
        </w:rPr>
        <w:fldChar w:fldCharType="separate"/>
      </w:r>
      <w:r>
        <w:rPr>
          <w:rStyle w:val="Hyperlink"/>
        </w:rPr>
        <w:t>Lei 14.133/21, art. 64</w:t>
      </w:r>
      <w:r>
        <w:rPr>
          <w:rStyle w:val="Hyperlink"/>
        </w:rPr>
        <w:fldChar w:fldCharType="end"/>
      </w:r>
      <w:r>
        <w:rPr>
          <w:rStyle w:val="InternetLink"/>
          <w:color w:val="000000"/>
          <w:sz w:val="22"/>
          <w:szCs w:val="22"/>
        </w:rPr>
        <w:t>):</w:t>
      </w:r>
    </w:p>
    <w:p>
      <w:pPr>
        <w:pStyle w:val="Nivel3"/>
        <w:numPr>
          <w:ilvl w:val="2"/>
          <w:numId w:val="3"/>
        </w:numPr>
        <w:spacing w:lineRule="auto" w:line="360" w:before="0" w:after="0"/>
        <w:ind w:hanging="0" w:left="567"/>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3"/>
        </w:numPr>
        <w:spacing w:lineRule="auto" w:line="360" w:before="0" w:after="0"/>
        <w:ind w:hanging="0" w:left="567"/>
        <w:rPr>
          <w:sz w:val="22"/>
          <w:szCs w:val="22"/>
        </w:rPr>
      </w:pPr>
      <w:r>
        <w:rPr>
          <w:sz w:val="22"/>
          <w:szCs w:val="22"/>
        </w:rPr>
        <w:t>atualização de documentos cuja validade tenha expirado após a data de recebimento das propostas;</w:t>
      </w:r>
    </w:p>
    <w:p>
      <w:pPr>
        <w:pStyle w:val="Nivel2"/>
        <w:numPr>
          <w:ilvl w:val="1"/>
          <w:numId w:val="3"/>
        </w:numPr>
        <w:spacing w:lineRule="auto" w:line="360" w:before="0" w:after="0"/>
        <w:ind w:hanging="0" w:left="0"/>
        <w:rPr>
          <w:sz w:val="22"/>
          <w:szCs w:val="22"/>
        </w:rPr>
      </w:pPr>
      <w:bookmarkStart w:id="16"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6"/>
    </w:p>
    <w:p>
      <w:pPr>
        <w:pStyle w:val="Nivel2"/>
        <w:numPr>
          <w:ilvl w:val="1"/>
          <w:numId w:val="3"/>
        </w:numPr>
        <w:spacing w:lineRule="auto" w:line="360" w:before="0" w:after="0"/>
        <w:ind w:hanging="0" w:left="0"/>
        <w:rPr/>
      </w:pPr>
      <w:bookmarkStart w:id="17"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\r \h </w:instrText>
      </w:r>
      <w:r>
        <w:rPr>
          <w:sz w:val="22"/>
          <w:szCs w:val="22"/>
        </w:rPr>
        <w:fldChar w:fldCharType="separate"/>
      </w:r>
      <w:r>
        <w:rPr>
          <w:sz w:val="22"/>
          <w:szCs w:val="22"/>
        </w:rPr>
        <w:t>8.6.1</w:t>
      </w:r>
      <w:r>
        <w:rPr>
          <w:sz w:val="22"/>
          <w:szCs w:val="22"/>
        </w:rPr>
        <w:fldChar w:fldCharType="end"/>
      </w:r>
      <w:r>
        <w:rPr>
          <w:sz w:val="22"/>
          <w:szCs w:val="22"/>
        </w:rPr>
        <w:t>.</w:t>
      </w:r>
      <w:bookmarkEnd w:id="17"/>
    </w:p>
    <w:p>
      <w:pPr>
        <w:pStyle w:val="Nivel2"/>
        <w:numPr>
          <w:ilvl w:val="1"/>
          <w:numId w:val="3"/>
        </w:numPr>
        <w:spacing w:lineRule="auto" w:line="360" w:before="0" w:after="0"/>
        <w:ind w:hanging="0" w:left="0"/>
        <w:rPr/>
      </w:pPr>
      <w:bookmarkStart w:id="18"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8"/>
      <w:r>
        <w:rPr>
          <w:sz w:val="22"/>
          <w:szCs w:val="22"/>
        </w:rPr>
        <w:t>.</w:t>
      </w:r>
    </w:p>
    <w:p>
      <w:pPr>
        <w:pStyle w:val="Nivel2"/>
        <w:numPr>
          <w:ilvl w:val="1"/>
          <w:numId w:val="3"/>
        </w:numPr>
        <w:spacing w:lineRule="auto" w:line="360" w:before="0" w:after="0"/>
        <w:ind w:hanging="0" w:left="0"/>
        <w:rPr>
          <w:sz w:val="22"/>
          <w:szCs w:val="22"/>
        </w:rPr>
      </w:pPr>
      <w:r>
        <w:rPr/>
        <w:t>As</w:t>
      </w:r>
      <w:r>
        <w:rPr>
          <w:sz w:val="22"/>
          <w:szCs w:val="22"/>
        </w:rPr>
        <w:t xml:space="preserve">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tabs>
          <w:tab w:val="clear" w:pos="0"/>
        </w:tabs>
        <w:spacing w:lineRule="auto" w:line="360" w:before="0" w:after="0"/>
        <w:ind w:hanging="0" w:left="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tabs>
          <w:tab w:val="clear" w:pos="0"/>
        </w:tabs>
        <w:spacing w:lineRule="auto" w:line="360" w:before="0" w:after="0"/>
        <w:ind w:firstLine="709" w:left="0"/>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tabs>
          <w:tab w:val="clear" w:pos="0"/>
        </w:tabs>
        <w:spacing w:lineRule="auto" w:line="360" w:before="0" w:after="0"/>
        <w:ind w:firstLine="709" w:left="0"/>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tabs>
          <w:tab w:val="clear" w:pos="0"/>
        </w:tabs>
        <w:spacing w:lineRule="auto" w:line="360" w:before="0" w:after="0"/>
        <w:ind w:firstLine="709" w:left="0"/>
        <w:rPr>
          <w:sz w:val="22"/>
          <w:szCs w:val="22"/>
        </w:rPr>
      </w:pPr>
      <w:r>
        <w:rPr>
          <w:sz w:val="22"/>
          <w:szCs w:val="22"/>
        </w:rPr>
        <w:t>c) O prazo de validade que não poderá ser inferior a 60 (sessenta) dias, contados da abertura das propostas virtuais;</w:t>
      </w:r>
    </w:p>
    <w:p>
      <w:pPr>
        <w:pStyle w:val="Nivel2"/>
        <w:tabs>
          <w:tab w:val="clear" w:pos="0"/>
        </w:tabs>
        <w:spacing w:lineRule="auto" w:line="360" w:before="0" w:after="0"/>
        <w:ind w:firstLine="709" w:left="0"/>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spacing w:lineRule="auto" w:line="360" w:before="0" w:after="0"/>
        <w:ind w:firstLine="709" w:left="0"/>
        <w:rPr>
          <w:sz w:val="22"/>
          <w:szCs w:val="22"/>
        </w:rPr>
      </w:pPr>
      <w:r>
        <w:rPr>
          <w:sz w:val="22"/>
          <w:szCs w:val="22"/>
        </w:rPr>
        <w:t xml:space="preserve">e) Caso a proposta seja assinada digitalmente a mesma poderá ser enviada através da plataforma do pregão ou via e-mail: </w:t>
      </w:r>
      <w:hyperlink r:id="rId12">
        <w:r>
          <w:rPr>
            <w:rStyle w:val="Hyperlink"/>
            <w:sz w:val="22"/>
            <w:szCs w:val="22"/>
          </w:rPr>
          <w:t>licitacoes@licitacoes.itatiba.sp.gov.br</w:t>
        </w:r>
      </w:hyperlink>
      <w:r>
        <w:rPr>
          <w:sz w:val="22"/>
          <w:szCs w:val="22"/>
        </w:rPr>
        <w:t xml:space="preserve">. </w:t>
      </w:r>
    </w:p>
    <w:p>
      <w:pPr>
        <w:pStyle w:val="Nivel2"/>
        <w:tabs>
          <w:tab w:val="clear" w:pos="0"/>
        </w:tabs>
        <w:spacing w:lineRule="auto" w:line="360" w:before="0" w:after="0"/>
        <w:ind w:hanging="0" w:left="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9"/>
        </w:numPr>
        <w:spacing w:lineRule="auto" w:line="360" w:before="0" w:after="0"/>
        <w:ind w:hanging="0" w:left="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9"/>
        </w:numPr>
        <w:spacing w:lineRule="auto" w:line="360" w:before="0" w:after="0"/>
        <w:ind w:hanging="0" w:left="0"/>
        <w:rPr>
          <w:sz w:val="22"/>
          <w:szCs w:val="22"/>
        </w:rPr>
      </w:pPr>
      <w:r>
        <w:rPr>
          <w:sz w:val="22"/>
          <w:szCs w:val="22"/>
        </w:rPr>
        <w:t>A empresa participante e seu representante legal são responsáveis pela autenticidade e veracidade dos documentos enviados eletronicamente.</w:t>
      </w:r>
    </w:p>
    <w:p>
      <w:pPr>
        <w:pStyle w:val="Nivel2"/>
        <w:numPr>
          <w:ilvl w:val="0"/>
          <w:numId w:val="9"/>
        </w:numPr>
        <w:spacing w:lineRule="auto" w:line="360" w:before="0" w:after="0"/>
        <w:ind w:hanging="0" w:left="0"/>
        <w:rPr>
          <w:sz w:val="22"/>
          <w:szCs w:val="22"/>
        </w:rPr>
      </w:pPr>
      <w:r>
        <w:rPr>
          <w:sz w:val="22"/>
          <w:szCs w:val="22"/>
        </w:rPr>
        <w:t>Caso os documentos sejam assinados e autenticados digitalmente NÃO há necessidade de encaminhar novamente de forma física.</w:t>
      </w:r>
    </w:p>
    <w:p>
      <w:pPr>
        <w:pStyle w:val="ListParagraph"/>
        <w:numPr>
          <w:ilvl w:val="1"/>
          <w:numId w:val="3"/>
        </w:numPr>
        <w:spacing w:lineRule="auto" w:line="360" w:before="0" w:after="0"/>
        <w:ind w:hanging="0" w:left="0"/>
        <w:jc w:val="both"/>
        <w:rPr/>
      </w:pPr>
      <w:r>
        <w:rPr>
          <w:rFonts w:cs="Arial" w:ascii="Arial" w:hAnsi="Arial"/>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tabs>
          <w:tab w:val="clear" w:pos="0"/>
        </w:tabs>
        <w:spacing w:lineRule="auto" w:line="360" w:before="0" w:after="0"/>
        <w:ind w:hanging="0" w:left="0"/>
        <w:rPr>
          <w:i/>
          <w:i/>
          <w:sz w:val="22"/>
          <w:szCs w:val="22"/>
        </w:rPr>
      </w:pPr>
      <w:r>
        <w:rPr>
          <w:i/>
          <w:sz w:val="22"/>
          <w:szCs w:val="22"/>
        </w:rPr>
      </w:r>
    </w:p>
    <w:p>
      <w:pPr>
        <w:pStyle w:val="Nivel01"/>
        <w:numPr>
          <w:ilvl w:val="0"/>
          <w:numId w:val="3"/>
        </w:numPr>
        <w:spacing w:lineRule="auto" w:line="360" w:before="0" w:after="0"/>
        <w:ind w:hanging="0" w:left="0"/>
        <w:rPr>
          <w:sz w:val="22"/>
          <w:szCs w:val="22"/>
        </w:rPr>
      </w:pPr>
      <w:r>
        <w:rPr>
          <w:sz w:val="22"/>
          <w:szCs w:val="22"/>
        </w:rPr>
        <w:t>DA ATA DE REGISTRO DE PREÇOS</w:t>
      </w:r>
    </w:p>
    <w:p>
      <w:pPr>
        <w:pStyle w:val="Nivel2"/>
        <w:numPr>
          <w:ilvl w:val="1"/>
          <w:numId w:val="3"/>
        </w:numPr>
        <w:spacing w:lineRule="auto" w:line="360" w:before="0" w:after="0"/>
        <w:ind w:hanging="0" w:left="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3"/>
        </w:numPr>
        <w:spacing w:lineRule="auto" w:line="360" w:before="0" w:after="0"/>
        <w:ind w:hanging="0" w:left="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tabs>
          <w:tab w:val="clear" w:pos="0"/>
        </w:tabs>
        <w:spacing w:lineRule="auto" w:line="360" w:before="0" w:after="0"/>
        <w:ind w:hanging="0" w:left="0"/>
        <w:rPr>
          <w:iCs/>
          <w:sz w:val="22"/>
          <w:szCs w:val="22"/>
        </w:rPr>
      </w:pPr>
      <w:r>
        <w:rPr>
          <w:iCs/>
          <w:sz w:val="22"/>
          <w:szCs w:val="22"/>
        </w:rPr>
        <w:t>(a) a solicitação seja devidamente justificada e apresentada dentro do prazo; e</w:t>
      </w:r>
    </w:p>
    <w:p>
      <w:pPr>
        <w:pStyle w:val="Nivel2"/>
        <w:tabs>
          <w:tab w:val="clear" w:pos="0"/>
        </w:tabs>
        <w:spacing w:lineRule="auto" w:line="360" w:before="0" w:after="0"/>
        <w:ind w:hanging="0" w:left="0"/>
        <w:rPr>
          <w:iCs/>
          <w:sz w:val="22"/>
          <w:szCs w:val="22"/>
        </w:rPr>
      </w:pPr>
      <w:r>
        <w:rPr>
          <w:iCs/>
          <w:sz w:val="22"/>
          <w:szCs w:val="22"/>
        </w:rPr>
        <w:t>(b) a justificativa apresentada seja aceita pela Administração.</w:t>
      </w:r>
    </w:p>
    <w:p>
      <w:pPr>
        <w:pStyle w:val="Nivel2"/>
        <w:numPr>
          <w:ilvl w:val="1"/>
          <w:numId w:val="3"/>
        </w:numPr>
        <w:spacing w:lineRule="auto" w:line="360" w:before="0" w:after="0"/>
        <w:ind w:hanging="0" w:left="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3"/>
        </w:numPr>
        <w:spacing w:lineRule="auto" w:line="360" w:before="0" w:after="0"/>
        <w:ind w:hanging="0" w:left="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3"/>
        </w:numPr>
        <w:spacing w:lineRule="auto" w:line="360" w:before="0" w:after="0"/>
        <w:ind w:hanging="0" w:left="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3"/>
        </w:numPr>
        <w:spacing w:lineRule="auto" w:line="360" w:before="0" w:after="0"/>
        <w:ind w:hanging="0" w:left="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 xml:space="preserve">DA FORMAÇÃO DO CADASTRO DE RESERVA </w:t>
      </w:r>
    </w:p>
    <w:p>
      <w:pPr>
        <w:pStyle w:val="Nivel2"/>
        <w:numPr>
          <w:ilvl w:val="1"/>
          <w:numId w:val="3"/>
        </w:numPr>
        <w:spacing w:lineRule="auto" w:line="360" w:before="0" w:after="0"/>
        <w:ind w:hanging="0" w:left="0"/>
        <w:rPr>
          <w:sz w:val="22"/>
          <w:szCs w:val="22"/>
        </w:rPr>
      </w:pPr>
      <w:r>
        <w:rPr>
          <w:sz w:val="22"/>
          <w:szCs w:val="22"/>
        </w:rPr>
        <w:t>Após a homologação da licitação, será incluído na ata, na forma de anexo, o registro:</w:t>
      </w:r>
    </w:p>
    <w:p>
      <w:pPr>
        <w:pStyle w:val="Nivel3"/>
        <w:numPr>
          <w:ilvl w:val="2"/>
          <w:numId w:val="3"/>
        </w:numPr>
        <w:spacing w:lineRule="auto" w:line="360" w:before="0" w:after="0"/>
        <w:ind w:hanging="0" w:left="567"/>
        <w:rPr/>
      </w:pPr>
      <w:r>
        <w:rPr>
          <w:sz w:val="22"/>
          <w:szCs w:val="22"/>
        </w:rPr>
        <w:t xml:space="preserve">dos licitantes </w:t>
      </w:r>
      <w:bookmarkStart w:id="19" w:name="_Hlk132991372"/>
      <w:r>
        <w:rPr>
          <w:sz w:val="22"/>
          <w:szCs w:val="22"/>
        </w:rPr>
        <w:t xml:space="preserve">que </w:t>
      </w:r>
      <w:bookmarkStart w:id="20" w:name="_Hlk132989696"/>
      <w:r>
        <w:rPr>
          <w:sz w:val="22"/>
          <w:szCs w:val="22"/>
        </w:rPr>
        <w:t>aceitarem cotar o objeto com preço igual ao do adjudicatári</w:t>
      </w:r>
      <w:bookmarkEnd w:id="19"/>
      <w:r>
        <w:rPr>
          <w:sz w:val="22"/>
          <w:szCs w:val="22"/>
        </w:rPr>
        <w:t>o</w:t>
      </w:r>
      <w:bookmarkEnd w:id="20"/>
      <w:r>
        <w:rPr>
          <w:sz w:val="22"/>
          <w:szCs w:val="22"/>
        </w:rPr>
        <w:t xml:space="preserve">, observada a classificação na licitação; e </w:t>
      </w:r>
    </w:p>
    <w:p>
      <w:pPr>
        <w:pStyle w:val="Nivel3"/>
        <w:numPr>
          <w:ilvl w:val="2"/>
          <w:numId w:val="3"/>
        </w:numPr>
        <w:spacing w:lineRule="auto" w:line="360" w:before="0" w:after="0"/>
        <w:ind w:hanging="0" w:left="567"/>
        <w:rPr>
          <w:sz w:val="22"/>
          <w:szCs w:val="22"/>
        </w:rPr>
      </w:pPr>
      <w:r>
        <w:rPr>
          <w:sz w:val="22"/>
          <w:szCs w:val="22"/>
        </w:rPr>
        <w:t>dos licitantes que mantiverem sua proposta original</w:t>
      </w:r>
    </w:p>
    <w:p>
      <w:pPr>
        <w:pStyle w:val="Nivel2"/>
        <w:numPr>
          <w:ilvl w:val="1"/>
          <w:numId w:val="3"/>
        </w:numPr>
        <w:spacing w:lineRule="auto" w:line="360" w:before="0" w:after="0"/>
        <w:ind w:hanging="0" w:left="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3"/>
        </w:numPr>
        <w:tabs>
          <w:tab w:val="clear" w:pos="0"/>
        </w:tabs>
        <w:spacing w:lineRule="auto" w:line="360" w:before="0" w:after="0"/>
        <w:ind w:hanging="0" w:left="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2"/>
        <w:numPr>
          <w:ilvl w:val="0"/>
          <w:numId w:val="5"/>
        </w:numPr>
        <w:spacing w:lineRule="auto" w:line="360" w:before="0" w:after="0"/>
        <w:rPr>
          <w:sz w:val="22"/>
          <w:szCs w:val="22"/>
        </w:rPr>
      </w:pPr>
      <w:r>
        <w:rPr>
          <w:sz w:val="22"/>
          <w:szCs w:val="22"/>
        </w:rPr>
        <w:t xml:space="preserve">quando o licitante vencedor não assinar a ata de registro de preços no prazo e nas condições estabelecidos no edital; ou </w:t>
      </w:r>
    </w:p>
    <w:p>
      <w:pPr>
        <w:pStyle w:val="Nivel2"/>
        <w:numPr>
          <w:ilvl w:val="0"/>
          <w:numId w:val="5"/>
        </w:numPr>
        <w:spacing w:lineRule="auto" w:line="360" w:before="0" w:after="0"/>
        <w:rPr>
          <w:sz w:val="22"/>
          <w:szCs w:val="22"/>
        </w:rPr>
      </w:pPr>
      <w:r>
        <w:rPr>
          <w:sz w:val="22"/>
          <w:szCs w:val="22"/>
        </w:rPr>
        <w:t>quando houver o cancelamento do registro do fornecedor ou do registro de preços, nas hipóteses previstas nos art. 28 e art. 29 do Decreto nº 11.462/23.</w:t>
      </w:r>
    </w:p>
    <w:p>
      <w:pPr>
        <w:pStyle w:val="Nivel2"/>
        <w:numPr>
          <w:ilvl w:val="1"/>
          <w:numId w:val="3"/>
        </w:numPr>
        <w:spacing w:lineRule="auto" w:line="360" w:before="0" w:after="0"/>
        <w:ind w:hanging="0" w:left="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3"/>
        </w:numPr>
        <w:tabs>
          <w:tab w:val="clear" w:pos="0"/>
          <w:tab w:val="left" w:pos="567" w:leader="none"/>
        </w:tabs>
        <w:spacing w:lineRule="auto" w:line="360" w:before="0" w:after="0"/>
        <w:ind w:hanging="0" w:left="567"/>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3"/>
        </w:numPr>
        <w:tabs>
          <w:tab w:val="clear" w:pos="0"/>
          <w:tab w:val="left" w:pos="567" w:leader="none"/>
        </w:tabs>
        <w:spacing w:lineRule="auto" w:line="360" w:before="0" w:after="0"/>
        <w:ind w:hanging="0" w:left="567"/>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tabs>
          <w:tab w:val="clear" w:pos="0"/>
        </w:tabs>
        <w:spacing w:lineRule="auto" w:line="360" w:before="0" w:after="0"/>
        <w:ind w:hanging="0" w:left="0"/>
        <w:rPr>
          <w:i/>
          <w:i/>
          <w:sz w:val="22"/>
          <w:szCs w:val="22"/>
        </w:rPr>
      </w:pPr>
      <w:r>
        <w:rPr>
          <w:i/>
          <w:sz w:val="22"/>
          <w:szCs w:val="22"/>
        </w:rPr>
      </w:r>
    </w:p>
    <w:p>
      <w:pPr>
        <w:pStyle w:val="Nivel01"/>
        <w:numPr>
          <w:ilvl w:val="0"/>
          <w:numId w:val="3"/>
        </w:numPr>
        <w:spacing w:lineRule="auto" w:line="360" w:before="0" w:after="0"/>
        <w:ind w:hanging="0" w:left="0"/>
        <w:rPr>
          <w:sz w:val="22"/>
          <w:szCs w:val="22"/>
        </w:rPr>
      </w:pPr>
      <w:r>
        <w:rPr>
          <w:sz w:val="22"/>
          <w:szCs w:val="22"/>
        </w:rPr>
        <w:t>DOS RECURSOS</w:t>
      </w:r>
    </w:p>
    <w:p>
      <w:pPr>
        <w:pStyle w:val="Nivel2"/>
        <w:numPr>
          <w:ilvl w:val="1"/>
          <w:numId w:val="3"/>
        </w:numPr>
        <w:spacing w:lineRule="auto" w:line="360" w:before="0" w:after="0"/>
        <w:ind w:hanging="0" w:left="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000000"/>
        </w:rPr>
        <w:instrText xml:space="preserve"> HYPERLINK "http://www.planalto.gov.br/ccivil_03/_ato2019-2022/2021/lei/L14133.htm" \l "art165"</w:instrText>
      </w:r>
      <w:r>
        <w:rPr>
          <w:rStyle w:val="Hyperlink"/>
          <w:sz w:val="22"/>
          <w:szCs w:val="22"/>
          <w:color w:val="000000"/>
        </w:rPr>
        <w:fldChar w:fldCharType="separate"/>
      </w:r>
      <w:r>
        <w:rPr>
          <w:rStyle w:val="Hyperlink"/>
          <w:color w:val="000000"/>
          <w:sz w:val="22"/>
          <w:szCs w:val="22"/>
        </w:rPr>
        <w:t>art. 165 da Lei nº 14.133, de 2021</w:t>
      </w:r>
      <w:r>
        <w:rPr>
          <w:rStyle w:val="Hyperlink"/>
          <w:sz w:val="22"/>
          <w:szCs w:val="22"/>
          <w:color w:val="000000"/>
        </w:rPr>
        <w:fldChar w:fldCharType="end"/>
      </w:r>
      <w:r>
        <w:rPr>
          <w:sz w:val="22"/>
          <w:szCs w:val="22"/>
        </w:rPr>
        <w:t>.</w:t>
      </w:r>
    </w:p>
    <w:p>
      <w:pPr>
        <w:pStyle w:val="Nivel2"/>
        <w:numPr>
          <w:ilvl w:val="1"/>
          <w:numId w:val="3"/>
        </w:numPr>
        <w:spacing w:lineRule="auto" w:line="360" w:before="0" w:after="0"/>
        <w:ind w:hanging="0" w:left="0"/>
        <w:rPr>
          <w:sz w:val="22"/>
          <w:szCs w:val="22"/>
        </w:rPr>
      </w:pPr>
      <w:r>
        <w:rPr>
          <w:sz w:val="22"/>
          <w:szCs w:val="22"/>
        </w:rPr>
        <w:t>O prazo recursal é de 3 (três) dias úteis, contados da data de intimação ou de lavratura da ata.</w:t>
      </w:r>
    </w:p>
    <w:p>
      <w:pPr>
        <w:pStyle w:val="Nivel2"/>
        <w:numPr>
          <w:ilvl w:val="1"/>
          <w:numId w:val="3"/>
        </w:numPr>
        <w:spacing w:lineRule="auto" w:line="360" w:before="0" w:after="0"/>
        <w:ind w:hanging="0" w:left="0"/>
        <w:rPr>
          <w:sz w:val="22"/>
          <w:szCs w:val="22"/>
        </w:rPr>
      </w:pPr>
      <w:r>
        <w:rPr>
          <w:sz w:val="22"/>
          <w:szCs w:val="22"/>
        </w:rPr>
        <w:t>Quando o recurso apresentado impugnar o julgamento das propostas ou o ato de habilitação ou inabilitação do licitante:</w:t>
      </w:r>
    </w:p>
    <w:p>
      <w:pPr>
        <w:pStyle w:val="Nivel3"/>
        <w:numPr>
          <w:ilvl w:val="2"/>
          <w:numId w:val="3"/>
        </w:numPr>
        <w:spacing w:lineRule="auto" w:line="360" w:before="0" w:after="0"/>
        <w:ind w:hanging="0" w:left="567"/>
        <w:rPr>
          <w:sz w:val="22"/>
          <w:szCs w:val="22"/>
        </w:rPr>
      </w:pPr>
      <w:r>
        <w:rPr>
          <w:sz w:val="22"/>
          <w:szCs w:val="22"/>
        </w:rPr>
        <w:t>A intenção de recorrer deverá ser manifestada imediatamente, sob pena de preclusão;</w:t>
      </w:r>
    </w:p>
    <w:p>
      <w:pPr>
        <w:pStyle w:val="Nivel3"/>
        <w:numPr>
          <w:ilvl w:val="2"/>
          <w:numId w:val="3"/>
        </w:numPr>
        <w:spacing w:lineRule="auto" w:line="360" w:before="0" w:after="0"/>
        <w:ind w:hanging="0" w:left="567"/>
        <w:rPr>
          <w:sz w:val="22"/>
          <w:szCs w:val="22"/>
        </w:rPr>
      </w:pPr>
      <w:r>
        <w:rPr>
          <w:sz w:val="22"/>
          <w:szCs w:val="22"/>
        </w:rPr>
        <w:t>O prazo para a manifestação da intenção de recorrer será de 10 (trinta) minutos;</w:t>
      </w:r>
    </w:p>
    <w:p>
      <w:pPr>
        <w:pStyle w:val="Nivel3"/>
        <w:numPr>
          <w:ilvl w:val="2"/>
          <w:numId w:val="3"/>
        </w:numPr>
        <w:spacing w:lineRule="auto" w:line="360" w:before="0" w:after="0"/>
        <w:ind w:hanging="0" w:left="567"/>
        <w:rPr>
          <w:sz w:val="22"/>
          <w:szCs w:val="22"/>
        </w:rPr>
      </w:pPr>
      <w:bookmarkStart w:id="21" w:name="_Hlk156913398"/>
      <w:bookmarkEnd w:id="21"/>
      <w:r>
        <w:rPr>
          <w:sz w:val="22"/>
          <w:szCs w:val="22"/>
        </w:rPr>
        <w:t>O prazo para apresentação das razões recursais será iniciado na data de intimação ou de lavratura da ata de habilitação ou inabilitação;</w:t>
      </w:r>
    </w:p>
    <w:p>
      <w:pPr>
        <w:pStyle w:val="Nivel2"/>
        <w:numPr>
          <w:ilvl w:val="1"/>
          <w:numId w:val="3"/>
        </w:numPr>
        <w:spacing w:lineRule="auto" w:line="360" w:before="0" w:after="0"/>
        <w:ind w:hanging="0" w:left="0"/>
        <w:rPr>
          <w:sz w:val="22"/>
          <w:szCs w:val="22"/>
        </w:rPr>
      </w:pPr>
      <w:r>
        <w:rPr>
          <w:sz w:val="22"/>
          <w:szCs w:val="22"/>
        </w:rPr>
        <w:t>Os recursos deverão ser encaminhados em campo próprio do sistema.</w:t>
      </w:r>
    </w:p>
    <w:p>
      <w:pPr>
        <w:pStyle w:val="Nivel2"/>
        <w:numPr>
          <w:ilvl w:val="1"/>
          <w:numId w:val="3"/>
        </w:numPr>
        <w:spacing w:lineRule="auto" w:line="360" w:before="0" w:after="0"/>
        <w:ind w:hanging="0" w:left="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3"/>
        </w:numPr>
        <w:spacing w:lineRule="auto" w:line="360" w:before="0" w:after="0"/>
        <w:ind w:hanging="0" w:left="0"/>
        <w:rPr>
          <w:sz w:val="22"/>
          <w:szCs w:val="22"/>
        </w:rPr>
      </w:pPr>
      <w:r>
        <w:rPr>
          <w:sz w:val="22"/>
          <w:szCs w:val="22"/>
        </w:rPr>
        <w:t xml:space="preserve">Os recursos interpostos fora do prazo não serão conhecidos. </w:t>
      </w:r>
    </w:p>
    <w:p>
      <w:pPr>
        <w:pStyle w:val="Nivel2"/>
        <w:numPr>
          <w:ilvl w:val="1"/>
          <w:numId w:val="3"/>
        </w:numPr>
        <w:spacing w:lineRule="auto" w:line="360" w:before="0" w:after="0"/>
        <w:ind w:hanging="0" w:left="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3"/>
        </w:numPr>
        <w:spacing w:lineRule="auto" w:line="360" w:before="0" w:after="0"/>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3"/>
        </w:numPr>
        <w:spacing w:lineRule="auto" w:line="360" w:before="0" w:after="0"/>
        <w:ind w:hanging="0" w:left="0"/>
        <w:rPr>
          <w:sz w:val="22"/>
          <w:szCs w:val="22"/>
        </w:rPr>
      </w:pPr>
      <w:r>
        <w:rPr>
          <w:sz w:val="22"/>
          <w:szCs w:val="22"/>
        </w:rPr>
        <w:t xml:space="preserve">O acolhimento do recurso invalida tão somente os atos insuscetíveis de aproveitamento. </w:t>
      </w:r>
    </w:p>
    <w:p>
      <w:pPr>
        <w:pStyle w:val="Nivel2"/>
        <w:numPr>
          <w:ilvl w:val="1"/>
          <w:numId w:val="3"/>
        </w:numPr>
        <w:spacing w:lineRule="auto" w:line="360" w:before="0" w:after="0"/>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DAS INFRAÇÕES ADMINISTRATIVAS E SANÇÕES</w:t>
      </w:r>
    </w:p>
    <w:p>
      <w:pPr>
        <w:pStyle w:val="Nivel2"/>
        <w:numPr>
          <w:ilvl w:val="1"/>
          <w:numId w:val="3"/>
        </w:numPr>
        <w:spacing w:lineRule="auto" w:line="360" w:before="0" w:after="0"/>
        <w:ind w:hanging="0" w:left="0"/>
        <w:rPr>
          <w:sz w:val="22"/>
          <w:szCs w:val="22"/>
        </w:rPr>
      </w:pPr>
      <w:r>
        <w:rPr>
          <w:sz w:val="22"/>
          <w:szCs w:val="22"/>
        </w:rPr>
        <w:t xml:space="preserve">Comete infração administrativa, nos termos da lei, o licitante que, com dolo ou culpa: </w:t>
      </w:r>
    </w:p>
    <w:p>
      <w:pPr>
        <w:pStyle w:val="Nivel3"/>
        <w:numPr>
          <w:ilvl w:val="2"/>
          <w:numId w:val="3"/>
        </w:numPr>
        <w:spacing w:lineRule="auto" w:line="360" w:before="0" w:after="0"/>
        <w:ind w:hanging="0" w:left="567"/>
        <w:rPr>
          <w:sz w:val="22"/>
          <w:szCs w:val="22"/>
        </w:rPr>
      </w:pPr>
      <w:bookmarkStart w:id="22" w:name="_Ref114668085"/>
      <w:r>
        <w:rPr>
          <w:sz w:val="22"/>
          <w:szCs w:val="22"/>
        </w:rPr>
        <w:t>deixar de entregar a documentação exigida para o certame ou não entregar qualquer documento que tenha sido solicitado pelo/a pregoeiro/a durante o certame;</w:t>
      </w:r>
      <w:bookmarkEnd w:id="22"/>
    </w:p>
    <w:p>
      <w:pPr>
        <w:pStyle w:val="Nivel3"/>
        <w:numPr>
          <w:ilvl w:val="2"/>
          <w:numId w:val="3"/>
        </w:numPr>
        <w:spacing w:lineRule="auto" w:line="360" w:before="0" w:after="0"/>
        <w:ind w:hanging="0" w:left="567"/>
        <w:rPr>
          <w:sz w:val="22"/>
          <w:szCs w:val="22"/>
        </w:rPr>
      </w:pPr>
      <w:bookmarkStart w:id="23" w:name="_Ref114668108"/>
      <w:r>
        <w:rPr>
          <w:sz w:val="22"/>
          <w:szCs w:val="22"/>
        </w:rPr>
        <w:t>Salvo em decorrência de fato superveniente devidamente justificado, não mantiver a proposta em especial quando:</w:t>
      </w:r>
      <w:bookmarkEnd w:id="23"/>
    </w:p>
    <w:p>
      <w:pPr>
        <w:pStyle w:val="Nivel4"/>
        <w:numPr>
          <w:ilvl w:val="3"/>
          <w:numId w:val="3"/>
        </w:numPr>
        <w:spacing w:lineRule="auto" w:line="360" w:before="0" w:after="0"/>
        <w:ind w:hanging="0" w:left="1134"/>
        <w:rPr>
          <w:sz w:val="22"/>
          <w:szCs w:val="22"/>
        </w:rPr>
      </w:pPr>
      <w:r>
        <w:rPr>
          <w:sz w:val="22"/>
          <w:szCs w:val="22"/>
        </w:rPr>
        <w:t xml:space="preserve">não enviar a proposta adequada ao último lance ofertado ou após a negociação; </w:t>
      </w:r>
    </w:p>
    <w:p>
      <w:pPr>
        <w:pStyle w:val="Nivel4"/>
        <w:numPr>
          <w:ilvl w:val="3"/>
          <w:numId w:val="3"/>
        </w:numPr>
        <w:spacing w:lineRule="auto" w:line="360" w:before="0" w:after="0"/>
        <w:ind w:hanging="0" w:left="1134"/>
        <w:rPr>
          <w:sz w:val="22"/>
          <w:szCs w:val="22"/>
        </w:rPr>
      </w:pPr>
      <w:r>
        <w:rPr>
          <w:sz w:val="22"/>
          <w:szCs w:val="22"/>
        </w:rPr>
        <w:t xml:space="preserve">recusar-se a enviar o detalhamento da proposta quando exigível; </w:t>
      </w:r>
    </w:p>
    <w:p>
      <w:pPr>
        <w:pStyle w:val="Nivel4"/>
        <w:numPr>
          <w:ilvl w:val="3"/>
          <w:numId w:val="3"/>
        </w:numPr>
        <w:spacing w:lineRule="auto" w:line="360" w:before="0" w:after="0"/>
        <w:ind w:hanging="0" w:left="1134"/>
        <w:rPr>
          <w:sz w:val="22"/>
          <w:szCs w:val="22"/>
        </w:rPr>
      </w:pPr>
      <w:r>
        <w:rPr>
          <w:sz w:val="22"/>
          <w:szCs w:val="22"/>
        </w:rPr>
        <w:t xml:space="preserve">pedir para ser desclassificado quando encerrada a etapa competitiva; ou </w:t>
      </w:r>
    </w:p>
    <w:p>
      <w:pPr>
        <w:pStyle w:val="Nivel3"/>
        <w:numPr>
          <w:ilvl w:val="2"/>
          <w:numId w:val="3"/>
        </w:numPr>
        <w:spacing w:lineRule="auto" w:line="360" w:before="0" w:after="0"/>
        <w:ind w:hanging="0" w:left="567"/>
        <w:rPr>
          <w:sz w:val="22"/>
          <w:szCs w:val="22"/>
        </w:rPr>
      </w:pPr>
      <w:bookmarkStart w:id="24" w:name="_Ref114668139"/>
      <w:r>
        <w:rPr>
          <w:sz w:val="22"/>
          <w:szCs w:val="22"/>
        </w:rPr>
        <w:t>não celebrar o contrato ou não entregar a documentação exigida para a contratação, quando convocado dentro do prazo de validade de sua proposta;</w:t>
      </w:r>
      <w:bookmarkEnd w:id="24"/>
    </w:p>
    <w:p>
      <w:pPr>
        <w:pStyle w:val="Nivel4"/>
        <w:numPr>
          <w:ilvl w:val="3"/>
          <w:numId w:val="3"/>
        </w:numPr>
        <w:spacing w:lineRule="auto" w:line="360" w:before="0" w:after="0"/>
        <w:ind w:hanging="0" w:left="567"/>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3"/>
        </w:numPr>
        <w:spacing w:lineRule="auto" w:line="360" w:before="0" w:after="0"/>
        <w:ind w:hanging="0" w:left="567"/>
        <w:rPr>
          <w:sz w:val="22"/>
          <w:szCs w:val="22"/>
        </w:rPr>
      </w:pPr>
      <w:bookmarkStart w:id="25" w:name="_Ref114668249"/>
      <w:r>
        <w:rPr>
          <w:sz w:val="22"/>
          <w:szCs w:val="22"/>
        </w:rPr>
        <w:t>apresentar declaração ou documentação falsa exigida para o certame ou prestar declaração falsa durante a licitação</w:t>
      </w:r>
      <w:bookmarkEnd w:id="25"/>
    </w:p>
    <w:p>
      <w:pPr>
        <w:pStyle w:val="Nivel3"/>
        <w:numPr>
          <w:ilvl w:val="2"/>
          <w:numId w:val="3"/>
        </w:numPr>
        <w:spacing w:lineRule="auto" w:line="360" w:before="0" w:after="0"/>
        <w:ind w:hanging="0" w:left="567"/>
        <w:rPr>
          <w:sz w:val="22"/>
          <w:szCs w:val="22"/>
        </w:rPr>
      </w:pPr>
      <w:bookmarkStart w:id="26" w:name="_Ref114668245"/>
      <w:r>
        <w:rPr>
          <w:sz w:val="22"/>
          <w:szCs w:val="22"/>
        </w:rPr>
        <w:t>fraudar a licitação</w:t>
      </w:r>
      <w:bookmarkEnd w:id="26"/>
    </w:p>
    <w:p>
      <w:pPr>
        <w:pStyle w:val="Nivel3"/>
        <w:numPr>
          <w:ilvl w:val="2"/>
          <w:numId w:val="3"/>
        </w:numPr>
        <w:spacing w:lineRule="auto" w:line="360" w:before="0" w:after="0"/>
        <w:ind w:hanging="0" w:left="567"/>
        <w:rPr>
          <w:sz w:val="22"/>
          <w:szCs w:val="22"/>
        </w:rPr>
      </w:pPr>
      <w:bookmarkStart w:id="27" w:name="_Ref114668247"/>
      <w:r>
        <w:rPr>
          <w:sz w:val="22"/>
          <w:szCs w:val="22"/>
        </w:rPr>
        <w:t>comportar-se de modo inidôneo ou cometer fraude de qualquer natureza, em especial quando:</w:t>
      </w:r>
      <w:bookmarkEnd w:id="27"/>
    </w:p>
    <w:p>
      <w:pPr>
        <w:pStyle w:val="Nivel4"/>
        <w:numPr>
          <w:ilvl w:val="3"/>
          <w:numId w:val="3"/>
        </w:numPr>
        <w:spacing w:lineRule="auto" w:line="360" w:before="0" w:after="0"/>
        <w:ind w:hanging="0" w:left="1134"/>
        <w:rPr>
          <w:sz w:val="22"/>
          <w:szCs w:val="22"/>
        </w:rPr>
      </w:pPr>
      <w:r>
        <w:rPr>
          <w:sz w:val="22"/>
          <w:szCs w:val="22"/>
        </w:rPr>
        <w:t xml:space="preserve">agir em conluio ou em desconformidade com a lei; </w:t>
      </w:r>
    </w:p>
    <w:p>
      <w:pPr>
        <w:pStyle w:val="Nivel4"/>
        <w:numPr>
          <w:ilvl w:val="3"/>
          <w:numId w:val="3"/>
        </w:numPr>
        <w:spacing w:lineRule="auto" w:line="360" w:before="0" w:after="0"/>
        <w:ind w:hanging="0" w:left="1134"/>
        <w:rPr>
          <w:sz w:val="22"/>
          <w:szCs w:val="22"/>
        </w:rPr>
      </w:pPr>
      <w:r>
        <w:rPr>
          <w:sz w:val="22"/>
          <w:szCs w:val="22"/>
        </w:rPr>
        <w:t xml:space="preserve">induzir deliberadamente a erro no julgamento; </w:t>
      </w:r>
    </w:p>
    <w:p>
      <w:pPr>
        <w:pStyle w:val="Nivel4"/>
        <w:numPr>
          <w:ilvl w:val="3"/>
          <w:numId w:val="3"/>
        </w:numPr>
        <w:spacing w:lineRule="auto" w:line="360" w:before="0" w:after="0"/>
        <w:ind w:hanging="0" w:left="1134"/>
        <w:rPr>
          <w:sz w:val="22"/>
          <w:szCs w:val="22"/>
        </w:rPr>
      </w:pPr>
      <w:r>
        <w:rPr>
          <w:sz w:val="22"/>
          <w:szCs w:val="22"/>
        </w:rPr>
        <w:t xml:space="preserve">apresentar amostra falsificada ou deteriorada; </w:t>
      </w:r>
    </w:p>
    <w:p>
      <w:pPr>
        <w:pStyle w:val="Nivel3"/>
        <w:numPr>
          <w:ilvl w:val="2"/>
          <w:numId w:val="3"/>
        </w:numPr>
        <w:spacing w:lineRule="auto" w:line="360" w:before="0" w:after="0"/>
        <w:ind w:hanging="0" w:left="567"/>
        <w:rPr>
          <w:sz w:val="22"/>
          <w:szCs w:val="22"/>
        </w:rPr>
      </w:pPr>
      <w:bookmarkStart w:id="28" w:name="_Ref114668251"/>
      <w:r>
        <w:rPr>
          <w:sz w:val="22"/>
          <w:szCs w:val="22"/>
        </w:rPr>
        <w:t>praticar atos ilícitos com vistas a frustrar os objetivos da licitação</w:t>
      </w:r>
      <w:bookmarkEnd w:id="28"/>
    </w:p>
    <w:p>
      <w:pPr>
        <w:pStyle w:val="Nivel3"/>
        <w:numPr>
          <w:ilvl w:val="2"/>
          <w:numId w:val="3"/>
        </w:numPr>
        <w:spacing w:lineRule="auto" w:line="360" w:before="0" w:after="0"/>
        <w:ind w:hanging="0" w:left="567"/>
        <w:rPr/>
      </w:pPr>
      <w:bookmarkStart w:id="29"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29"/>
    </w:p>
    <w:p>
      <w:pPr>
        <w:pStyle w:val="Nivel2"/>
        <w:numPr>
          <w:ilvl w:val="1"/>
          <w:numId w:val="3"/>
        </w:numPr>
        <w:spacing w:lineRule="auto" w:line="360" w:before="0" w:after="0"/>
        <w:ind w:hanging="0" w:left="0"/>
        <w:rPr/>
      </w:pPr>
      <w:bookmarkStart w:id="30" w:name="_Hlk114652595"/>
      <w:bookmarkEnd w:id="30"/>
      <w:r>
        <w:rPr>
          <w:sz w:val="22"/>
          <w:szCs w:val="22"/>
        </w:rPr>
        <w:t xml:space="preserve">Com fulcro na </w:t>
      </w:r>
      <w:hyperlink r:id="rId13">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3"/>
        </w:numPr>
        <w:spacing w:lineRule="auto" w:line="360" w:before="0" w:after="0"/>
        <w:ind w:hanging="0" w:left="567"/>
        <w:rPr>
          <w:sz w:val="22"/>
          <w:szCs w:val="22"/>
        </w:rPr>
      </w:pPr>
      <w:r>
        <w:rPr>
          <w:sz w:val="22"/>
          <w:szCs w:val="22"/>
        </w:rPr>
        <w:t xml:space="preserve">advertência; </w:t>
      </w:r>
    </w:p>
    <w:p>
      <w:pPr>
        <w:pStyle w:val="Nivel3"/>
        <w:numPr>
          <w:ilvl w:val="2"/>
          <w:numId w:val="3"/>
        </w:numPr>
        <w:spacing w:lineRule="auto" w:line="360" w:before="0" w:after="0"/>
        <w:ind w:hanging="0" w:left="567"/>
        <w:rPr>
          <w:sz w:val="22"/>
          <w:szCs w:val="22"/>
        </w:rPr>
      </w:pPr>
      <w:r>
        <w:rPr>
          <w:sz w:val="22"/>
          <w:szCs w:val="22"/>
        </w:rPr>
        <w:t>multa;</w:t>
      </w:r>
    </w:p>
    <w:p>
      <w:pPr>
        <w:pStyle w:val="Nivel3"/>
        <w:numPr>
          <w:ilvl w:val="2"/>
          <w:numId w:val="3"/>
        </w:numPr>
        <w:spacing w:lineRule="auto" w:line="360" w:before="0" w:after="0"/>
        <w:ind w:hanging="0" w:left="567"/>
        <w:rPr>
          <w:sz w:val="22"/>
          <w:szCs w:val="22"/>
        </w:rPr>
      </w:pPr>
      <w:r>
        <w:rPr>
          <w:sz w:val="22"/>
          <w:szCs w:val="22"/>
        </w:rPr>
        <w:t>impedimento de licitar e contratar e</w:t>
      </w:r>
    </w:p>
    <w:p>
      <w:pPr>
        <w:pStyle w:val="Nivel3"/>
        <w:numPr>
          <w:ilvl w:val="2"/>
          <w:numId w:val="3"/>
        </w:numPr>
        <w:spacing w:lineRule="auto" w:line="360" w:before="0" w:after="0"/>
        <w:ind w:hanging="0" w:left="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3"/>
        </w:numPr>
        <w:spacing w:lineRule="auto" w:line="360" w:before="0" w:after="0"/>
        <w:ind w:hanging="0" w:left="0"/>
        <w:rPr>
          <w:sz w:val="22"/>
          <w:szCs w:val="22"/>
        </w:rPr>
      </w:pPr>
      <w:r>
        <w:rPr>
          <w:sz w:val="22"/>
          <w:szCs w:val="22"/>
        </w:rPr>
        <w:t>Na aplicação das sanções serão considerados:</w:t>
      </w:r>
    </w:p>
    <w:p>
      <w:pPr>
        <w:pStyle w:val="Nivel3"/>
        <w:numPr>
          <w:ilvl w:val="2"/>
          <w:numId w:val="3"/>
        </w:numPr>
        <w:spacing w:lineRule="auto" w:line="360" w:before="0" w:after="0"/>
        <w:ind w:hanging="0" w:left="567"/>
        <w:rPr>
          <w:sz w:val="22"/>
          <w:szCs w:val="22"/>
        </w:rPr>
      </w:pPr>
      <w:r>
        <w:rPr>
          <w:sz w:val="22"/>
          <w:szCs w:val="22"/>
        </w:rPr>
        <w:t>a natureza e a gravidade da infração cometida.</w:t>
      </w:r>
    </w:p>
    <w:p>
      <w:pPr>
        <w:pStyle w:val="Nivel3"/>
        <w:numPr>
          <w:ilvl w:val="2"/>
          <w:numId w:val="3"/>
        </w:numPr>
        <w:spacing w:lineRule="auto" w:line="360" w:before="0" w:after="0"/>
        <w:ind w:hanging="0" w:left="567"/>
        <w:rPr>
          <w:sz w:val="22"/>
          <w:szCs w:val="22"/>
        </w:rPr>
      </w:pPr>
      <w:r>
        <w:rPr>
          <w:sz w:val="22"/>
          <w:szCs w:val="22"/>
        </w:rPr>
        <w:t>as peculiaridades do caso concreto</w:t>
      </w:r>
    </w:p>
    <w:p>
      <w:pPr>
        <w:pStyle w:val="Nivel3"/>
        <w:numPr>
          <w:ilvl w:val="2"/>
          <w:numId w:val="3"/>
        </w:numPr>
        <w:spacing w:lineRule="auto" w:line="360" w:before="0" w:after="0"/>
        <w:ind w:hanging="0" w:left="567"/>
        <w:rPr>
          <w:sz w:val="22"/>
          <w:szCs w:val="22"/>
        </w:rPr>
      </w:pPr>
      <w:r>
        <w:rPr>
          <w:sz w:val="22"/>
          <w:szCs w:val="22"/>
        </w:rPr>
        <w:t>as circunstâncias agravantes ou atenuantes</w:t>
      </w:r>
    </w:p>
    <w:p>
      <w:pPr>
        <w:pStyle w:val="Nivel3"/>
        <w:numPr>
          <w:ilvl w:val="2"/>
          <w:numId w:val="3"/>
        </w:numPr>
        <w:spacing w:lineRule="auto" w:line="360" w:before="0" w:after="0"/>
        <w:ind w:hanging="0" w:left="567"/>
        <w:rPr>
          <w:sz w:val="22"/>
          <w:szCs w:val="22"/>
        </w:rPr>
      </w:pPr>
      <w:r>
        <w:rPr>
          <w:sz w:val="22"/>
          <w:szCs w:val="22"/>
        </w:rPr>
        <w:t>os danos que dela provierem para a Administração Pública</w:t>
      </w:r>
    </w:p>
    <w:p>
      <w:pPr>
        <w:pStyle w:val="Nivel3"/>
        <w:numPr>
          <w:ilvl w:val="2"/>
          <w:numId w:val="3"/>
        </w:numPr>
        <w:spacing w:lineRule="auto" w:line="360" w:before="0" w:after="0"/>
        <w:ind w:hanging="0" w:left="567"/>
        <w:rPr>
          <w:sz w:val="22"/>
          <w:szCs w:val="22"/>
        </w:rPr>
      </w:pPr>
      <w:r>
        <w:rPr>
          <w:sz w:val="22"/>
          <w:szCs w:val="22"/>
        </w:rPr>
        <w:t>a implantação ou o aperfeiçoamento de programa de integridade, conforme normas e orientações dos órgãos de controle.</w:t>
      </w:r>
    </w:p>
    <w:p>
      <w:pPr>
        <w:pStyle w:val="Nivel2"/>
        <w:numPr>
          <w:ilvl w:val="1"/>
          <w:numId w:val="3"/>
        </w:numPr>
        <w:spacing w:lineRule="auto" w:line="360" w:before="0" w:after="0"/>
        <w:ind w:hanging="0" w:left="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3"/>
        </w:numPr>
        <w:tabs>
          <w:tab w:val="clear" w:pos="0"/>
          <w:tab w:val="left" w:pos="567" w:leader="none"/>
        </w:tabs>
        <w:spacing w:lineRule="auto" w:line="360" w:before="0" w:after="0"/>
        <w:ind w:hanging="0" w:left="567"/>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3"/>
        </w:numPr>
        <w:tabs>
          <w:tab w:val="clear" w:pos="0"/>
          <w:tab w:val="left" w:pos="567" w:leader="none"/>
        </w:tabs>
        <w:spacing w:lineRule="auto" w:line="360" w:before="0" w:after="0"/>
        <w:ind w:hanging="0" w:left="567"/>
        <w:rPr/>
      </w:pPr>
      <w:bookmarkStart w:id="31" w:name="_Hlk113876035"/>
      <w:bookmarkEnd w:id="31"/>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3"/>
        </w:numPr>
        <w:spacing w:lineRule="auto" w:line="360" w:before="0" w:after="0"/>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3"/>
        </w:numPr>
        <w:spacing w:lineRule="auto" w:line="360" w:before="0" w:after="0"/>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3"/>
        </w:numPr>
        <w:spacing w:lineRule="auto" w:line="360" w:before="0" w:after="0"/>
        <w:ind w:hanging="0" w:left="0"/>
        <w:rPr/>
      </w:pPr>
      <w:bookmarkStart w:id="32" w:name="_Hlk159229867"/>
      <w:bookmarkEnd w:id="32"/>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3"/>
        </w:numPr>
        <w:spacing w:lineRule="auto" w:line="360" w:before="0" w:after="0"/>
        <w:ind w:hanging="0" w:left="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3"/>
        </w:numPr>
        <w:spacing w:lineRule="auto" w:line="360" w:before="0" w:after="0"/>
        <w:ind w:hanging="0" w:left="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4">
        <w:r>
          <w:rPr>
            <w:rStyle w:val="Hyperlink"/>
            <w:color w:val="000000"/>
            <w:sz w:val="22"/>
            <w:szCs w:val="22"/>
          </w:rPr>
          <w:t>art. 45, §4º da IN SEGES/ME n.º 73, de 2022</w:t>
        </w:r>
      </w:hyperlink>
      <w:r>
        <w:rPr>
          <w:sz w:val="22"/>
          <w:szCs w:val="22"/>
        </w:rPr>
        <w:t xml:space="preserve">. </w:t>
      </w:r>
    </w:p>
    <w:p>
      <w:pPr>
        <w:pStyle w:val="Nivel2"/>
        <w:numPr>
          <w:ilvl w:val="1"/>
          <w:numId w:val="3"/>
        </w:numPr>
        <w:spacing w:lineRule="auto" w:line="360" w:before="0" w:after="0"/>
        <w:ind w:hanging="0" w:left="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3"/>
        </w:numPr>
        <w:spacing w:lineRule="auto" w:line="360" w:before="0" w:after="0"/>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3"/>
        </w:numPr>
        <w:spacing w:lineRule="auto" w:line="360" w:before="0" w:after="0"/>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3"/>
        </w:numPr>
        <w:spacing w:lineRule="auto" w:line="360" w:before="0" w:after="0"/>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3"/>
        </w:numPr>
        <w:spacing w:lineRule="auto" w:line="360" w:before="0" w:after="0"/>
        <w:ind w:hanging="0" w:left="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DA IMPUGNAÇÃO AO EDITAL E DO PEDIDO DE ESCLARECIMENTO</w:t>
      </w:r>
    </w:p>
    <w:p>
      <w:pPr>
        <w:pStyle w:val="Nivel2"/>
        <w:numPr>
          <w:ilvl w:val="1"/>
          <w:numId w:val="3"/>
        </w:numPr>
        <w:spacing w:lineRule="auto" w:line="360" w:before="0" w:after="0"/>
        <w:ind w:hanging="0" w:left="0"/>
        <w:rPr/>
      </w:pPr>
      <w:r>
        <w:rPr>
          <w:sz w:val="22"/>
          <w:szCs w:val="22"/>
        </w:rPr>
        <w:t xml:space="preserve">Qualquer pessoa é parte legítima para impugnar este Edital por irregularidade na aplicação da </w:t>
      </w:r>
      <w:hyperlink r:id="rId15">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3"/>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3"/>
        </w:numPr>
        <w:spacing w:lineRule="auto" w:line="360" w:before="0" w:after="0"/>
        <w:ind w:hanging="0" w:left="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3"/>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3"/>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3"/>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DAS DISPOSIÇÕES GERAIS</w:t>
      </w:r>
    </w:p>
    <w:p>
      <w:pPr>
        <w:pStyle w:val="Nivel2"/>
        <w:numPr>
          <w:ilvl w:val="1"/>
          <w:numId w:val="3"/>
        </w:numPr>
        <w:spacing w:lineRule="auto" w:line="360" w:before="0" w:after="0"/>
        <w:ind w:hanging="0" w:left="0"/>
        <w:rPr>
          <w:sz w:val="22"/>
          <w:szCs w:val="22"/>
        </w:rPr>
      </w:pPr>
      <w:r>
        <w:rPr>
          <w:sz w:val="22"/>
          <w:szCs w:val="22"/>
        </w:rPr>
        <w:t>Será divulgada ata da sessão pública no sistema eletrônico.</w:t>
      </w:r>
    </w:p>
    <w:p>
      <w:pPr>
        <w:pStyle w:val="Nivel2"/>
        <w:numPr>
          <w:ilvl w:val="1"/>
          <w:numId w:val="3"/>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3"/>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3"/>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3"/>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3"/>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3"/>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3"/>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3"/>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3"/>
        </w:numPr>
        <w:spacing w:lineRule="auto" w:line="360" w:before="0" w:after="0"/>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3"/>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3"/>
        </w:numPr>
        <w:spacing w:lineRule="auto" w:line="360" w:before="0" w:after="0"/>
        <w:ind w:hanging="0" w:left="567"/>
        <w:rPr>
          <w:sz w:val="22"/>
          <w:szCs w:val="22"/>
        </w:rPr>
      </w:pPr>
      <w:r>
        <w:rPr>
          <w:sz w:val="22"/>
          <w:szCs w:val="22"/>
        </w:rPr>
        <w:t>ANEXO I - Termo de Referência</w:t>
      </w:r>
    </w:p>
    <w:p>
      <w:pPr>
        <w:pStyle w:val="Nivel3"/>
        <w:numPr>
          <w:ilvl w:val="2"/>
          <w:numId w:val="3"/>
        </w:numPr>
        <w:spacing w:lineRule="auto" w:line="360" w:before="0" w:after="0"/>
        <w:ind w:hanging="0" w:left="567" w:right="-54"/>
        <w:rPr>
          <w:sz w:val="22"/>
          <w:szCs w:val="22"/>
        </w:rPr>
      </w:pPr>
      <w:r>
        <w:rPr>
          <w:sz w:val="22"/>
          <w:szCs w:val="22"/>
        </w:rPr>
        <w:t>ANEXO II – Modelo de Procuração</w:t>
      </w:r>
    </w:p>
    <w:p>
      <w:pPr>
        <w:pStyle w:val="Nivel3"/>
        <w:numPr>
          <w:ilvl w:val="2"/>
          <w:numId w:val="3"/>
        </w:numPr>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numPr>
          <w:ilvl w:val="2"/>
          <w:numId w:val="3"/>
        </w:numPr>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numPr>
          <w:ilvl w:val="2"/>
          <w:numId w:val="3"/>
        </w:numPr>
        <w:spacing w:lineRule="auto" w:line="360" w:before="0" w:after="0"/>
        <w:ind w:hanging="0" w:left="567"/>
        <w:rPr>
          <w:sz w:val="22"/>
          <w:szCs w:val="22"/>
        </w:rPr>
      </w:pPr>
      <w:r>
        <w:rPr>
          <w:sz w:val="22"/>
          <w:szCs w:val="22"/>
        </w:rPr>
        <w:t>ANEXO V – Modelo de Proposta</w:t>
      </w:r>
    </w:p>
    <w:p>
      <w:pPr>
        <w:pStyle w:val="Nivel3"/>
        <w:numPr>
          <w:ilvl w:val="2"/>
          <w:numId w:val="3"/>
        </w:numPr>
        <w:spacing w:lineRule="auto" w:line="360" w:before="0" w:after="0"/>
        <w:ind w:hanging="0" w:left="567"/>
        <w:rPr>
          <w:sz w:val="22"/>
          <w:szCs w:val="22"/>
        </w:rPr>
      </w:pPr>
      <w:r>
        <w:rPr>
          <w:sz w:val="22"/>
          <w:szCs w:val="22"/>
        </w:rPr>
        <w:t>ANEXO VI - Minuta de Ata de Registro de Preços</w:t>
      </w:r>
    </w:p>
    <w:p>
      <w:pPr>
        <w:pStyle w:val="Nivel3"/>
        <w:numPr>
          <w:ilvl w:val="2"/>
          <w:numId w:val="3"/>
        </w:numPr>
        <w:spacing w:lineRule="auto" w:line="360" w:before="0" w:after="0"/>
        <w:ind w:hanging="0" w:left="567"/>
        <w:rPr>
          <w:sz w:val="22"/>
          <w:szCs w:val="22"/>
        </w:rPr>
      </w:pPr>
      <w:r>
        <w:rPr>
          <w:sz w:val="22"/>
          <w:szCs w:val="22"/>
        </w:rPr>
        <w:t>ANEXO VII – Minuta de Ordem de Serviço</w:t>
      </w:r>
    </w:p>
    <w:p>
      <w:pPr>
        <w:pStyle w:val="Nivel3"/>
        <w:tabs>
          <w:tab w:val="clear" w:pos="0"/>
        </w:tabs>
        <w:spacing w:lineRule="auto" w:line="360" w:before="0" w:after="0"/>
        <w:ind w:hanging="0" w:left="567"/>
        <w:rPr>
          <w:sz w:val="22"/>
          <w:szCs w:val="22"/>
        </w:rPr>
      </w:pPr>
      <w:r>
        <w:rPr>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t xml:space="preserve">Itatiba, </w:t>
      </w:r>
      <w:r>
        <w:rPr>
          <w:rFonts w:eastAsia="MS Mincho;ＭＳ 明朝" w:cs="Arial" w:ascii="Arial" w:hAnsi="Arial"/>
          <w:sz w:val="22"/>
          <w:szCs w:val="22"/>
        </w:rPr>
        <w:t>28</w:t>
      </w:r>
      <w:r>
        <w:rPr>
          <w:rFonts w:eastAsia="MS Mincho;ＭＳ 明朝" w:cs="Arial" w:ascii="Arial" w:hAnsi="Arial"/>
          <w:sz w:val="22"/>
          <w:szCs w:val="22"/>
        </w:rPr>
        <w:t xml:space="preserve"> de </w:t>
      </w:r>
      <w:r>
        <w:rPr>
          <w:rFonts w:eastAsia="MS Mincho;ＭＳ 明朝" w:cs="Arial" w:ascii="Arial" w:hAnsi="Arial"/>
          <w:sz w:val="22"/>
          <w:szCs w:val="22"/>
        </w:rPr>
        <w:t>maio</w:t>
      </w:r>
      <w:r>
        <w:rPr>
          <w:rFonts w:eastAsia="MS Mincho;ＭＳ 明朝" w:cs="Arial" w:ascii="Arial" w:hAnsi="Arial"/>
          <w:sz w:val="22"/>
          <w:szCs w:val="22"/>
        </w:rPr>
        <w:t xml:space="preserve"> de 2025.</w:t>
      </w:r>
    </w:p>
    <w:p>
      <w:pPr>
        <w:pStyle w:val="Normal"/>
        <w:spacing w:lineRule="auto" w:line="276"/>
        <w:ind w:right="-54"/>
        <w:jc w:val="center"/>
        <w:rPr>
          <w:rFonts w:ascii="Arial" w:hAnsi="Arial" w:cs="Arial"/>
          <w:b/>
          <w:bCs/>
          <w:sz w:val="22"/>
          <w:szCs w:val="22"/>
        </w:rPr>
      </w:pPr>
      <w:r>
        <w:rPr>
          <w:rFonts w:cs="Arial" w:ascii="Arial" w:hAnsi="Arial"/>
          <w:b/>
          <w:bCs/>
          <w:sz w:val="22"/>
          <w:szCs w:val="22"/>
        </w:rPr>
      </w:r>
      <w:bookmarkStart w:id="33" w:name="_Hlk82473550"/>
      <w:bookmarkStart w:id="34" w:name="_Hlk82473550"/>
      <w:bookmarkEnd w:id="34"/>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jc w:val="center"/>
        <w:rPr/>
      </w:pPr>
      <w:r>
        <w:rPr>
          <w:rFonts w:cs="Arial" w:ascii="Arial" w:hAnsi="Arial"/>
          <w:b/>
          <w:bCs/>
          <w:sz w:val="22"/>
          <w:szCs w:val="22"/>
        </w:rPr>
        <w:t>SUELI DE MORAES TUON</w:t>
      </w:r>
    </w:p>
    <w:p>
      <w:pPr>
        <w:pStyle w:val="Normal"/>
        <w:jc w:val="center"/>
        <w:rPr/>
      </w:pPr>
      <w:r>
        <w:rPr>
          <w:rFonts w:cs="Arial" w:ascii="Arial" w:hAnsi="Arial"/>
          <w:b/>
          <w:bCs/>
          <w:sz w:val="22"/>
          <w:szCs w:val="22"/>
        </w:rPr>
        <w:t>Secretária Municipal da Educação</w:t>
      </w:r>
      <w:bookmarkStart w:id="35" w:name="_Hlk129875150"/>
      <w:bookmarkEnd w:id="35"/>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pPr>
      <w:r>
        <w:rPr>
          <w:rFonts w:cs="Arial" w:ascii="Arial" w:hAnsi="Arial"/>
          <w:b/>
          <w:bCs/>
          <w:sz w:val="22"/>
          <w:szCs w:val="22"/>
        </w:rPr>
        <w:t>ADILSON FRANCO PENTEADO</w:t>
      </w:r>
    </w:p>
    <w:p>
      <w:pPr>
        <w:pStyle w:val="Normal"/>
        <w:jc w:val="center"/>
        <w:rPr/>
      </w:pPr>
      <w:r>
        <w:rPr>
          <w:rFonts w:cs="Arial" w:ascii="Arial" w:hAnsi="Arial"/>
          <w:b/>
          <w:bCs/>
          <w:sz w:val="22"/>
          <w:szCs w:val="22"/>
        </w:rPr>
        <w:t>Secretário Municipal de Obras e Serviços Públicos</w:t>
      </w:r>
    </w:p>
    <w:p>
      <w:pPr>
        <w:pStyle w:val="Normal"/>
        <w:jc w:val="center"/>
        <w:rPr>
          <w:rFonts w:ascii="Arial" w:hAnsi="Arial" w:cs="Arial"/>
          <w:b/>
          <w:bCs/>
          <w:sz w:val="22"/>
          <w:szCs w:val="22"/>
        </w:rPr>
      </w:pPr>
      <w:r>
        <w:rPr>
          <w:rFonts w:cs="Arial" w:ascii="Arial" w:hAnsi="Arial"/>
          <w:b/>
          <w:bCs/>
          <w:sz w:val="22"/>
          <w:szCs w:val="22"/>
        </w:rPr>
      </w:r>
      <w:bookmarkStart w:id="36" w:name="_Hlk129875175"/>
      <w:bookmarkStart w:id="37" w:name="_Hlk129875175"/>
      <w:bookmarkEnd w:id="37"/>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spacing w:lineRule="auto" w:line="360"/>
        <w:jc w:val="center"/>
        <w:rPr/>
      </w:pPr>
      <w:r>
        <w:rPr>
          <w:rFonts w:cs="Arial" w:ascii="Arial" w:hAnsi="Arial"/>
          <w:b/>
          <w:bCs/>
          <w:sz w:val="22"/>
          <w:szCs w:val="22"/>
        </w:rPr>
        <w:t>HERMINIO GEROMEL JUNIOR</w:t>
      </w:r>
    </w:p>
    <w:p>
      <w:pPr>
        <w:pStyle w:val="Normal"/>
        <w:spacing w:lineRule="auto" w:line="360"/>
        <w:jc w:val="center"/>
        <w:rPr/>
      </w:pPr>
      <w:r>
        <w:rPr>
          <w:rFonts w:cs="Arial" w:ascii="Arial" w:hAnsi="Arial"/>
          <w:b/>
          <w:bCs/>
          <w:sz w:val="22"/>
          <w:szCs w:val="22"/>
        </w:rPr>
        <w:t>Secretário Municipal de Meio Ambiente e Agricultura</w:t>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27</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35</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1.050/2025</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rPr>
          <w:rFonts w:ascii="Arial" w:hAnsi="Arial" w:cs="Arial"/>
          <w:b/>
          <w:sz w:val="22"/>
          <w:szCs w:val="22"/>
          <w:u w:val="single"/>
        </w:rPr>
      </w:pPr>
      <w:r>
        <w:rPr>
          <w:rFonts w:cs="Arial" w:ascii="Arial" w:hAnsi="Arial"/>
          <w:b/>
          <w:sz w:val="22"/>
          <w:szCs w:val="22"/>
          <w:u w:val="single"/>
        </w:rPr>
      </w:r>
    </w:p>
    <w:p>
      <w:pPr>
        <w:pStyle w:val="Nivel01"/>
        <w:numPr>
          <w:ilvl w:val="0"/>
          <w:numId w:val="8"/>
        </w:numPr>
        <w:spacing w:lineRule="auto" w:line="360" w:before="0" w:after="0"/>
        <w:ind w:hanging="0" w:left="0"/>
        <w:rPr>
          <w:sz w:val="22"/>
          <w:szCs w:val="22"/>
        </w:rPr>
      </w:pPr>
      <w:r>
        <w:rPr>
          <w:sz w:val="22"/>
          <w:szCs w:val="22"/>
        </w:rPr>
        <w:t>OBJETO</w:t>
      </w:r>
    </w:p>
    <w:p>
      <w:pPr>
        <w:pStyle w:val="Nivel2"/>
        <w:tabs>
          <w:tab w:val="clear" w:pos="0"/>
        </w:tabs>
        <w:spacing w:lineRule="auto" w:line="360" w:before="0" w:after="0"/>
        <w:ind w:hanging="0" w:left="0"/>
        <w:rPr>
          <w:bCs/>
          <w:sz w:val="22"/>
          <w:szCs w:val="22"/>
        </w:rPr>
      </w:pPr>
      <w:r>
        <w:rPr>
          <w:bCs/>
          <w:sz w:val="22"/>
          <w:szCs w:val="22"/>
        </w:rPr>
        <w:t xml:space="preserve">1.1 Constitui objeto deste Termo de Referência o </w:t>
      </w:r>
      <w:r>
        <w:rPr>
          <w:sz w:val="22"/>
          <w:szCs w:val="22"/>
        </w:rPr>
        <w:t xml:space="preserve">Registro de Preços pelo prazo de 12 (doze) meses para eventual execução de serviço de alambrado e gradil eletro-fundido, com fornecimento de material e mão e obra, </w:t>
      </w:r>
      <w:r>
        <w:rPr>
          <w:bCs/>
          <w:sz w:val="22"/>
          <w:szCs w:val="22"/>
        </w:rPr>
        <w:t>de acordo com as especificações, quantitativos máximos e condições mínimas abaixo apresentadas.</w:t>
      </w:r>
    </w:p>
    <w:p>
      <w:pPr>
        <w:pStyle w:val="Nivel2"/>
        <w:tabs>
          <w:tab w:val="clear" w:pos="0"/>
        </w:tabs>
        <w:spacing w:lineRule="auto" w:line="360" w:before="0" w:after="0"/>
        <w:ind w:hanging="0" w:left="360"/>
        <w:rPr>
          <w:bCs/>
          <w:sz w:val="22"/>
          <w:szCs w:val="22"/>
        </w:rPr>
      </w:pPr>
      <w:r>
        <w:rPr>
          <w:bCs/>
          <w:sz w:val="22"/>
          <w:szCs w:val="22"/>
        </w:rPr>
      </w:r>
    </w:p>
    <w:p>
      <w:pPr>
        <w:pStyle w:val="Normal"/>
        <w:spacing w:lineRule="auto" w:line="276"/>
        <w:ind w:right="-54"/>
        <w:rPr>
          <w:rFonts w:ascii="Arial" w:hAnsi="Arial" w:cs="Arial"/>
          <w:b/>
          <w:sz w:val="22"/>
          <w:szCs w:val="22"/>
        </w:rPr>
      </w:pPr>
      <w:r>
        <w:rPr>
          <w:rFonts w:cs="Arial" w:ascii="Arial" w:hAnsi="Arial"/>
          <w:b/>
          <w:sz w:val="22"/>
          <w:szCs w:val="22"/>
        </w:rPr>
        <w:t>2 – ITENS E QUANTITATIVOS</w:t>
      </w:r>
    </w:p>
    <w:p>
      <w:pPr>
        <w:pStyle w:val="Normal"/>
        <w:spacing w:lineRule="auto" w:line="276"/>
        <w:ind w:right="-54"/>
        <w:rPr>
          <w:rFonts w:ascii="Arial" w:hAnsi="Arial" w:cs="Arial"/>
          <w:b/>
          <w:sz w:val="22"/>
          <w:szCs w:val="22"/>
        </w:rPr>
      </w:pPr>
      <w:r>
        <w:rPr>
          <w:rFonts w:cs="Arial" w:ascii="Arial" w:hAnsi="Arial"/>
          <w:b/>
          <w:sz w:val="22"/>
          <w:szCs w:val="22"/>
        </w:rPr>
        <w:drawing>
          <wp:anchor behindDoc="0" distT="0" distB="0" distL="114300" distR="114300" simplePos="0" locked="0" layoutInCell="0" allowOverlap="1" relativeHeight="120">
            <wp:simplePos x="0" y="0"/>
            <wp:positionH relativeFrom="column">
              <wp:posOffset>-728345</wp:posOffset>
            </wp:positionH>
            <wp:positionV relativeFrom="paragraph">
              <wp:posOffset>187960</wp:posOffset>
            </wp:positionV>
            <wp:extent cx="6908165" cy="3079750"/>
            <wp:effectExtent l="0" t="0" r="0" b="0"/>
            <wp:wrapSquare wrapText="bothSides"/>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6"/>
                    <a:stretch>
                      <a:fillRect/>
                    </a:stretch>
                  </pic:blipFill>
                  <pic:spPr bwMode="auto">
                    <a:xfrm>
                      <a:off x="0" y="0"/>
                      <a:ext cx="6908165" cy="3079750"/>
                    </a:xfrm>
                    <a:prstGeom prst="rect">
                      <a:avLst/>
                    </a:prstGeom>
                    <a:noFill/>
                  </pic:spPr>
                </pic:pic>
              </a:graphicData>
            </a:graphic>
          </wp:anchor>
        </w:drawing>
      </w:r>
    </w:p>
    <w:p>
      <w:pPr>
        <w:pStyle w:val="Normal"/>
        <w:spacing w:lineRule="auto" w:line="276"/>
        <w:ind w:right="-54"/>
        <w:jc w:val="center"/>
        <w:rPr/>
      </w:pPr>
      <w:r>
        <w:rPr/>
      </w:r>
    </w:p>
    <w:p>
      <w:pPr>
        <w:pStyle w:val="Nivel2"/>
        <w:tabs>
          <w:tab w:val="clear" w:pos="0"/>
        </w:tabs>
        <w:spacing w:lineRule="auto" w:line="360" w:before="0" w:after="0"/>
        <w:ind w:hanging="0" w:left="360"/>
        <w:rPr>
          <w:bCs/>
          <w:sz w:val="22"/>
          <w:szCs w:val="22"/>
        </w:rPr>
      </w:pPr>
      <w:r>
        <w:rPr>
          <w:bCs/>
          <w:sz w:val="22"/>
          <w:szCs w:val="22"/>
        </w:rPr>
      </w:r>
    </w:p>
    <w:p>
      <w:pPr>
        <w:pStyle w:val="Normal"/>
        <w:tabs>
          <w:tab w:val="clear" w:pos="709"/>
          <w:tab w:val="left" w:pos="237" w:leader="none"/>
          <w:tab w:val="left" w:pos="276" w:leader="none"/>
        </w:tabs>
        <w:spacing w:lineRule="auto" w:line="360"/>
        <w:ind w:right="51"/>
        <w:jc w:val="both"/>
        <w:rPr>
          <w:rFonts w:ascii="Arial" w:hAnsi="Arial" w:cs="Arial"/>
          <w:sz w:val="22"/>
          <w:szCs w:val="22"/>
        </w:rPr>
      </w:pPr>
      <w:r>
        <w:rPr>
          <w:rFonts w:cs="Arial" w:ascii="Arial" w:hAnsi="Arial"/>
          <w:sz w:val="22"/>
          <w:szCs w:val="22"/>
        </w:rPr>
        <w:t>2.1 - As quantidades estipuladas na tabela de referência são as máximas estimadas para uso durante a vigência da ata.</w:t>
      </w:r>
    </w:p>
    <w:p>
      <w:pPr>
        <w:pStyle w:val="Normal"/>
        <w:tabs>
          <w:tab w:val="clear" w:pos="709"/>
          <w:tab w:val="left" w:pos="993" w:leader="none"/>
        </w:tabs>
        <w:spacing w:lineRule="auto" w:line="360"/>
        <w:ind w:right="51"/>
        <w:jc w:val="both"/>
        <w:rPr>
          <w:rFonts w:ascii="Arial" w:hAnsi="Arial" w:cs="Arial"/>
          <w:sz w:val="22"/>
          <w:szCs w:val="22"/>
        </w:rPr>
      </w:pPr>
      <w:r>
        <w:rPr>
          <w:rFonts w:cs="Arial" w:ascii="Arial" w:hAnsi="Arial"/>
          <w:sz w:val="22"/>
          <w:szCs w:val="22"/>
        </w:rPr>
        <w:t>2.2 - Os preços propostos e registrados deverão incluir todos os custos relacionados à execução dos serviços, para cumprimento de todas as obrigações licitadas, em especial, mão de obra, materiais, equipamentos, insumos, ferramentas, utensílios, deslocamentos, despesas com diárias e alimentação, seguros, transportes, tributos, lucro entre outras despesas indiretas.</w:t>
      </w:r>
    </w:p>
    <w:p>
      <w:pPr>
        <w:pStyle w:val="Nivel2"/>
        <w:tabs>
          <w:tab w:val="clear" w:pos="0"/>
        </w:tabs>
        <w:spacing w:lineRule="auto" w:line="360" w:before="0" w:after="0"/>
        <w:ind w:hanging="0" w:left="360"/>
        <w:rPr>
          <w:bCs/>
          <w:sz w:val="22"/>
          <w:szCs w:val="22"/>
        </w:rPr>
      </w:pPr>
      <w:r>
        <w:rPr>
          <w:bCs/>
          <w:sz w:val="22"/>
          <w:szCs w:val="22"/>
        </w:rPr>
      </w:r>
    </w:p>
    <w:p>
      <w:pPr>
        <w:pStyle w:val="Normal"/>
        <w:spacing w:lineRule="auto" w:line="360"/>
        <w:jc w:val="both"/>
        <w:textAlignment w:val="baseline"/>
        <w:rPr>
          <w:rFonts w:ascii="Arial" w:hAnsi="Arial" w:eastAsia="SimSun" w:cs="Arial"/>
          <w:b/>
          <w:bCs/>
          <w:kern w:val="2"/>
          <w:sz w:val="22"/>
          <w:szCs w:val="22"/>
          <w:lang w:bidi="hi-IN"/>
        </w:rPr>
      </w:pPr>
      <w:r>
        <w:rPr>
          <w:rFonts w:eastAsia="SimSun" w:cs="Arial" w:ascii="Arial" w:hAnsi="Arial"/>
          <w:b/>
          <w:bCs/>
          <w:kern w:val="2"/>
          <w:sz w:val="22"/>
          <w:szCs w:val="22"/>
          <w:lang w:bidi="hi-IN"/>
        </w:rPr>
        <w:t>3 - ESPECIFICAÇÃO DOS SERVIÇOS</w:t>
        <w:tab/>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3.1 - Os serviços serão executados em diversos locais, dentro dos limites do perímetro urbano e rural do Município de Itatiba/SP, de segunda a sexta-feira, no horário das 7h às 18h, podendo ser executados, excepcionalmente, fora do horário informado (em finais de semana e/ou serviço noturno) dependendo do tipo de serviço/demanda.</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3.2 - Todos os materiais a serem empregados na execução dos serviços deverão ser novos, sem uso e estar de acordo com normas técnicas e ou especificações do fabricante, se for o caso.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3.3 - Todos os serviços deverão ser executados por profissionais capacitados, com observância das normas de técnicas e de segurança aplicáveis, sendo de responsabilidade da contratada prover os itens necessários à execução, tais como materiais, ferramentas, insumos, escadas, andaimes entre outros.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3.4 – Especificações técnicas dos serviços: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tbl>
      <w:tblPr>
        <w:tblW w:w="977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819"/>
        <w:gridCol w:w="6951"/>
      </w:tblGrid>
      <w:tr>
        <w:trPr>
          <w:trHeight w:val="315" w:hRule="atLeast"/>
        </w:trPr>
        <w:tc>
          <w:tcPr>
            <w:tcW w:w="2819" w:type="dxa"/>
            <w:tcBorders>
              <w:top w:val="single" w:sz="8" w:space="0" w:color="000000"/>
              <w:left w:val="single" w:sz="8" w:space="0" w:color="000000"/>
              <w:bottom w:val="single" w:sz="4" w:space="0" w:color="000000"/>
            </w:tcBorders>
            <w:shd w:color="auto" w:fill="auto" w:val="clear"/>
            <w:vAlign w:val="center"/>
          </w:tcPr>
          <w:p>
            <w:pPr>
              <w:pStyle w:val="Normal"/>
              <w:suppressAutoHyphens w:val="false"/>
              <w:jc w:val="both"/>
              <w:rPr>
                <w:rFonts w:ascii="Arial" w:hAnsi="Arial" w:cs="Arial"/>
                <w:b/>
                <w:bCs/>
                <w:color w:val="000000"/>
                <w:kern w:val="0"/>
                <w:sz w:val="18"/>
                <w:szCs w:val="18"/>
                <w:lang w:eastAsia="pt-BR"/>
              </w:rPr>
            </w:pPr>
            <w:r>
              <w:rPr>
                <w:rFonts w:cs="Arial" w:ascii="Arial" w:hAnsi="Arial"/>
                <w:b/>
                <w:bCs/>
                <w:color w:val="000000"/>
                <w:kern w:val="0"/>
                <w:sz w:val="18"/>
                <w:szCs w:val="18"/>
                <w:lang w:eastAsia="pt-BR"/>
              </w:rPr>
              <w:t>Objeto</w:t>
            </w:r>
          </w:p>
        </w:tc>
        <w:tc>
          <w:tcPr>
            <w:tcW w:w="6951" w:type="dxa"/>
            <w:tcBorders>
              <w:top w:val="single" w:sz="8" w:space="0" w:color="000000"/>
              <w:left w:val="single" w:sz="8" w:space="0" w:color="000000"/>
              <w:bottom w:val="single" w:sz="4" w:space="0" w:color="000000"/>
              <w:right w:val="single" w:sz="8" w:space="0" w:color="000000"/>
            </w:tcBorders>
            <w:shd w:color="auto" w:fill="auto" w:val="clear"/>
            <w:vAlign w:val="center"/>
          </w:tcPr>
          <w:p>
            <w:pPr>
              <w:pStyle w:val="Normal"/>
              <w:suppressAutoHyphens w:val="false"/>
              <w:jc w:val="both"/>
              <w:rPr>
                <w:rFonts w:ascii="Arial" w:hAnsi="Arial" w:cs="Arial"/>
                <w:b/>
                <w:bCs/>
                <w:color w:val="000000"/>
                <w:kern w:val="0"/>
                <w:sz w:val="18"/>
                <w:szCs w:val="18"/>
                <w:lang w:eastAsia="pt-BR"/>
              </w:rPr>
            </w:pPr>
            <w:r>
              <w:rPr>
                <w:rFonts w:cs="Arial" w:ascii="Arial" w:hAnsi="Arial"/>
                <w:b/>
                <w:bCs/>
                <w:color w:val="000000"/>
                <w:kern w:val="0"/>
                <w:sz w:val="18"/>
                <w:szCs w:val="18"/>
                <w:lang w:eastAsia="pt-BR"/>
              </w:rPr>
              <w:t>Especificação</w:t>
            </w:r>
          </w:p>
        </w:tc>
      </w:tr>
      <w:tr>
        <w:trPr>
          <w:trHeight w:val="300" w:hRule="atLeast"/>
        </w:trPr>
        <w:tc>
          <w:tcPr>
            <w:tcW w:w="2819" w:type="dxa"/>
            <w:vMerge w:val="restart"/>
            <w:tcBorders>
              <w:top w:val="single" w:sz="4" w:space="0" w:color="000000"/>
              <w:left w:val="single" w:sz="4" w:space="0" w:color="000000"/>
              <w:bottom w:val="single" w:sz="4" w:space="0" w:color="000000"/>
              <w:right w:val="single" w:sz="8" w:space="0" w:color="000000"/>
            </w:tcBorders>
            <w:shd w:color="auto" w:fill="auto" w:val="clear"/>
            <w:vAlign w:val="center"/>
          </w:tcPr>
          <w:p>
            <w:pPr>
              <w:pStyle w:val="Normal"/>
              <w:suppressAutoHyphens w:val="false"/>
              <w:jc w:val="both"/>
              <w:rPr>
                <w:rFonts w:ascii="Arial" w:hAnsi="Arial" w:cs="Arial"/>
                <w:b/>
                <w:bCs/>
                <w:color w:val="000000"/>
                <w:kern w:val="0"/>
                <w:sz w:val="18"/>
                <w:szCs w:val="18"/>
                <w:lang w:eastAsia="pt-BR"/>
              </w:rPr>
            </w:pPr>
            <w:r>
              <w:rPr>
                <w:rFonts w:cs="Arial" w:ascii="Arial" w:hAnsi="Arial"/>
                <w:b/>
                <w:bCs/>
                <w:color w:val="000000"/>
                <w:kern w:val="0"/>
                <w:sz w:val="18"/>
                <w:szCs w:val="18"/>
                <w:lang w:eastAsia="pt-BR"/>
              </w:rPr>
              <w:t>Cerca em tela de aço galvanizado de 2’, montantes em mourões de concreto com ponta inclinada e arame farpado</w:t>
            </w:r>
          </w:p>
        </w:tc>
        <w:tc>
          <w:tcPr>
            <w:tcW w:w="6951" w:type="dxa"/>
            <w:tcBorders>
              <w:top w:val="single" w:sz="4" w:space="0" w:color="000000"/>
              <w:bottom w:val="single" w:sz="4" w:space="0" w:color="000000"/>
              <w:right w:val="single" w:sz="4"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1) Será medido por comprimento de cerca executada (m).</w:t>
            </w:r>
          </w:p>
        </w:tc>
      </w:tr>
      <w:tr>
        <w:trPr>
          <w:trHeight w:val="5640" w:hRule="atLeast"/>
        </w:trPr>
        <w:tc>
          <w:tcPr>
            <w:tcW w:w="2819" w:type="dxa"/>
            <w:vMerge w:val="continue"/>
            <w:tcBorders>
              <w:top w:val="single" w:sz="4" w:space="0" w:color="000000"/>
              <w:left w:val="single" w:sz="8" w:space="0" w:color="000000"/>
              <w:bottom w:val="single" w:sz="4"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top w:val="single" w:sz="4" w:space="0" w:color="000000"/>
              <w:bottom w:val="single" w:sz="4" w:space="0" w:color="000000"/>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2) O item remunera o fornecimento e instalação de cerca em tela de aço galvanizado com montantes em mourões de concreto, constituída por: fornecimento e instalação de mourões de concreto armado, com a ponta inclinada a 45º, seção mínima da base 10 x 10 cm, seção mínima do topo 8 x 7 cm, conforme o fabricante, trecho reto com 260 cm, trecho inclinado com 40 cm, totalizando um desenvolvimento de 300 cm, e na projeção vertical 290 cm, com furos, cravados num espaçamento máximo de 2,40 m; fornecimento e instalação de tela, tipo Zinc Fence da Universal, Incotela ou equivalente, com malha ciclônica tipo "Q" de 2" (50 x 50 mm) fio BWG 10 (3,40 mm), fabricada em fio de aço doce com tensão média de ruptura de 40 a 60 kg / mm² de acordo com a NBR 5589, galvanizado por imersão em banho de zinco antes de tecer a malha, com uma quantidade mínima de zinco da ordem de 70 g / m² NBR 6331, com acabamento lateral de pontas dobradas, fixada por meio de cabos tensores e arames de amarração; fornecimento e instalação de três fiadas de arame trançado farpado, na projeção superior inclinada com desenvolvimento de 0,40 m, bitola BWG 16 (1,66 mm), galvanizado categoria A, resistência classe A, carga de ruptura de 350 kgf, com farpas a cada 125 mm conforme NBR 6317; fornecimento e instalação de contraventamentos a cada 30,00 m, ou nos seccionamentos, ou finais de cerca; arame galvanizado fio 14 BWG; materiais acessórios e a mão de obra necessária para a execução dos serviços, de limpeza do terreno; perfuração para a colocação dos mourões; alojamento dos mourões com um mínimo de 0,60 cm de recobrimento; instalação da tela galvanizada; instalação do arame farpado; reaterro, regularização e compactação do terreno.</w:t>
            </w:r>
          </w:p>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r>
          </w:p>
        </w:tc>
      </w:tr>
      <w:tr>
        <w:trPr>
          <w:trHeight w:val="300" w:hRule="atLeast"/>
        </w:trPr>
        <w:tc>
          <w:tcPr>
            <w:tcW w:w="2819" w:type="dxa"/>
            <w:vMerge w:val="restart"/>
            <w:tcBorders>
              <w:top w:val="single" w:sz="4" w:space="0" w:color="000000"/>
              <w:left w:val="single" w:sz="8" w:space="0" w:color="000000"/>
              <w:bottom w:val="single" w:sz="8" w:space="0" w:color="000000"/>
              <w:right w:val="single" w:sz="8" w:space="0" w:color="000000"/>
            </w:tcBorders>
            <w:shd w:color="auto" w:fill="auto" w:val="clear"/>
            <w:vAlign w:val="center"/>
          </w:tcPr>
          <w:p>
            <w:pPr>
              <w:pStyle w:val="Normal"/>
              <w:suppressAutoHyphens w:val="false"/>
              <w:jc w:val="both"/>
              <w:rPr>
                <w:rFonts w:ascii="Arial" w:hAnsi="Arial" w:cs="Arial"/>
                <w:b/>
                <w:bCs/>
                <w:color w:val="000000"/>
                <w:kern w:val="0"/>
                <w:sz w:val="18"/>
                <w:szCs w:val="18"/>
                <w:lang w:eastAsia="pt-BR"/>
              </w:rPr>
            </w:pPr>
            <w:r>
              <w:rPr>
                <w:rFonts w:cs="Arial" w:ascii="Arial" w:hAnsi="Arial"/>
                <w:b/>
                <w:bCs/>
                <w:color w:val="000000"/>
                <w:kern w:val="0"/>
                <w:sz w:val="18"/>
                <w:szCs w:val="18"/>
                <w:lang w:eastAsia="pt-BR"/>
              </w:rPr>
              <w:t>Mureta em blocos de concreto h = 0,5m (revestido)</w:t>
            </w:r>
          </w:p>
        </w:tc>
        <w:tc>
          <w:tcPr>
            <w:tcW w:w="6951" w:type="dxa"/>
            <w:tcBorders>
              <w:top w:val="single" w:sz="4" w:space="0" w:color="000000"/>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O serviço será pago em m (metro linear) de muro construído.</w:t>
            </w:r>
          </w:p>
        </w:tc>
      </w:tr>
      <w:tr>
        <w:trPr>
          <w:trHeight w:val="810"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bottom w:val="single" w:sz="8" w:space="0" w:color="000000"/>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O custo unitário remunera todo movimento de terra, lastro de concreto, concreto, forma, armação, impermeabilização e drenagem, conforme det. EDIF.</w:t>
            </w:r>
          </w:p>
        </w:tc>
      </w:tr>
      <w:tr>
        <w:trPr>
          <w:trHeight w:val="600" w:hRule="atLeast"/>
        </w:trPr>
        <w:tc>
          <w:tcPr>
            <w:tcW w:w="2819" w:type="dxa"/>
            <w:vMerge w:val="restart"/>
            <w:tcBorders>
              <w:left w:val="single" w:sz="8" w:space="0" w:color="000000"/>
              <w:bottom w:val="single" w:sz="8" w:space="0" w:color="000000"/>
              <w:right w:val="single" w:sz="8" w:space="0" w:color="000000"/>
            </w:tcBorders>
            <w:shd w:color="auto" w:fill="auto" w:val="clear"/>
            <w:vAlign w:val="center"/>
          </w:tcPr>
          <w:p>
            <w:pPr>
              <w:pStyle w:val="Normal"/>
              <w:suppressAutoHyphens w:val="false"/>
              <w:jc w:val="both"/>
              <w:rPr>
                <w:rFonts w:ascii="Arial" w:hAnsi="Arial" w:cs="Arial"/>
                <w:b/>
                <w:bCs/>
                <w:color w:val="000000"/>
                <w:kern w:val="0"/>
                <w:sz w:val="18"/>
                <w:szCs w:val="18"/>
                <w:lang w:eastAsia="pt-BR"/>
              </w:rPr>
            </w:pPr>
            <w:r>
              <w:rPr>
                <w:rFonts w:cs="Arial" w:ascii="Arial" w:hAnsi="Arial"/>
                <w:b/>
                <w:bCs/>
                <w:color w:val="000000"/>
                <w:kern w:val="0"/>
                <w:sz w:val="18"/>
                <w:szCs w:val="18"/>
                <w:lang w:eastAsia="pt-BR"/>
              </w:rPr>
              <w:t>Alambrado em tela de aço galvanizado de 2’, montantes metálicos retos</w:t>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1) Será medido por área, na projeção vertical, de alambrado em tela executado (m²).</w:t>
            </w:r>
          </w:p>
        </w:tc>
      </w:tr>
      <w:tr>
        <w:trPr>
          <w:trHeight w:val="750"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2) O item remunera a execução de alambrado tubular para fechamento em geral, de qualquer altura, aferida na projeção vertical, não sendo considerada a altura do chumbamento em embasamento, ou solo, constituído por:</w:t>
            </w:r>
          </w:p>
        </w:tc>
      </w:tr>
      <w:tr>
        <w:trPr>
          <w:trHeight w:val="1710"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a) Fornecimento e instalação de montantes verticais em tubos de aço carbono SAE 1008 / 1010, galvanizados de acordo com norma ASTM A513/A513M-2018, com diâmetro externo de 2 e espessura de 2,25 mm, chumbados diretamente no solo ou sobre mureta ou sobre embasamento na profundidade média de 0,50 m e com espaçamento máximo de 2,40 m entre colunas, extremo superior com acabamento superior tipo tampa em chapa de aço carbono SAE 1008 / 1012, bitola MSG 14 (2 mm de espessura);</w:t>
            </w:r>
          </w:p>
        </w:tc>
      </w:tr>
      <w:tr>
        <w:trPr>
          <w:trHeight w:val="1260"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b) Fornecimento e instalação de travamentos horizontais soldados aos montantes verticais, nas partes superior, intermediária e inferior do alambrado, em tubos de aço carbono SAE 1008 / 1010, galvanizados de acordo com norma ASTM A513/A513M-2018, com diâmetro externo de 2 e espessura de 2,25 mm;</w:t>
            </w:r>
          </w:p>
        </w:tc>
      </w:tr>
      <w:tr>
        <w:trPr>
          <w:trHeight w:val="1140"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c) Fornecimento e instalação de três fios de cabo tirante para fixação da tela, em cabo de aço doce fio BWG 10 (3,40 mm), tensionado por esticadores a cada 2,40 m e fixados nos montantes verticais com arames amarradores fio de aço BWG 14;</w:t>
            </w:r>
          </w:p>
        </w:tc>
      </w:tr>
      <w:tr>
        <w:trPr>
          <w:trHeight w:val="1455"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d) Fornecimento e instalação de contraventamentos a cada 15 m, ou nos seccionamentos, ou finais de alambrado, por meio de mãos-francesas em tubos de aço SAE 1008 / 1010 galvanizados de acordo com norma ASTM A513/A513M-2018, com diâmetro externo de 2 e espessura de 2,25 mm, parafusadas ou soldadas nos montantes verticais;</w:t>
            </w:r>
          </w:p>
        </w:tc>
      </w:tr>
      <w:tr>
        <w:trPr>
          <w:trHeight w:val="1680"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e) Fornecimento e instalação de tela; referência comercial Zinc Fence fabricação Universal, fabricação Incotela ou equivalente, com malha ciclônica tipo Q de 2 (50 x 50 mm) fio BWG 10 (3,40 mm), fabricada em fio de aço doce com tensão média de ruptura de 40 a 60 kg / mm² de acordo com a NBR 5589, galvanizado por imersão em banho de zinco antes de tecer a malha, com uma quantidade mínima de zinco da ordem de 70 g / m² NBR 6331, com acabamento lateral de pontas dobradas, fixada por meio de cabos tensores e arames de amarração;</w:t>
            </w:r>
          </w:p>
        </w:tc>
      </w:tr>
      <w:tr>
        <w:trPr>
          <w:trHeight w:val="2850"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f) Fornecimento e instalação de arame fabricado em fio de aço doce recozido e zincado bitola BWG 14 (2,11 mm) de acordo com a NBR 5589, utilizado para amarração da tela e do arame farpado aos montantes verticais e travamentos. g) Remunera também o fornecimento de materiais e mão de obra necessários para: aplicação em uma demão de galvanização a frio, nos pontos de solda e / ou corte dos elementos que compõem o alambrado, conforme recomendações do fabricante; referência comercial Glaco Zink fabricação Glasurit, ou C.R.Z. fabricação Quimatic, ou equivalente; aplicação de fundo sintético branco antioxidante, para superfície de aço galvanizado, aplicado em uma demão, e esmalte sintético na cor alumínio, aplicado com duas demãos, em todo o material utilizado para a execução do alambrado, com exceção feita à tela;</w:t>
            </w:r>
          </w:p>
        </w:tc>
      </w:tr>
      <w:tr>
        <w:trPr>
          <w:trHeight w:val="960"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bottom w:val="single" w:sz="8" w:space="0" w:color="000000"/>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h) Não remunera os serviços de execução de base para fixação dos montantes, fundação e muretas.</w:t>
            </w:r>
          </w:p>
        </w:tc>
      </w:tr>
      <w:tr>
        <w:trPr>
          <w:trHeight w:val="675" w:hRule="atLeast"/>
        </w:trPr>
        <w:tc>
          <w:tcPr>
            <w:tcW w:w="2819" w:type="dxa"/>
            <w:vMerge w:val="restart"/>
            <w:tcBorders>
              <w:left w:val="single" w:sz="8" w:space="0" w:color="000000"/>
              <w:bottom w:val="single" w:sz="8" w:space="0" w:color="000000"/>
              <w:right w:val="single" w:sz="8" w:space="0" w:color="000000"/>
            </w:tcBorders>
            <w:shd w:color="auto" w:fill="auto" w:val="clear"/>
            <w:vAlign w:val="center"/>
          </w:tcPr>
          <w:p>
            <w:pPr>
              <w:pStyle w:val="Normal"/>
              <w:suppressAutoHyphens w:val="false"/>
              <w:jc w:val="both"/>
              <w:rPr>
                <w:rFonts w:ascii="Arial" w:hAnsi="Arial" w:cs="Arial"/>
                <w:b/>
                <w:bCs/>
                <w:color w:val="000000"/>
                <w:kern w:val="0"/>
                <w:sz w:val="18"/>
                <w:szCs w:val="18"/>
                <w:lang w:eastAsia="pt-BR"/>
              </w:rPr>
            </w:pPr>
            <w:r>
              <w:rPr>
                <w:rFonts w:cs="Arial" w:ascii="Arial" w:hAnsi="Arial"/>
                <w:b/>
                <w:bCs/>
                <w:color w:val="000000"/>
                <w:kern w:val="0"/>
                <w:sz w:val="18"/>
                <w:szCs w:val="18"/>
                <w:lang w:eastAsia="pt-BR"/>
              </w:rPr>
              <w:t>Portão tubular em tela de aço galvanizado até 2,50 m de altura, completo</w:t>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1) Será medido por área de portão instalado (m²).</w:t>
            </w:r>
          </w:p>
        </w:tc>
      </w:tr>
      <w:tr>
        <w:trPr>
          <w:trHeight w:val="4290"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bottom w:val="single" w:sz="8" w:space="0" w:color="000000"/>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2) O item remunera o fornecimento e instalação de portão pivotante de uma ou duas folhas com altura até 2,50 m, constituído por: perfil tubular de aço carbono SAE 1008 / 1010 galvanizado norma ASTM A513/A513M-18, com diâmetro externo de 2; requadro interno em barra chata de aço carbono SAE 1008 / 1012, de 3/4 x 3/16; tela tipo Zinc Fence da Universal, Icotela ou equivalente, com malha ciclônica tipo Q de 2 (50 x 50 mm) fio BWG 10 (3,40 mm) ou de 1 (25 x 25 mm) fio BWG 12 (2,77 mm), fabricada em fio de aço doce com tensão média de ruptura de 40 a 60 kg / mm² de acordo com a NBR 5589, galvanizado por imersão em banho de zinco antes de tecer a malha, com uma quantidade mínima de zinco da ordem de 70 g / m² NBR 6331, com acabamento de pontas dobradas; batentes; colunas; trinco e ferrolho com porta-cadeado. Remunera também fornecimento de cimento, areia, materiais e mão de obra necessários para: aplicação em uma demão de galvanização a frio, nos pontos de solda e / ou corte dos elementos que compõem o portão, conforme recomendações do fabricante, referência comercial Glaco Zink fabricação Glasurit, ou C.R.Z. fabricação Quimatic ou equivalente. Não remunera os serviços de execução de base para fixação dos batentes e arremates de acabamento.</w:t>
            </w:r>
          </w:p>
        </w:tc>
      </w:tr>
      <w:tr>
        <w:trPr>
          <w:trHeight w:val="540" w:hRule="atLeast"/>
        </w:trPr>
        <w:tc>
          <w:tcPr>
            <w:tcW w:w="2819" w:type="dxa"/>
            <w:vMerge w:val="restart"/>
            <w:tcBorders>
              <w:left w:val="single" w:sz="8" w:space="0" w:color="000000"/>
              <w:bottom w:val="single" w:sz="8" w:space="0" w:color="000000"/>
              <w:right w:val="single" w:sz="8" w:space="0" w:color="000000"/>
            </w:tcBorders>
            <w:shd w:color="auto" w:fill="auto" w:val="clear"/>
            <w:vAlign w:val="center"/>
          </w:tcPr>
          <w:p>
            <w:pPr>
              <w:pStyle w:val="Normal"/>
              <w:suppressAutoHyphens w:val="false"/>
              <w:jc w:val="both"/>
              <w:rPr>
                <w:rFonts w:ascii="Arial" w:hAnsi="Arial" w:cs="Arial"/>
                <w:b/>
                <w:bCs/>
                <w:color w:val="000000"/>
                <w:kern w:val="0"/>
                <w:sz w:val="18"/>
                <w:szCs w:val="18"/>
                <w:lang w:eastAsia="pt-BR"/>
              </w:rPr>
            </w:pPr>
            <w:r>
              <w:rPr>
                <w:rFonts w:cs="Arial" w:ascii="Arial" w:hAnsi="Arial"/>
                <w:b/>
                <w:bCs/>
                <w:color w:val="000000"/>
                <w:kern w:val="0"/>
                <w:sz w:val="18"/>
                <w:szCs w:val="18"/>
                <w:lang w:eastAsia="pt-BR"/>
              </w:rPr>
              <w:t>Gradil de ferro galvanizado eletrofundido, barra 25x2mm, malha 35x132mm, montante com distância de 1650mm, com pintura</w:t>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1)O serviço será medido por metro quadrado (m²) de gradil executado.</w:t>
            </w:r>
          </w:p>
        </w:tc>
      </w:tr>
      <w:tr>
        <w:trPr>
          <w:trHeight w:val="1305"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2)O item remunera a mão de obra e os materiais necessários para execução do seviço, como concreto, pontalete, tábua, prego e gradil de ferro especificado, inclusive o chumbamento dos montantes e sua instalação. As perdas já estão sendo consideradas no coeficiêntes unitários de cada insumo.</w:t>
            </w:r>
          </w:p>
        </w:tc>
      </w:tr>
      <w:tr>
        <w:trPr>
          <w:trHeight w:val="1020" w:hRule="atLeast"/>
        </w:trPr>
        <w:tc>
          <w:tcPr>
            <w:tcW w:w="2819" w:type="dxa"/>
            <w:vMerge w:val="continue"/>
            <w:tcBorders>
              <w:left w:val="single" w:sz="8" w:space="0" w:color="000000"/>
              <w:bottom w:val="single" w:sz="8" w:space="0" w:color="000000"/>
              <w:right w:val="single" w:sz="8" w:space="0" w:color="000000"/>
            </w:tcBorders>
            <w:vAlign w:val="center"/>
          </w:tcPr>
          <w:p>
            <w:pPr>
              <w:pStyle w:val="Normal"/>
              <w:suppressAutoHyphens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6951" w:type="dxa"/>
            <w:tcBorders>
              <w:bottom w:val="single" w:sz="8" w:space="0" w:color="000000"/>
              <w:right w:val="single" w:sz="8" w:space="0" w:color="000000"/>
            </w:tcBorders>
            <w:shd w:color="auto" w:fill="auto" w:val="clear"/>
            <w:vAlign w:val="center"/>
          </w:tcPr>
          <w:p>
            <w:pPr>
              <w:pStyle w:val="Normal"/>
              <w:suppressAutoHyphens w:val="false"/>
              <w:jc w:val="both"/>
              <w:rPr>
                <w:rFonts w:ascii="Arial" w:hAnsi="Arial" w:cs="Arial"/>
                <w:color w:val="000000"/>
                <w:kern w:val="0"/>
                <w:sz w:val="18"/>
                <w:szCs w:val="18"/>
                <w:lang w:eastAsia="pt-BR"/>
              </w:rPr>
            </w:pPr>
            <w:r>
              <w:rPr>
                <w:rFonts w:cs="Arial" w:ascii="Arial" w:hAnsi="Arial"/>
                <w:color w:val="000000"/>
                <w:kern w:val="0"/>
                <w:sz w:val="18"/>
                <w:szCs w:val="18"/>
                <w:lang w:eastAsia="pt-BR"/>
              </w:rPr>
              <w:t>Para este serviço deverão ser contempladas todas as normas e melhores práticas de engenharia aplicáveis.</w:t>
            </w:r>
          </w:p>
        </w:tc>
      </w:tr>
    </w:tbl>
    <w:p>
      <w:pPr>
        <w:pStyle w:val="Normal"/>
        <w:spacing w:lineRule="auto" w:line="360"/>
        <w:jc w:val="both"/>
        <w:textAlignment w:val="baseline"/>
        <w:rPr>
          <w:rFonts w:ascii="Arial" w:hAnsi="Arial" w:eastAsia="SimSun" w:cs="Arial"/>
          <w:b/>
          <w:bCs/>
          <w:kern w:val="2"/>
          <w:sz w:val="22"/>
          <w:szCs w:val="22"/>
          <w:lang w:bidi="hi-IN"/>
        </w:rPr>
      </w:pPr>
      <w:r>
        <w:rPr>
          <w:rFonts w:eastAsia="SimSun" w:cs="Arial" w:ascii="Arial" w:hAnsi="Arial"/>
          <w:b/>
          <w:bCs/>
          <w:kern w:val="2"/>
          <w:sz w:val="22"/>
          <w:szCs w:val="22"/>
          <w:lang w:bidi="hi-IN"/>
        </w:rPr>
      </w:r>
    </w:p>
    <w:p>
      <w:pPr>
        <w:pStyle w:val="Normal"/>
        <w:spacing w:lineRule="auto" w:line="360"/>
        <w:jc w:val="both"/>
        <w:textAlignment w:val="baseline"/>
        <w:rPr>
          <w:rFonts w:ascii="Arial" w:hAnsi="Arial" w:eastAsia="SimSun" w:cs="Arial"/>
          <w:b/>
          <w:bCs/>
          <w:kern w:val="2"/>
          <w:sz w:val="22"/>
          <w:szCs w:val="22"/>
          <w:lang w:bidi="hi-IN"/>
        </w:rPr>
      </w:pPr>
      <w:r>
        <w:rPr>
          <w:rFonts w:eastAsia="SimSun" w:cs="Arial" w:ascii="Arial" w:hAnsi="Arial"/>
          <w:b/>
          <w:bCs/>
          <w:kern w:val="2"/>
          <w:sz w:val="22"/>
          <w:szCs w:val="22"/>
          <w:lang w:bidi="hi-IN"/>
        </w:rPr>
        <w:t>4 – DOS PRAZOS</w:t>
      </w:r>
    </w:p>
    <w:p>
      <w:pPr>
        <w:pStyle w:val="Normal"/>
        <w:spacing w:lineRule="auto" w:line="360"/>
        <w:jc w:val="both"/>
        <w:textAlignment w:val="baseline"/>
        <w:rPr>
          <w:rFonts w:ascii="Arial" w:hAnsi="Arial" w:eastAsia="Arial" w:cs="Arial"/>
          <w:kern w:val="2"/>
          <w:sz w:val="22"/>
          <w:szCs w:val="22"/>
          <w:lang w:bidi="hi-IN"/>
        </w:rPr>
      </w:pPr>
      <w:r>
        <w:rPr>
          <w:rFonts w:eastAsia="Arial" w:cs="Arial" w:ascii="Arial" w:hAnsi="Arial"/>
          <w:kern w:val="2"/>
          <w:sz w:val="22"/>
          <w:szCs w:val="22"/>
          <w:lang w:bidi="hi-IN"/>
        </w:rPr>
        <w:t>4.1 - O prazo de vigência da ata deverá ser de 12 (doze) meses, com possibilidade de prorrogação até o máximo permitido por lei.</w:t>
      </w:r>
    </w:p>
    <w:p>
      <w:pPr>
        <w:pStyle w:val="Normal"/>
        <w:spacing w:lineRule="auto" w:line="360"/>
        <w:jc w:val="both"/>
        <w:textAlignment w:val="baseline"/>
        <w:rPr>
          <w:rFonts w:ascii="Arial" w:hAnsi="Arial" w:eastAsia="Arial" w:cs="Arial"/>
          <w:kern w:val="2"/>
          <w:sz w:val="22"/>
          <w:szCs w:val="22"/>
          <w:lang w:bidi="hi-IN"/>
        </w:rPr>
      </w:pPr>
      <w:r>
        <w:rPr>
          <w:rFonts w:eastAsia="Arial" w:cs="Arial" w:ascii="Arial" w:hAnsi="Arial"/>
          <w:kern w:val="2"/>
          <w:sz w:val="22"/>
          <w:szCs w:val="22"/>
          <w:lang w:bidi="hi-IN"/>
        </w:rPr>
        <w:t>4.2 - As contratações decorrentes da ata serão formalizadas pôr Termo de Contrato ou Instrumento Simplificado de Contrato (Ordem de Serviço) e conterão, além de dados de identificação e de recursos orçamentários e financeiros, a localização, a especificação e a quantificação dos serviços a serem executados.</w:t>
      </w:r>
    </w:p>
    <w:p>
      <w:pPr>
        <w:pStyle w:val="Normal"/>
        <w:spacing w:lineRule="auto" w:line="360" w:before="0" w:after="120"/>
        <w:jc w:val="both"/>
        <w:textAlignment w:val="baseline"/>
        <w:rPr>
          <w:rFonts w:ascii="Arial" w:hAnsi="Arial" w:eastAsia="Calibri" w:cs="Arial"/>
          <w:kern w:val="2"/>
          <w:sz w:val="22"/>
          <w:szCs w:val="22"/>
          <w:lang w:bidi="hi-IN"/>
        </w:rPr>
      </w:pPr>
      <w:r>
        <w:rPr>
          <w:rFonts w:eastAsia="Calibri" w:cs="Arial" w:ascii="Arial" w:hAnsi="Arial"/>
          <w:kern w:val="2"/>
          <w:sz w:val="22"/>
          <w:szCs w:val="22"/>
          <w:lang w:bidi="hi-IN"/>
        </w:rPr>
        <w:t>4.3 - Os serviços deverão ser iniciados no prazo de até 10 (dez) dias, contados da data de recebimento da Ordem de Serviço</w:t>
      </w:r>
    </w:p>
    <w:p>
      <w:pPr>
        <w:pStyle w:val="Normal"/>
        <w:spacing w:lineRule="auto" w:line="360" w:before="0" w:after="120"/>
        <w:jc w:val="both"/>
        <w:textAlignment w:val="baseline"/>
        <w:rPr>
          <w:rFonts w:ascii="Arial" w:hAnsi="Arial" w:eastAsia="Calibri" w:cs="Arial"/>
          <w:kern w:val="2"/>
          <w:sz w:val="22"/>
          <w:szCs w:val="22"/>
          <w:lang w:bidi="hi-IN"/>
        </w:rPr>
      </w:pPr>
      <w:r>
        <w:rPr>
          <w:rFonts w:eastAsia="Calibri" w:cs="Arial" w:ascii="Arial" w:hAnsi="Arial"/>
          <w:kern w:val="2"/>
          <w:sz w:val="22"/>
          <w:szCs w:val="22"/>
          <w:lang w:bidi="hi-IN"/>
        </w:rPr>
        <w:t>4.3.1 - Valerá como prova de recebimento a comprovante do envio da Ordem de Serviço no endereço eletrônico indicado na licitação.</w:t>
      </w:r>
    </w:p>
    <w:p>
      <w:pPr>
        <w:pStyle w:val="Normal"/>
        <w:spacing w:lineRule="auto" w:line="360" w:before="0" w:after="120"/>
        <w:jc w:val="both"/>
        <w:textAlignment w:val="baseline"/>
        <w:rPr>
          <w:rFonts w:ascii="Arial" w:hAnsi="Arial" w:eastAsia="Calibri" w:cs="Arial"/>
          <w:kern w:val="2"/>
          <w:sz w:val="22"/>
          <w:szCs w:val="22"/>
          <w:lang w:bidi="hi-IN"/>
        </w:rPr>
      </w:pPr>
      <w:r>
        <w:rPr>
          <w:rFonts w:eastAsia="Calibri" w:cs="Arial" w:ascii="Arial" w:hAnsi="Arial"/>
          <w:kern w:val="2"/>
          <w:sz w:val="22"/>
          <w:szCs w:val="22"/>
          <w:lang w:bidi="hi-IN"/>
        </w:rPr>
        <w:t>4.3.2 - A contratada deverá apresentar, em até 02 (dois) dias antes da data de início, a relação nominal dos profissionais que serão disponibilizados para a execução dos serviços.</w:t>
      </w:r>
    </w:p>
    <w:p>
      <w:pPr>
        <w:pStyle w:val="Normal"/>
        <w:spacing w:lineRule="auto" w:line="360" w:before="0" w:after="120"/>
        <w:jc w:val="both"/>
        <w:textAlignment w:val="baseline"/>
        <w:rPr>
          <w:rFonts w:ascii="Arial" w:hAnsi="Arial" w:eastAsia="Calibri" w:cs="Arial"/>
          <w:kern w:val="2"/>
          <w:sz w:val="22"/>
          <w:szCs w:val="22"/>
          <w:lang w:bidi="hi-IN"/>
        </w:rPr>
      </w:pPr>
      <w:r>
        <w:rPr>
          <w:rFonts w:eastAsia="Calibri" w:cs="Arial" w:ascii="Arial" w:hAnsi="Arial"/>
          <w:kern w:val="2"/>
          <w:sz w:val="22"/>
          <w:szCs w:val="22"/>
          <w:lang w:bidi="hi-IN"/>
        </w:rPr>
        <w:t xml:space="preserve">4.3.3 - Se necessária a aplicação de materiais/produtos sujeitos a encomenda, o prazo de mobilização, tratado no item 4.3, poderá ser prorrogado.  </w:t>
      </w:r>
    </w:p>
    <w:p>
      <w:pPr>
        <w:pStyle w:val="Normal"/>
        <w:spacing w:lineRule="auto" w:line="360" w:before="0" w:after="120"/>
        <w:jc w:val="both"/>
        <w:textAlignment w:val="baseline"/>
        <w:rPr>
          <w:rFonts w:ascii="Arial" w:hAnsi="Arial" w:eastAsia="Calibri" w:cs="Arial"/>
          <w:kern w:val="2"/>
          <w:sz w:val="22"/>
          <w:szCs w:val="22"/>
          <w:lang w:bidi="hi-IN"/>
        </w:rPr>
      </w:pPr>
      <w:r>
        <w:rPr>
          <w:rFonts w:eastAsia="Calibri" w:cs="Arial" w:ascii="Arial" w:hAnsi="Arial"/>
          <w:kern w:val="2"/>
          <w:sz w:val="22"/>
          <w:szCs w:val="22"/>
          <w:lang w:bidi="hi-IN"/>
        </w:rPr>
        <w:t>4.4 - O prazo de entrega dos serviços, fixado na Ordem de Serviços, corresponderá ao prazo de mobilização (item anterior) somado ao prazo de execução, que será definido pela fiscalização, levando em conta, inclusive, possíveis interferências do local de atendimento, sendo que, em caso de divergência entre a Contratada e Contratante, serão aplicadas as tabelas técnicas de produtividade disponíveis no mercado.</w:t>
      </w:r>
    </w:p>
    <w:p>
      <w:pPr>
        <w:pStyle w:val="Normal"/>
        <w:spacing w:lineRule="auto" w:line="360" w:before="0" w:after="120"/>
        <w:jc w:val="both"/>
        <w:textAlignment w:val="baseline"/>
        <w:rPr>
          <w:rFonts w:ascii="Arial" w:hAnsi="Arial" w:eastAsia="Calibri" w:cs="Arial"/>
          <w:kern w:val="2"/>
          <w:sz w:val="22"/>
          <w:szCs w:val="22"/>
          <w:lang w:bidi="hi-IN"/>
        </w:rPr>
      </w:pPr>
      <w:r>
        <w:rPr>
          <w:rFonts w:eastAsia="Calibri" w:cs="Arial" w:ascii="Arial" w:hAnsi="Arial"/>
          <w:kern w:val="2"/>
          <w:sz w:val="22"/>
          <w:szCs w:val="22"/>
          <w:lang w:bidi="hi-IN"/>
        </w:rPr>
        <w:t>4.5 - A Contratada poderá ser chamada pela Fiscalização para realização de avaliação prévia dos serviços a serem executados, devendo comparecer em até 3 (três) dias após a solicitação da Fiscalização.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4.6 - Não será admitida a interrupção/paralisação injustificada do atendimento.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4.7 - Poderão ocorrer solicitações simultâneas em mais de uma obra, as quais deverão ser atendidas de forma individualizada, não sendo aceita como justificativa para o não atendimento a realização de serviços em locais distintos.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4.8 - Após a contratação, os serviços serão recebidos conforme o disposto nos artigos 73 a 76 da Lei 8.666/93.</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b/>
          <w:bCs/>
          <w:kern w:val="2"/>
          <w:sz w:val="22"/>
          <w:szCs w:val="22"/>
          <w:lang w:bidi="hi-IN"/>
        </w:rPr>
      </w:pPr>
      <w:r>
        <w:rPr>
          <w:rFonts w:eastAsia="SimSun" w:cs="Arial" w:ascii="Arial" w:hAnsi="Arial"/>
          <w:b/>
          <w:bCs/>
          <w:kern w:val="2"/>
          <w:sz w:val="22"/>
          <w:szCs w:val="22"/>
          <w:lang w:bidi="hi-IN"/>
        </w:rPr>
        <w:t>5 – CONDIÇÕES DE PAGAMENTO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5.1 - O faturamento dar-se-á com base nos quantitativos efetivamente executados de serviço, devidamente atestados pela Fiscalização do contrato.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5.1.1 - O faturamento dar-se-á ao final da execução de cada Ordem de Serviço.</w:t>
      </w:r>
    </w:p>
    <w:p>
      <w:pPr>
        <w:pStyle w:val="Normal"/>
        <w:spacing w:lineRule="auto" w:line="360" w:before="0" w:after="120"/>
        <w:jc w:val="both"/>
        <w:textAlignment w:val="baseline"/>
        <w:rPr>
          <w:rFonts w:ascii="Arial" w:hAnsi="Arial" w:eastAsia="Calibri" w:cs="Arial"/>
          <w:kern w:val="2"/>
          <w:sz w:val="22"/>
          <w:szCs w:val="22"/>
          <w:lang w:bidi="hi-IN"/>
        </w:rPr>
      </w:pPr>
      <w:r>
        <w:rPr>
          <w:rFonts w:eastAsia="Calibri" w:cs="Arial" w:ascii="Arial" w:hAnsi="Arial"/>
          <w:kern w:val="2"/>
          <w:sz w:val="22"/>
          <w:szCs w:val="22"/>
          <w:lang w:bidi="hi-IN"/>
        </w:rPr>
        <w:t>5.1.2 - Para serviços de maior volume, poderão ser realizadas medições quinzenais dos quantitativos executados.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5.2 - O pagamento será efetuado no prazo de até 10 (dez) dias, contados do recebimento da fatura.</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5.2.1 - Havendo erro na fatura ou descumprimento de condições, a tramitação da fatura será suspensa para que a Contratada adote as providências necessárias à sua regularização. Passará a ser considerada, para efeito de pagamento, a data do aceite da fatura.</w:t>
      </w:r>
    </w:p>
    <w:p>
      <w:pPr>
        <w:pStyle w:val="Normal"/>
        <w:spacing w:lineRule="auto" w:line="360"/>
        <w:jc w:val="both"/>
        <w:textAlignment w:val="baseline"/>
        <w:rPr>
          <w:rFonts w:ascii="Arial" w:hAnsi="Arial" w:eastAsia="Arial" w:cs="Arial"/>
          <w:kern w:val="2"/>
          <w:sz w:val="22"/>
          <w:szCs w:val="22"/>
          <w:lang w:bidi="hi-IN"/>
        </w:rPr>
      </w:pPr>
      <w:r>
        <w:rPr>
          <w:rFonts w:eastAsia="Arial" w:cs="Arial" w:ascii="Arial" w:hAnsi="Arial"/>
          <w:kern w:val="2"/>
          <w:sz w:val="22"/>
          <w:szCs w:val="22"/>
          <w:lang w:bidi="hi-IN"/>
        </w:rPr>
        <w:t>5.2.2 - 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5.2.1.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b/>
          <w:bCs/>
          <w:kern w:val="2"/>
          <w:sz w:val="22"/>
          <w:szCs w:val="22"/>
          <w:lang w:eastAsia="pt-BR" w:bidi="hi-IN"/>
        </w:rPr>
        <w:t>6 – OBRIGAÇÕES DA CONTRATANTE</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São obrigações do Contratante:</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 xml:space="preserve"> </w:t>
      </w:r>
      <w:r>
        <w:rPr>
          <w:rFonts w:eastAsia="SimSun" w:cs="Arial" w:ascii="Arial" w:hAnsi="Arial"/>
          <w:kern w:val="2"/>
          <w:sz w:val="22"/>
          <w:szCs w:val="22"/>
          <w:lang w:eastAsia="pt-BR" w:bidi="hi-IN"/>
        </w:rPr>
        <w:t>6.1 - Exigir o cumprimento de todas as obrigações assumidas pelo Contratado, de acordo com o contrato e seus anexos;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 xml:space="preserve"> </w:t>
      </w:r>
      <w:r>
        <w:rPr>
          <w:rFonts w:eastAsia="SimSun" w:cs="Arial" w:ascii="Arial" w:hAnsi="Arial"/>
          <w:kern w:val="2"/>
          <w:sz w:val="22"/>
          <w:szCs w:val="22"/>
          <w:lang w:eastAsia="pt-BR" w:bidi="hi-IN"/>
        </w:rPr>
        <w:t>6.2 - Receber o objeto no prazo e condições estabelecidas no Termo de Referência;</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 xml:space="preserve"> </w:t>
      </w:r>
      <w:r>
        <w:rPr>
          <w:rFonts w:eastAsia="SimSun" w:cs="Arial" w:ascii="Arial" w:hAnsi="Arial"/>
          <w:kern w:val="2"/>
          <w:sz w:val="22"/>
          <w:szCs w:val="22"/>
          <w:lang w:eastAsia="pt-BR" w:bidi="hi-IN"/>
        </w:rPr>
        <w:t>6.3 - Notificar o Contratado, por escrito, sobre vícios, defeitos ou incorreções verificadas no objeto fornecido, para que seja por ele substituído, reparado ou corrigido, no total ou em parte, às suas expensas;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 xml:space="preserve"> </w:t>
      </w:r>
      <w:r>
        <w:rPr>
          <w:rFonts w:eastAsia="SimSun" w:cs="Arial" w:ascii="Arial" w:hAnsi="Arial"/>
          <w:kern w:val="2"/>
          <w:sz w:val="22"/>
          <w:szCs w:val="22"/>
          <w:lang w:eastAsia="pt-BR" w:bidi="hi-IN"/>
        </w:rPr>
        <w:t>6.4 - Acompanhar e fiscalizar a execução do contrato e o cumprimento das obrigações pelo Contratado;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 xml:space="preserve"> </w:t>
      </w:r>
      <w:r>
        <w:rPr>
          <w:rFonts w:eastAsia="SimSun" w:cs="Arial" w:ascii="Arial" w:hAnsi="Arial"/>
          <w:kern w:val="2"/>
          <w:sz w:val="22"/>
          <w:szCs w:val="22"/>
          <w:lang w:eastAsia="pt-BR" w:bidi="hi-IN"/>
        </w:rPr>
        <w:t>6.5 -Comunicar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 xml:space="preserve"> </w:t>
      </w:r>
      <w:r>
        <w:rPr>
          <w:rFonts w:eastAsia="SimSun" w:cs="Arial" w:ascii="Arial" w:hAnsi="Arial"/>
          <w:kern w:val="2"/>
          <w:sz w:val="22"/>
          <w:szCs w:val="22"/>
          <w:lang w:eastAsia="pt-BR" w:bidi="hi-IN"/>
        </w:rPr>
        <w:t>6.6 - Efetuar o pagamento ao Contratado do valor correspondente ao fornecimento do objeto, no prazo, forma e condições estabelecidos no presente Contrato;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 xml:space="preserve"> </w:t>
      </w:r>
      <w:r>
        <w:rPr>
          <w:rFonts w:eastAsia="SimSun" w:cs="Arial" w:ascii="Arial" w:hAnsi="Arial"/>
          <w:kern w:val="2"/>
          <w:sz w:val="22"/>
          <w:szCs w:val="22"/>
          <w:lang w:eastAsia="pt-BR" w:bidi="hi-IN"/>
        </w:rPr>
        <w:t>6.7 - Aplicar ao Contratado as sanções previstas na lei e neste Contrato;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6.8 -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6.8.1 - A Administração terá o prazo de 05 (cinco) dias, a contar da data do protocolo do requerimento para decidir, admitida a prorrogação motivada, por igual período.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6.9 - Responder eventuais pedidos de reestabelecimento do equilíbrio econômico-financeiro feitos pelo contratado no prazo máximo de 30 (trinta) dias.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6.10 -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b/>
          <w:bCs/>
          <w:kern w:val="2"/>
          <w:sz w:val="22"/>
          <w:szCs w:val="22"/>
          <w:lang w:eastAsia="pt-BR" w:bidi="hi-IN"/>
        </w:rPr>
        <w:t>7 – DAS OBRIGAÇÕES DA CONTRATADA</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 xml:space="preserve"> </w:t>
      </w:r>
      <w:r>
        <w:rPr>
          <w:rFonts w:eastAsia="SimSun" w:cs="Arial" w:ascii="Arial" w:hAnsi="Arial"/>
          <w:kern w:val="2"/>
          <w:sz w:val="22"/>
          <w:szCs w:val="22"/>
          <w:lang w:eastAsia="pt-BR" w:bidi="hi-IN"/>
        </w:rPr>
        <w:t>7.2 - Responsabilizar-se pelos vícios e danos decorrentes do objeto, de acordo com o Código de Defesa do Consumidor (Lei nº 8.078, de 1990);</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7.3 - Comunicar ao contratante, no prazo máximo de 24 (vinte e quatro) horas que antecede a data da entrega, os motivos que impossibilitem o cumprimento do prazo previsto, com a devida comprovação;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7.4 - Atender às determinações regulares emitidas pelo fiscal ou gestor do contrato ou autoridade superior (art. 137, II, da Lei n.º 14.133, de 2021) e prestar todo esclarecimento ou informação por eles solicitados;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7.5 -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7.6 -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7.7 -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7.8 -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7.9 - Comunicar ao Fiscal do contrato, no prazo de 24 (vinte e quatro) horas, qualquer ocorrência anormal ou acidente que se verifique no local da execução do objeto contratual.</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7.10 - Paralisar, por determinação do contratante, qualquer atividade que não esteja sendo executada de acordo com a boa técnica ou que ponha em risco a segurança de pessoas ou bens de terceiros.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7.11 - Manter durante toda a vigência do contrato, em compatibilidade com as obrigações assumidas, todas as condições exigidas para habilitação na licitação;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7.12 - Guardar sigilo sobre todas as informações obtidas em decorrência do cumprimento do contrato;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7.14 - Cumprir, além dos postulados legais vigentes de âmbito federal, estadual ou municipal, as normas de segurança do contratante;</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7.15 -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7.16 - Orientar e treinar seus empregados sobre os deveres previstos na Lei nº 13.709, de 14 de agosto de 2018, adotando medidas eficazes para proteção de dados pessoais a que tenha acesso por força da execução deste contrato;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7.17 -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7.18 - Submeter previamente, por escrito, ao contratante, para análise e aprovação, quaisquer mudanças nos métodos executivos que fujam às especificações do memorial descritivo ou instrumento congênere.</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eastAsia="pt-BR" w:bidi="hi-IN"/>
        </w:rPr>
        <w:t>7.19 -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uppressLineNumbers/>
        <w:tabs>
          <w:tab w:val="clear" w:pos="709"/>
          <w:tab w:val="center" w:pos="4819" w:leader="none"/>
          <w:tab w:val="right" w:pos="9638" w:leader="none"/>
        </w:tabs>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textAlignment w:val="baseline"/>
        <w:rPr>
          <w:rFonts w:ascii="Arial" w:hAnsi="Arial" w:eastAsia="SimSun" w:cs="Arial"/>
          <w:b/>
          <w:bCs/>
          <w:kern w:val="2"/>
          <w:sz w:val="22"/>
          <w:szCs w:val="22"/>
          <w:lang w:bidi="hi-IN"/>
        </w:rPr>
      </w:pPr>
      <w:r>
        <w:rPr>
          <w:rFonts w:eastAsia="SimSun" w:cs="Arial" w:ascii="Arial" w:hAnsi="Arial"/>
          <w:b/>
          <w:bCs/>
          <w:kern w:val="2"/>
          <w:sz w:val="22"/>
          <w:szCs w:val="22"/>
          <w:lang w:bidi="hi-IN"/>
        </w:rPr>
        <w:t>8 – SANÇÕES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8.1- Comete infração administrativa, nos termos da Lei nº 14.133, de 2021, o contratado que:</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 xml:space="preserve">a) der causa à </w:t>
      </w:r>
      <w:r>
        <w:rPr>
          <w:rFonts w:eastAsia="SimSun" w:cs="Arial" w:ascii="Arial" w:hAnsi="Arial"/>
          <w:kern w:val="2"/>
          <w:sz w:val="22"/>
          <w:szCs w:val="22"/>
          <w:lang w:eastAsia="pt-BR" w:bidi="hi-IN"/>
        </w:rPr>
        <w:t>inexecução</w:t>
      </w:r>
      <w:r>
        <w:rPr>
          <w:rFonts w:eastAsia="SimSun" w:cs="Arial" w:ascii="Arial" w:hAnsi="Arial"/>
          <w:kern w:val="2"/>
          <w:sz w:val="22"/>
          <w:szCs w:val="22"/>
          <w:lang w:bidi="hi-IN"/>
        </w:rPr>
        <w:t xml:space="preserve"> </w:t>
      </w:r>
      <w:r>
        <w:rPr>
          <w:rFonts w:eastAsia="SimSun" w:cs="Arial" w:ascii="Arial" w:hAnsi="Arial"/>
          <w:kern w:val="2"/>
          <w:sz w:val="22"/>
          <w:szCs w:val="22"/>
          <w:lang w:eastAsia="pt-BR" w:bidi="hi-IN"/>
        </w:rPr>
        <w:t>parcial</w:t>
      </w:r>
      <w:r>
        <w:rPr>
          <w:rFonts w:eastAsia="SimSun" w:cs="Arial" w:ascii="Arial" w:hAnsi="Arial"/>
          <w:kern w:val="2"/>
          <w:sz w:val="22"/>
          <w:szCs w:val="22"/>
          <w:lang w:bidi="hi-IN"/>
        </w:rPr>
        <w:t xml:space="preserve"> do contrato;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b) der causa à inexecução parcial do contrato que cause grave dano à Administração ou ao funcionamento dos serviços públicos ou ao interesse coletivo;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c) der causa à inexecução total do contrato;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d) ensejar o retardamento da execução ou da entrega do objeto da contratação sem motivo justificado;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e) apresentar documentação falsa ou prestar declaração falsa durante a execução do contrato;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f) praticar ato fraudulento na execução do contrato;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g) comportar-se de modo inidôneo ou cometer fraude de qualquer natureza;</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h) praticar ato lesivo previsto no art. 5º da Lei nº 12.846, de 1º de agosto de 2013.</w:t>
      </w:r>
    </w:p>
    <w:p>
      <w:pPr>
        <w:pStyle w:val="Normal"/>
        <w:spacing w:lineRule="auto" w:line="360"/>
        <w:textAlignment w:val="baseline"/>
        <w:rPr>
          <w:rFonts w:ascii="Arial" w:hAnsi="Arial" w:eastAsia="SimSun" w:cs="Arial"/>
          <w:kern w:val="2"/>
          <w:sz w:val="22"/>
          <w:szCs w:val="22"/>
          <w:lang w:bidi="hi-IN"/>
        </w:rPr>
      </w:pPr>
      <w:r>
        <w:rPr>
          <w:rFonts w:eastAsia="SimSun" w:cs="Arial" w:ascii="Arial" w:hAnsi="Arial"/>
          <w:kern w:val="2"/>
          <w:sz w:val="22"/>
          <w:szCs w:val="22"/>
          <w:lang w:bidi="hi-IN"/>
        </w:rPr>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8.2 - Serão aplicadas ao contratado que incorrer nas infrações acima descritas as seguintes sanções: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 xml:space="preserve">    </w:t>
      </w:r>
      <w:r>
        <w:rPr>
          <w:rFonts w:eastAsia="SimSun" w:cs="Arial" w:ascii="Arial" w:hAnsi="Arial"/>
          <w:kern w:val="2"/>
          <w:sz w:val="22"/>
          <w:szCs w:val="22"/>
          <w:lang w:bidi="hi-IN"/>
        </w:rPr>
        <w:tab/>
        <w:t xml:space="preserve">i. Advertência, quando o contratado der causa à inexecução parcial do contrato, sempre que não se justificar a imposição de penalidade mais grave (art. 156, §2º, da Lei nº 14.133, de </w:t>
        <w:tab/>
        <w:t>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 xml:space="preserve">    </w:t>
      </w:r>
      <w:r>
        <w:rPr>
          <w:rFonts w:eastAsia="SimSun" w:cs="Arial" w:ascii="Arial" w:hAnsi="Arial"/>
          <w:kern w:val="2"/>
          <w:sz w:val="22"/>
          <w:szCs w:val="22"/>
          <w:lang w:bidi="hi-IN"/>
        </w:rPr>
        <w:tab/>
        <w:t>ii. Impedimento de licitar e contratar, quando praticadas as condutas descritas nas alíneas “b”, “c” e “d” do subitem acima deste Contrato, sempre que não se justificar a imposição de penalidade mais grave (art. 156, § 4º, da Lei nº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 xml:space="preserve">    </w:t>
      </w:r>
      <w:r>
        <w:rPr>
          <w:rFonts w:eastAsia="SimSun" w:cs="Arial" w:ascii="Arial" w:hAnsi="Arial"/>
          <w:kern w:val="2"/>
          <w:sz w:val="22"/>
          <w:szCs w:val="22"/>
          <w:lang w:bidi="hi-IN"/>
        </w:rPr>
        <w:tab/>
        <w:t xml:space="preserve">iii. Declaração de inidoneidade para licitar e contratar, quando praticadas as condutas descritas nas alíneas “e”, “f”, “g” e “h” do subitem acima deste Contrato, bem como nas alíneas “b”, “c” e “d”, que justifiquem a imposição de penalidade mais grave (art. 156, §5º, </w:t>
        <w:tab/>
        <w:t>da Lei nº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 xml:space="preserve">    </w:t>
      </w:r>
      <w:r>
        <w:rPr>
          <w:rFonts w:eastAsia="SimSun" w:cs="Arial" w:ascii="Arial" w:hAnsi="Arial"/>
          <w:kern w:val="2"/>
          <w:sz w:val="22"/>
          <w:szCs w:val="22"/>
          <w:lang w:bidi="hi-IN"/>
        </w:rPr>
        <w:t>iv. Multa:</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 xml:space="preserve">    </w:t>
      </w:r>
      <w:r>
        <w:rPr>
          <w:rFonts w:eastAsia="SimSun" w:cs="Arial" w:ascii="Arial" w:hAnsi="Arial"/>
          <w:kern w:val="2"/>
          <w:sz w:val="22"/>
          <w:szCs w:val="22"/>
          <w:lang w:bidi="hi-IN"/>
        </w:rPr>
        <w:t>1. moratória de 0,25% (vinte e cinco centesimos por cento) por dia de atraso injustificado sobre o valor da parcela inadimplida, até o limite de 30 dias;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 xml:space="preserve">    </w:t>
      </w:r>
      <w:r>
        <w:rPr>
          <w:rFonts w:eastAsia="SimSun" w:cs="Arial" w:ascii="Arial" w:hAnsi="Arial"/>
          <w:kern w:val="2"/>
          <w:sz w:val="22"/>
          <w:szCs w:val="22"/>
          <w:lang w:bidi="hi-IN"/>
        </w:rPr>
        <w:t xml:space="preserve">2. moratória de 0,10% (dez centesimos por cento) por dia de atraso injustificado sobre o valor total do contrato, até o máximo de 3% (três por cento), pela inobservância do prazo fixado para apresentação, suplementação ou reposição da garantia. O atraso superior a 30 </w:t>
        <w:tab/>
        <w:t>dias autoriza a Administração a promover a extinção do contrato por descumprimento ou cumprimento irregular de suas cláusulas, conforme dispõe o inciso I do art. 137 da Lei n.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 xml:space="preserve">        </w:t>
      </w:r>
      <w:r>
        <w:rPr>
          <w:rFonts w:eastAsia="SimSun" w:cs="Arial" w:ascii="Arial" w:hAnsi="Arial"/>
          <w:kern w:val="2"/>
          <w:sz w:val="22"/>
          <w:szCs w:val="22"/>
          <w:lang w:bidi="hi-IN"/>
        </w:rPr>
        <w:t>3. compensatória de 2% (dois por cento) sobre o valor total do contrato, no caso de inexecução total do objeto.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8.3 - A aplicação das sanções previstas neste Contrato não exclui, em hipótese alguma, a obrigação de reparação integral do dano causado ao Contratante (art. 156, §9º, da Lei nº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8.4 - Todas as sanções previstas neste Contrato poderão ser aplicadas cumulativamente com a multa (art. 156, §7º, da Lei nº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8.5 - Antes da aplicação da multa será facultada a defesa do interessado no prazo de 15 (quinze) dias úteis, contado da data de sua intimação (art. 157, da Lei nº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8.6 -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8.7 - Previamente ao encaminhamento à cobrança judicial, a multa poderá ser recolhida administrativamente no prazo máximo de 30 (trinta) dias, a contar da data do recebimento da comunicação enviada pela autoridade competente.</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Na aplicação das sanções serão considerados (art. 156, §1º, da Lei nº 14.133, de 2021):</w:t>
      </w:r>
    </w:p>
    <w:p>
      <w:pPr>
        <w:pStyle w:val="Normal"/>
        <w:spacing w:lineRule="auto" w:line="360"/>
        <w:textAlignment w:val="baseline"/>
        <w:rPr>
          <w:rFonts w:ascii="Arial" w:hAnsi="Arial" w:eastAsia="SimSun" w:cs="Arial"/>
          <w:kern w:val="2"/>
          <w:sz w:val="22"/>
          <w:szCs w:val="22"/>
          <w:lang w:bidi="hi-IN"/>
        </w:rPr>
      </w:pPr>
      <w:r>
        <w:rPr>
          <w:rFonts w:eastAsia="SimSun" w:cs="Arial" w:ascii="Arial" w:hAnsi="Arial"/>
          <w:kern w:val="2"/>
          <w:sz w:val="22"/>
          <w:szCs w:val="22"/>
          <w:lang w:bidi="hi-IN"/>
        </w:rPr>
        <w:tab/>
        <w:t>a) a natureza e a gravidade da infração cometida;</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ab/>
        <w:t>b) as peculiaridades do caso concreto;</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ab/>
        <w:t>c) as circunstâncias agravantes ou atenuantes;</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ab/>
        <w:t>d) os danos que dela provierem para o Contratante;</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ab/>
        <w:t xml:space="preserve">e) a implantação ou o aperfeiçoamento de programa de integridade, conforme normas e orientações </w:t>
        <w:tab/>
        <w:t>dos órgãos de controle.</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8.9 -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8.10 -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8.11 -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8.12 - As sanções de impedimento de licitar e contratar e declaração de inidoneidade para licitar ou contratar são passíveis de reabilitação na forma do art. 163 da Lei nº 14.133/21.</w:t>
      </w:r>
    </w:p>
    <w:p>
      <w:pPr>
        <w:pStyle w:val="Normal"/>
        <w:spacing w:lineRule="auto" w:line="360"/>
        <w:jc w:val="both"/>
        <w:textAlignment w:val="baseline"/>
        <w:rPr>
          <w:rFonts w:ascii="Arial" w:hAnsi="Arial" w:eastAsia="SimSun" w:cs="Arial"/>
          <w:kern w:val="2"/>
          <w:sz w:val="22"/>
          <w:szCs w:val="22"/>
          <w:lang w:bidi="hi-IN"/>
        </w:rPr>
      </w:pPr>
      <w:r>
        <w:rPr>
          <w:rFonts w:eastAsia="SimSun" w:cs="Arial" w:ascii="Arial" w:hAnsi="Arial"/>
          <w:kern w:val="2"/>
          <w:sz w:val="22"/>
          <w:szCs w:val="22"/>
          <w:lang w:bidi="hi-IN"/>
        </w:rPr>
        <w:t>8.13 -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pPr>
        <w:pStyle w:val="Normal"/>
        <w:spacing w:lineRule="auto" w:line="360"/>
        <w:jc w:val="both"/>
        <w:rPr>
          <w:rFonts w:ascii="Arial" w:hAnsi="Arial" w:eastAsia="Calibri" w:cs="Arial"/>
          <w:sz w:val="22"/>
          <w:szCs w:val="22"/>
        </w:rPr>
      </w:pPr>
      <w:r>
        <w:rPr>
          <w:rFonts w:eastAsia="Calibri" w:cs="Arial" w:ascii="Arial" w:hAnsi="Arial"/>
          <w:sz w:val="22"/>
          <w:szCs w:val="22"/>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bookmarkStart w:id="38" w:name="_Hlk82471863"/>
      <w:bookmarkStart w:id="39" w:name="_Hlk82471863"/>
      <w:bookmarkEnd w:id="39"/>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27</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35</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1.050/2025</w:t>
      </w:r>
    </w:p>
    <w:p>
      <w:pPr>
        <w:pStyle w:val="Normal"/>
        <w:tabs>
          <w:tab w:val="clear" w:pos="709"/>
          <w:tab w:val="left" w:pos="1978"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27</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35</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1.050/2025</w:t>
      </w:r>
    </w:p>
    <w:p>
      <w:pPr>
        <w:pStyle w:val="Normal"/>
        <w:tabs>
          <w:tab w:val="clear" w:pos="709"/>
          <w:tab w:val="left" w:pos="1978"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27</w:t>
      </w:r>
      <w:r>
        <w:rPr>
          <w:rFonts w:cs="Arial" w:ascii="Arial" w:hAnsi="Arial"/>
          <w:sz w:val="22"/>
          <w:szCs w:val="22"/>
        </w:rPr>
        <w:t>/2025),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27</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35</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1.050/2025</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nº </w:t>
      </w:r>
      <w:r>
        <w:rPr>
          <w:rFonts w:cs="Arial" w:ascii="Arial" w:hAnsi="Arial"/>
          <w:b/>
          <w:bCs/>
          <w:sz w:val="22"/>
          <w:szCs w:val="22"/>
        </w:rPr>
        <w:t>27</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14735/2023</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left" w:pos="6633" w:leader="none"/>
        </w:tabs>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tab/>
      </w:r>
    </w:p>
    <w:p>
      <w:pPr>
        <w:pStyle w:val="Normal"/>
        <w:tabs>
          <w:tab w:val="clear" w:pos="709"/>
          <w:tab w:val="left" w:pos="6633" w:leader="none"/>
        </w:tabs>
        <w:spacing w:lineRule="auto" w:line="360"/>
        <w:ind w:right="-54"/>
        <w:jc w:val="both"/>
        <w:rPr>
          <w:rFonts w:ascii="Arial" w:hAnsi="Arial" w:cs="Arial"/>
          <w:sz w:val="22"/>
          <w:szCs w:val="22"/>
        </w:rPr>
      </w:pPr>
      <w:r>
        <w:rPr>
          <w:rFonts w:cs="Arial" w:ascii="Arial" w:hAnsi="Arial"/>
          <w:sz w:val="22"/>
          <w:szCs w:val="22"/>
        </w:rPr>
      </w:r>
    </w:p>
    <w:tbl>
      <w:tblPr>
        <w:tblW w:w="8785" w:type="dxa"/>
        <w:jc w:val="center"/>
        <w:tblInd w:w="0" w:type="dxa"/>
        <w:tblLayout w:type="fixed"/>
        <w:tblCellMar>
          <w:top w:w="0" w:type="dxa"/>
          <w:left w:w="70" w:type="dxa"/>
          <w:bottom w:w="0" w:type="dxa"/>
          <w:right w:w="70" w:type="dxa"/>
        </w:tblCellMar>
        <w:tblLook w:firstRow="0" w:noVBand="0" w:lastRow="0" w:firstColumn="0" w:lastColumn="0" w:noHBand="0" w:val="0000"/>
      </w:tblPr>
      <w:tblGrid>
        <w:gridCol w:w="4690"/>
        <w:gridCol w:w="4094"/>
      </w:tblGrid>
      <w:tr>
        <w:trPr/>
        <w:tc>
          <w:tcPr>
            <w:tcW w:w="4690"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lineRule="auto" w:line="276"/>
              <w:ind w:right="-54"/>
              <w:jc w:val="both"/>
              <w:rPr/>
            </w:pPr>
            <w:r>
              <w:rPr>
                <w:rFonts w:cs="Arial" w:ascii="Arial" w:hAnsi="Arial"/>
                <w:b/>
                <w:bCs/>
                <w:sz w:val="22"/>
                <w:szCs w:val="22"/>
              </w:rPr>
              <w:t>Descrição do Serviço</w:t>
            </w:r>
          </w:p>
        </w:tc>
        <w:tc>
          <w:tcPr>
            <w:tcW w:w="4094"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spacing w:lineRule="auto" w:line="276"/>
              <w:ind w:right="-54"/>
              <w:jc w:val="center"/>
              <w:rPr/>
            </w:pPr>
            <w:r>
              <w:rPr>
                <w:rFonts w:cs="Arial" w:ascii="Arial" w:hAnsi="Arial"/>
                <w:b/>
                <w:bCs/>
                <w:sz w:val="22"/>
                <w:szCs w:val="22"/>
              </w:rPr>
              <w:t>Percentual de desconto sobre Planilha de Custos – Anexo I</w:t>
            </w:r>
          </w:p>
        </w:tc>
      </w:tr>
      <w:tr>
        <w:trPr/>
        <w:tc>
          <w:tcPr>
            <w:tcW w:w="46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ind w:right="-54"/>
              <w:jc w:val="both"/>
              <w:rPr/>
            </w:pPr>
            <w:r>
              <w:rPr>
                <w:rFonts w:cs="Arial" w:ascii="Arial" w:hAnsi="Arial"/>
                <w:sz w:val="22"/>
                <w:szCs w:val="22"/>
              </w:rPr>
              <w:t xml:space="preserve">Execução de serviços de alambrado e gradil eletro-fundido, com fornecimento de material e mão de obra </w:t>
            </w:r>
          </w:p>
        </w:tc>
        <w:tc>
          <w:tcPr>
            <w:tcW w:w="40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ind w:right="-54"/>
              <w:jc w:val="center"/>
              <w:rPr>
                <w:rFonts w:ascii="Arial" w:hAnsi="Arial" w:cs="Arial"/>
                <w:sz w:val="22"/>
                <w:szCs w:val="22"/>
              </w:rPr>
            </w:pPr>
            <w:r>
              <w:rPr>
                <w:rFonts w:cs="Arial" w:ascii="Arial" w:hAnsi="Arial"/>
                <w:sz w:val="22"/>
                <w:szCs w:val="22"/>
              </w:rPr>
            </w:r>
          </w:p>
        </w:tc>
      </w:tr>
    </w:tbl>
    <w:p>
      <w:pPr>
        <w:pStyle w:val="Normal"/>
        <w:tabs>
          <w:tab w:val="clear" w:pos="709"/>
          <w:tab w:val="left" w:pos="6633" w:leader="none"/>
        </w:tabs>
        <w:spacing w:lineRule="auto" w:line="360"/>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pPr>
      <w:r>
        <w:rPr>
          <w:rFonts w:eastAsia="MS Mincho" w:cs="Arial" w:ascii="Arial" w:hAnsi="Arial"/>
          <w:bCs/>
          <w:color w:val="000000"/>
          <w:sz w:val="22"/>
          <w:szCs w:val="22"/>
          <w:highlight w:val="green"/>
          <w:u w:val="single"/>
        </w:rPr>
        <w:t xml:space="preserve">No prazo de até 24 (vinte e quatro) horas após a adjudicação, o licitante vencedor deverá apresentar a planilha de custos do Anexo I, </w:t>
      </w:r>
      <w:r>
        <w:rPr>
          <w:rFonts w:eastAsia="MS Mincho" w:cs="Arial" w:ascii="Arial" w:hAnsi="Arial"/>
          <w:b/>
          <w:color w:val="000000"/>
          <w:sz w:val="22"/>
          <w:szCs w:val="22"/>
          <w:highlight w:val="green"/>
          <w:u w:val="single"/>
        </w:rPr>
        <w:t>readequada com os valores unitários obtidos através de desconto linear concedido na licitação</w:t>
      </w:r>
      <w:r>
        <w:rPr>
          <w:rFonts w:eastAsia="MS Mincho" w:cs="Arial" w:ascii="Arial" w:hAnsi="Arial"/>
          <w:bCs/>
          <w:color w:val="000000"/>
          <w:sz w:val="22"/>
          <w:szCs w:val="22"/>
          <w:highlight w:val="green"/>
          <w:u w:val="single"/>
        </w:rPr>
        <w:t>. Poderá ser enviado através de comunicação eletrônica ou protocolo efetuado na Seção de Licitações, situada na Av. Luciano Consoline, n.° 600, Jardim de Lucca, Itatiba/SP.</w:t>
      </w:r>
    </w:p>
    <w:p>
      <w:pPr>
        <w:pStyle w:val="Normal"/>
        <w:spacing w:lineRule="auto" w:line="276"/>
        <w:ind w:right="-54"/>
        <w:jc w:val="both"/>
        <w:rPr/>
      </w:pPr>
      <w:r>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MINUTA DA ATA DE REGISTRO DE PREÇO nº XX/2025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 xml:space="preserve">PREGÃO ELETRÔNICO nº </w:t>
      </w:r>
      <w:r>
        <w:rPr>
          <w:rFonts w:cs="Arial" w:ascii="Arial" w:hAnsi="Arial"/>
          <w:b/>
          <w:bCs/>
        </w:rPr>
        <w:t>27</w:t>
      </w:r>
      <w:r>
        <w:rPr>
          <w:rFonts w:cs="Arial" w:ascii="Arial" w:hAnsi="Arial"/>
          <w:b/>
          <w:bCs/>
        </w:rPr>
        <w:t>/2025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PROCESSO nº 1.050/2025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iCs/>
        </w:rPr>
      </w:pPr>
      <w:r>
        <w:rPr>
          <w:rFonts w:cs="Arial" w:ascii="Arial" w:hAnsi="Arial"/>
          <w:b/>
          <w:bCs/>
          <w:iCs/>
        </w:rPr>
      </w:r>
    </w:p>
    <w:p>
      <w:pPr>
        <w:pStyle w:val="Normal"/>
        <w:widowControl w:val="false"/>
        <w:spacing w:lineRule="auto" w:line="360"/>
        <w:ind w:right="-3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pPr>
      <w:r>
        <w:rPr>
          <w:rFonts w:cs="Arial" w:ascii="Arial" w:hAnsi="Arial"/>
        </w:rPr>
        <w:t>Aos XX dias do mês de XXX de 2025,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XX/2025,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numPr>
          <w:ilvl w:val="0"/>
          <w:numId w:val="13"/>
        </w:numPr>
        <w:spacing w:lineRule="auto" w:line="360"/>
        <w:rPr>
          <w:sz w:val="22"/>
          <w:szCs w:val="22"/>
        </w:rPr>
      </w:pPr>
      <w:r>
        <w:rPr>
          <w:sz w:val="22"/>
          <w:szCs w:val="22"/>
        </w:rPr>
        <w:t>DO OBJETO</w:t>
      </w:r>
    </w:p>
    <w:p>
      <w:pPr>
        <w:pStyle w:val="Nivel2"/>
        <w:numPr>
          <w:ilvl w:val="1"/>
          <w:numId w:val="3"/>
        </w:numPr>
        <w:spacing w:lineRule="auto" w:line="360"/>
        <w:ind w:hanging="0" w:left="0"/>
        <w:rPr/>
      </w:pPr>
      <w:r>
        <w:rPr>
          <w:sz w:val="22"/>
          <w:szCs w:val="22"/>
        </w:rPr>
        <w:t>A presente Ata tem por objeto o registro de preços para a eventual aquisição/contratação de XX, especificado no Termo de Referência, anexo I</w:t>
      </w:r>
      <w:r>
        <w:rPr>
          <w:i/>
          <w:sz w:val="22"/>
          <w:szCs w:val="22"/>
        </w:rPr>
        <w:t xml:space="preserve"> do Edital </w:t>
      </w:r>
      <w:r>
        <w:rPr>
          <w:i/>
          <w:sz w:val="22"/>
          <w:szCs w:val="22"/>
        </w:rPr>
        <w:t>35</w:t>
      </w:r>
      <w:r>
        <w:rPr>
          <w:i/>
          <w:sz w:val="22"/>
          <w:szCs w:val="22"/>
        </w:rPr>
        <w:t>/2025</w:t>
      </w:r>
      <w:r>
        <w:rPr>
          <w:sz w:val="22"/>
          <w:szCs w:val="22"/>
        </w:rPr>
        <w:t xml:space="preserve"> que é parte integrante desta Ata, assim como as propostas cujos preços tenham sido registrados, independentemente de transcrição.</w:t>
      </w:r>
    </w:p>
    <w:p>
      <w:pPr>
        <w:pStyle w:val="Nivel2"/>
        <w:tabs>
          <w:tab w:val="clear" w:pos="0"/>
        </w:tabs>
        <w:spacing w:lineRule="auto" w:line="360"/>
        <w:ind w:hanging="0" w:left="0"/>
        <w:rPr>
          <w:sz w:val="22"/>
          <w:szCs w:val="22"/>
        </w:rPr>
      </w:pPr>
      <w:r>
        <w:rPr>
          <w:sz w:val="22"/>
          <w:szCs w:val="22"/>
        </w:rPr>
      </w:r>
    </w:p>
    <w:p>
      <w:pPr>
        <w:pStyle w:val="Nivel01"/>
        <w:numPr>
          <w:ilvl w:val="0"/>
          <w:numId w:val="10"/>
        </w:numPr>
        <w:spacing w:lineRule="auto" w:line="360"/>
        <w:ind w:hanging="0" w:left="0"/>
        <w:rPr/>
      </w:pPr>
      <w:r>
        <w:rPr>
          <w:sz w:val="22"/>
          <w:szCs w:val="22"/>
        </w:rPr>
        <w:t xml:space="preserve">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sz w:val="22"/>
          <w:szCs w:val="22"/>
          <w:lang w:eastAsia="en-US"/>
        </w:rPr>
      </w:pPr>
      <w:r>
        <w:rPr>
          <w:sz w:val="22"/>
          <w:szCs w:val="22"/>
          <w:lang w:eastAsia="en-US"/>
        </w:rPr>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pPr>
      <w:r>
        <w:rPr>
          <w:sz w:val="22"/>
          <w:szCs w:val="22"/>
        </w:rPr>
        <w:t xml:space="preserve">FORNECEDOR: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ENDEREÇO: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BAIRRO: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CIDADE: XXX ESTADO: XXX      CEP: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TELEFONE: XXX                CPF/CNPJ: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CONDIÇÃO DE PAGAMENTO: XXX</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pPr>
      <w:r>
        <w:rPr>
          <w:rFonts w:eastAsia="Arial"/>
          <w:sz w:val="22"/>
          <w:szCs w:val="22"/>
        </w:rPr>
        <w:t xml:space="preserve"> </w:t>
      </w:r>
      <w:r>
        <w:rPr>
          <w:sz w:val="22"/>
          <w:szCs w:val="22"/>
        </w:rPr>
        <w:t>PRAZO DE ENTREGA: XXX</w:t>
      </w:r>
    </w:p>
    <w:p>
      <w:pPr>
        <w:pStyle w:val="Nivel01"/>
        <w:numPr>
          <w:ilvl w:val="0"/>
          <w:numId w:val="0"/>
        </w:numPr>
        <w:spacing w:lineRule="auto" w:line="360"/>
        <w:ind w:hanging="0" w:left="0"/>
        <w:rPr>
          <w:sz w:val="22"/>
          <w:szCs w:val="22"/>
        </w:rPr>
      </w:pPr>
      <w:r>
        <w:rPr>
          <w:sz w:val="22"/>
          <w:szCs w:val="22"/>
        </w:rPr>
      </w:r>
    </w:p>
    <w:p>
      <w:pPr>
        <w:pStyle w:val="Nivel01"/>
        <w:numPr>
          <w:ilvl w:val="0"/>
          <w:numId w:val="10"/>
        </w:numPr>
        <w:spacing w:lineRule="auto" w:line="360"/>
        <w:rPr>
          <w:sz w:val="22"/>
          <w:szCs w:val="22"/>
        </w:rPr>
      </w:pPr>
      <w:r>
        <w:rPr>
          <w:sz w:val="22"/>
          <w:szCs w:val="22"/>
        </w:rPr>
        <w:t>DOS PREÇOS, ESPECIFICAÇÕES E QUANTITATIVOS</w:t>
      </w:r>
    </w:p>
    <w:p>
      <w:pPr>
        <w:pStyle w:val="Nivel2"/>
        <w:numPr>
          <w:ilvl w:val="1"/>
          <w:numId w:val="10"/>
        </w:numPr>
        <w:spacing w:lineRule="auto" w:line="360"/>
        <w:ind w:hanging="0" w:left="0"/>
        <w:rPr>
          <w:sz w:val="22"/>
          <w:szCs w:val="22"/>
        </w:rPr>
      </w:pPr>
      <w:r>
        <w:rPr>
          <w:sz w:val="22"/>
          <w:szCs w:val="22"/>
        </w:rPr>
        <w:t xml:space="preserve">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7"/>
        <w:gridCol w:w="1535"/>
        <w:gridCol w:w="792"/>
        <w:gridCol w:w="1409"/>
        <w:gridCol w:w="1666"/>
        <w:gridCol w:w="1562"/>
        <w:gridCol w:w="1305"/>
      </w:tblGrid>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1"/>
          <w:numId w:val="10"/>
        </w:numPr>
        <w:spacing w:lineRule="auto" w:line="360"/>
        <w:ind w:hanging="0" w:left="0"/>
        <w:rPr>
          <w:sz w:val="22"/>
          <w:szCs w:val="22"/>
          <w:lang w:eastAsia="en-US"/>
        </w:rPr>
      </w:pPr>
      <w:r>
        <w:rPr>
          <w:sz w:val="22"/>
          <w:szCs w:val="22"/>
          <w:lang w:eastAsia="en-US"/>
        </w:rPr>
        <w:t>A listagem do cadastro de reserva referente ao presente registro de preços consta como anexo a esta Ata.</w:t>
      </w:r>
    </w:p>
    <w:p>
      <w:pPr>
        <w:pStyle w:val="Nivel01"/>
        <w:numPr>
          <w:ilvl w:val="0"/>
          <w:numId w:val="10"/>
        </w:numPr>
        <w:spacing w:lineRule="auto" w:line="360"/>
        <w:rPr>
          <w:sz w:val="22"/>
          <w:szCs w:val="22"/>
        </w:rPr>
      </w:pPr>
      <w:r>
        <w:rPr>
          <w:sz w:val="22"/>
          <w:szCs w:val="22"/>
        </w:rPr>
        <w:t>ÓRGÃO(S) GERENCIADOR E PARTICIPANTE(S)</w:t>
      </w:r>
    </w:p>
    <w:p>
      <w:pPr>
        <w:pStyle w:val="Nivel2"/>
        <w:numPr>
          <w:ilvl w:val="1"/>
          <w:numId w:val="10"/>
        </w:numPr>
        <w:spacing w:lineRule="auto" w:line="360"/>
        <w:ind w:hanging="0" w:left="0"/>
        <w:rPr>
          <w:sz w:val="22"/>
          <w:szCs w:val="22"/>
        </w:rPr>
      </w:pPr>
      <w:r>
        <w:rPr>
          <w:sz w:val="22"/>
          <w:szCs w:val="22"/>
        </w:rPr>
        <w:t>O órgão gerenciador será a Seção de Licitações:</w:t>
      </w:r>
    </w:p>
    <w:p>
      <w:pPr>
        <w:pStyle w:val="Nvel2-Red"/>
        <w:spacing w:lineRule="auto" w:line="360"/>
        <w:rPr>
          <w:color w:val="000000"/>
          <w:sz w:val="22"/>
          <w:szCs w:val="22"/>
        </w:rPr>
      </w:pPr>
      <w:r>
        <w:rPr>
          <w:color w:val="000000"/>
          <w:sz w:val="22"/>
          <w:szCs w:val="22"/>
        </w:rPr>
        <w:t>Secretarias participantes do registro de preços:</w:t>
      </w:r>
    </w:p>
    <w:tbl>
      <w:tblPr>
        <w:tblW w:w="8720"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shd w:fill="00FFFF" w:val="clear"/>
              </w:rPr>
            </w:pPr>
            <w:r>
              <w:rPr>
                <w:rFonts w:cs="Arial" w:ascii="Arial" w:hAnsi="Arial"/>
                <w:i/>
                <w:iCs/>
                <w:sz w:val="22"/>
                <w:szCs w:val="22"/>
                <w:shd w:fill="00FFFF" w:val="clear"/>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bl>
    <w:p>
      <w:pPr>
        <w:pStyle w:val="Nivel01"/>
        <w:numPr>
          <w:ilvl w:val="0"/>
          <w:numId w:val="0"/>
        </w:numPr>
        <w:spacing w:lineRule="auto" w:line="360"/>
        <w:ind w:hanging="0" w:left="360"/>
        <w:rPr/>
      </w:pPr>
      <w:r>
        <w:rPr/>
      </w:r>
    </w:p>
    <w:p>
      <w:pPr>
        <w:pStyle w:val="Nivel01"/>
        <w:numPr>
          <w:ilvl w:val="0"/>
          <w:numId w:val="10"/>
        </w:numPr>
        <w:spacing w:lineRule="auto" w:line="360"/>
        <w:rPr>
          <w:sz w:val="22"/>
          <w:szCs w:val="22"/>
        </w:rPr>
      </w:pPr>
      <w:r>
        <w:rPr>
          <w:sz w:val="22"/>
          <w:szCs w:val="22"/>
        </w:rPr>
        <w:t>DA ADESÃO À ATA DE REGISTRO DE PREÇOS</w:t>
      </w:r>
    </w:p>
    <w:p>
      <w:pPr>
        <w:pStyle w:val="Nivel01"/>
        <w:numPr>
          <w:ilvl w:val="1"/>
          <w:numId w:val="6"/>
        </w:numPr>
        <w:spacing w:lineRule="auto" w:line="360"/>
        <w:ind w:hanging="0" w:left="0"/>
        <w:rPr>
          <w:b w:val="false"/>
          <w:bCs w:val="false"/>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6"/>
        </w:numPr>
        <w:spacing w:lineRule="auto" w:line="360"/>
        <w:rPr>
          <w:sz w:val="22"/>
          <w:szCs w:val="22"/>
        </w:rPr>
      </w:pPr>
      <w:r>
        <w:rPr>
          <w:sz w:val="22"/>
          <w:szCs w:val="22"/>
        </w:rPr>
        <w:t>- É vedado efetuar acréscimos nos quantitativos fixados na ata de registro de preços.</w:t>
      </w:r>
    </w:p>
    <w:p>
      <w:pPr>
        <w:pStyle w:val="Nivel2"/>
        <w:tabs>
          <w:tab w:val="clear" w:pos="0"/>
        </w:tabs>
        <w:spacing w:lineRule="auto" w:line="360"/>
        <w:ind w:hanging="0" w:left="0"/>
        <w:rPr>
          <w:sz w:val="22"/>
          <w:szCs w:val="22"/>
        </w:rPr>
      </w:pPr>
      <w:r>
        <w:rPr>
          <w:sz w:val="22"/>
          <w:szCs w:val="22"/>
        </w:rPr>
      </w:r>
    </w:p>
    <w:p>
      <w:pPr>
        <w:pStyle w:val="Nivel01"/>
        <w:numPr>
          <w:ilvl w:val="0"/>
          <w:numId w:val="6"/>
        </w:numPr>
        <w:spacing w:lineRule="auto" w:line="360"/>
        <w:ind w:hanging="0" w:left="0"/>
        <w:rPr>
          <w:sz w:val="22"/>
          <w:szCs w:val="22"/>
        </w:rPr>
      </w:pPr>
      <w:r>
        <w:rPr>
          <w:sz w:val="22"/>
          <w:szCs w:val="22"/>
        </w:rPr>
        <w:t>VALIDADE, FORMALIZAÇÃO DA ATA DE REGISTRO DE PREÇOS E CADASTRO RESERVA</w:t>
      </w:r>
    </w:p>
    <w:p>
      <w:pPr>
        <w:pStyle w:val="Nivel2"/>
        <w:numPr>
          <w:ilvl w:val="1"/>
          <w:numId w:val="6"/>
        </w:numPr>
        <w:spacing w:lineRule="auto" w:line="360"/>
        <w:ind w:hanging="0" w:left="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6"/>
        </w:numPr>
        <w:spacing w:lineRule="auto" w:line="360"/>
        <w:ind w:hanging="0" w:left="567"/>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6"/>
        </w:numPr>
        <w:spacing w:lineRule="auto" w:line="360"/>
        <w:ind w:hanging="0" w:left="567"/>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6"/>
        </w:numPr>
        <w:spacing w:lineRule="auto" w:line="360"/>
        <w:ind w:hanging="0" w:left="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6"/>
        </w:numPr>
        <w:spacing w:lineRule="auto" w:line="360"/>
        <w:ind w:hanging="0" w:left="567"/>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6"/>
        </w:numPr>
        <w:spacing w:lineRule="auto" w:line="360"/>
        <w:ind w:hanging="0" w:left="0"/>
        <w:rPr>
          <w:sz w:val="22"/>
          <w:szCs w:val="22"/>
        </w:rPr>
      </w:pPr>
      <w:r>
        <w:rPr>
          <w:sz w:val="22"/>
          <w:szCs w:val="22"/>
        </w:rPr>
        <w:t>Os contratos decorrentes do sistema de registro de preços poderão ser alterados, observado o art. 124 da Lei nº 14.133, de 2021.</w:t>
      </w:r>
    </w:p>
    <w:p>
      <w:pPr>
        <w:pStyle w:val="Nivel2"/>
        <w:numPr>
          <w:ilvl w:val="1"/>
          <w:numId w:val="6"/>
        </w:numPr>
        <w:spacing w:lineRule="auto" w:line="360"/>
        <w:ind w:hanging="0" w:left="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6"/>
        </w:numPr>
        <w:spacing w:lineRule="auto" w:line="360"/>
        <w:ind w:hanging="0" w:left="567"/>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6"/>
        </w:numPr>
        <w:spacing w:lineRule="auto" w:line="360"/>
        <w:ind w:hanging="0" w:left="567"/>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40" w:name="cadastro_reserva"/>
      <w:bookmarkEnd w:id="40"/>
    </w:p>
    <w:p>
      <w:pPr>
        <w:pStyle w:val="Nvel3"/>
        <w:numPr>
          <w:ilvl w:val="2"/>
          <w:numId w:val="6"/>
        </w:numPr>
        <w:spacing w:lineRule="auto" w:line="360"/>
        <w:ind w:hanging="0" w:left="567"/>
        <w:rPr>
          <w:sz w:val="22"/>
          <w:szCs w:val="22"/>
        </w:rPr>
      </w:pPr>
      <w:r>
        <w:rPr>
          <w:sz w:val="22"/>
          <w:szCs w:val="22"/>
        </w:rPr>
        <w:t>Será respeitada, nas contratações, a ordem de classificação dos licitantes ou dos fornecedores registrados na ata.</w:t>
      </w:r>
    </w:p>
    <w:p>
      <w:pPr>
        <w:pStyle w:val="Nivel2"/>
        <w:numPr>
          <w:ilvl w:val="1"/>
          <w:numId w:val="6"/>
        </w:numPr>
        <w:spacing w:lineRule="auto" w:line="360"/>
        <w:ind w:hanging="0" w:left="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6"/>
        </w:numPr>
        <w:spacing w:lineRule="auto" w:line="360"/>
        <w:ind w:hanging="0" w:left="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6"/>
        </w:numPr>
        <w:spacing w:lineRule="auto" w:line="360"/>
        <w:ind w:hanging="0" w:left="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1" w:name="habilitacao_reserva"/>
      <w:bookmarkEnd w:id="41"/>
    </w:p>
    <w:p>
      <w:pPr>
        <w:pStyle w:val="Nvel3"/>
        <w:numPr>
          <w:ilvl w:val="2"/>
          <w:numId w:val="6"/>
        </w:numPr>
        <w:spacing w:lineRule="auto" w:line="360"/>
        <w:ind w:hanging="0" w:left="567"/>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6"/>
        </w:numPr>
        <w:spacing w:lineRule="auto" w:line="360"/>
        <w:ind w:hanging="0" w:left="567"/>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6"/>
        </w:numPr>
        <w:spacing w:lineRule="auto" w:line="360"/>
        <w:ind w:hanging="0" w:left="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6"/>
        </w:numPr>
        <w:spacing w:lineRule="auto" w:line="360"/>
        <w:ind w:hanging="0" w:left="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6"/>
        </w:numPr>
        <w:spacing w:lineRule="auto" w:line="360"/>
        <w:ind w:hanging="0" w:left="567"/>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6"/>
        </w:numPr>
        <w:spacing w:lineRule="auto" w:line="360"/>
        <w:ind w:hanging="0" w:left="0"/>
        <w:rPr>
          <w:sz w:val="22"/>
          <w:szCs w:val="22"/>
        </w:rPr>
      </w:pPr>
      <w:r>
        <w:rPr>
          <w:sz w:val="22"/>
          <w:szCs w:val="22"/>
        </w:rPr>
        <w:t>A ata de registro de preços poderá ser assinada por meio de assinatura digital.</w:t>
      </w:r>
    </w:p>
    <w:p>
      <w:pPr>
        <w:pStyle w:val="Nivel2"/>
        <w:numPr>
          <w:ilvl w:val="1"/>
          <w:numId w:val="6"/>
        </w:numPr>
        <w:spacing w:lineRule="auto" w:line="360"/>
        <w:ind w:hanging="0" w:left="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2" w:name="recusa_dos_que_baixaram_preco"/>
      <w:bookmarkEnd w:id="42"/>
    </w:p>
    <w:p>
      <w:pPr>
        <w:pStyle w:val="Nivel2"/>
        <w:numPr>
          <w:ilvl w:val="1"/>
          <w:numId w:val="6"/>
        </w:numPr>
        <w:spacing w:lineRule="auto" w:line="360"/>
        <w:ind w:hanging="0" w:left="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6"/>
        </w:numPr>
        <w:spacing w:lineRule="auto" w:line="360"/>
        <w:ind w:hanging="0" w:left="567"/>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6"/>
        </w:numPr>
        <w:spacing w:lineRule="auto" w:line="360"/>
        <w:ind w:hanging="0" w:left="567"/>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tabs>
          <w:tab w:val="clear" w:pos="0"/>
        </w:tabs>
        <w:spacing w:lineRule="auto" w:line="360"/>
        <w:ind w:hanging="0" w:left="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tabs>
          <w:tab w:val="clear" w:pos="0"/>
        </w:tabs>
        <w:spacing w:lineRule="auto" w:line="360"/>
        <w:ind w:hanging="0" w:left="0"/>
        <w:rPr>
          <w:sz w:val="22"/>
          <w:szCs w:val="22"/>
        </w:rPr>
      </w:pPr>
      <w:r>
        <w:rPr>
          <w:sz w:val="22"/>
          <w:szCs w:val="22"/>
        </w:rPr>
      </w:r>
    </w:p>
    <w:p>
      <w:pPr>
        <w:pStyle w:val="Nivel01"/>
        <w:numPr>
          <w:ilvl w:val="0"/>
          <w:numId w:val="6"/>
        </w:numPr>
        <w:spacing w:lineRule="auto" w:line="360"/>
        <w:rPr>
          <w:sz w:val="22"/>
          <w:szCs w:val="22"/>
        </w:rPr>
      </w:pPr>
      <w:r>
        <w:rPr>
          <w:sz w:val="22"/>
          <w:szCs w:val="22"/>
        </w:rPr>
        <w:t>ALTERAÇÃO OU ATUALIZAÇÃO DOS PREÇOS REGISTRADOS</w:t>
      </w:r>
    </w:p>
    <w:p>
      <w:pPr>
        <w:pStyle w:val="Nivel2"/>
        <w:numPr>
          <w:ilvl w:val="1"/>
          <w:numId w:val="6"/>
        </w:numPr>
        <w:spacing w:lineRule="auto" w:line="360"/>
        <w:ind w:hanging="0" w:left="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6"/>
        </w:numPr>
        <w:spacing w:lineRule="auto" w:line="360"/>
        <w:ind w:hanging="0" w:left="567"/>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6"/>
        </w:numPr>
        <w:spacing w:lineRule="auto" w:line="360"/>
        <w:ind w:hanging="0" w:left="567"/>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Heading2"/>
        <w:numPr>
          <w:ilvl w:val="0"/>
          <w:numId w:val="0"/>
        </w:numPr>
        <w:tabs>
          <w:tab w:val="clear" w:pos="709"/>
          <w:tab w:val="left" w:pos="0" w:leader="none"/>
        </w:tabs>
        <w:spacing w:lineRule="auto" w:line="360" w:before="80" w:after="80"/>
        <w:ind w:hanging="0" w:left="0"/>
        <w:jc w:val="both"/>
        <w:rPr>
          <w:rFonts w:eastAsia="MS Mincho;ＭＳ 明朝"/>
          <w:b w:val="false"/>
          <w:bCs w:val="false"/>
          <w:i w:val="false"/>
          <w:i w:val="false"/>
          <w:iCs w:val="false"/>
          <w:color w:val="000000"/>
          <w:kern w:val="0"/>
          <w:sz w:val="22"/>
          <w:szCs w:val="22"/>
        </w:rPr>
      </w:pPr>
      <w:bookmarkStart w:id="43" w:name="_Hlk165615619"/>
      <w:r>
        <w:rPr>
          <w:rFonts w:eastAsia="MS Mincho;ＭＳ 明朝"/>
          <w:b w:val="false"/>
          <w:bCs w:val="false"/>
          <w:i w:val="false"/>
          <w:iCs w:val="false"/>
          <w:color w:val="000000"/>
          <w:kern w:val="0"/>
          <w:sz w:val="22"/>
          <w:szCs w:val="22"/>
        </w:rPr>
        <w:t>7.2 - Caso o prazo exceda os 12 (doze) meses previstos, os preços serão reajustados de acordo com o índice de variação do IPCA-IBGE.</w:t>
      </w:r>
      <w:bookmarkEnd w:id="43"/>
    </w:p>
    <w:p>
      <w:pPr>
        <w:pStyle w:val="Nvel4"/>
        <w:spacing w:lineRule="auto" w:line="360"/>
        <w:rPr>
          <w:sz w:val="22"/>
          <w:szCs w:val="22"/>
        </w:rPr>
      </w:pPr>
      <w:r>
        <w:rPr>
          <w:sz w:val="22"/>
          <w:szCs w:val="22"/>
        </w:rPr>
      </w:r>
    </w:p>
    <w:p>
      <w:pPr>
        <w:pStyle w:val="Nivel01"/>
        <w:numPr>
          <w:ilvl w:val="0"/>
          <w:numId w:val="6"/>
        </w:numPr>
        <w:spacing w:lineRule="auto" w:line="360"/>
        <w:rPr>
          <w:sz w:val="22"/>
          <w:szCs w:val="22"/>
        </w:rPr>
      </w:pPr>
      <w:r>
        <w:rPr>
          <w:sz w:val="22"/>
          <w:szCs w:val="22"/>
        </w:rPr>
        <w:t>NEGOCIAÇÃO DE PREÇOS REGISTRADOS</w:t>
      </w:r>
    </w:p>
    <w:p>
      <w:pPr>
        <w:pStyle w:val="Nivel2"/>
        <w:numPr>
          <w:ilvl w:val="1"/>
          <w:numId w:val="6"/>
        </w:numPr>
        <w:spacing w:lineRule="auto" w:line="360"/>
        <w:ind w:hanging="0" w:left="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6"/>
        </w:numPr>
        <w:spacing w:lineRule="auto" w:line="360"/>
        <w:ind w:hanging="0" w:left="567"/>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6"/>
        </w:numPr>
        <w:spacing w:lineRule="auto" w:line="360"/>
        <w:ind w:hanging="0" w:left="567"/>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6"/>
        </w:numPr>
        <w:spacing w:lineRule="auto" w:line="360"/>
        <w:ind w:hanging="0" w:left="567"/>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4" w:name="reducao_preco_mercado_negociacao_frustra"/>
      <w:bookmarkEnd w:id="44"/>
    </w:p>
    <w:p>
      <w:pPr>
        <w:pStyle w:val="Nvel3"/>
        <w:numPr>
          <w:ilvl w:val="2"/>
          <w:numId w:val="6"/>
        </w:numPr>
        <w:spacing w:lineRule="auto" w:line="360"/>
        <w:ind w:hanging="0" w:left="567"/>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6"/>
        </w:numPr>
        <w:spacing w:lineRule="auto" w:line="360"/>
        <w:ind w:hanging="0" w:left="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5" w:name="hipotese_preco_mercado_maior"/>
      <w:bookmarkEnd w:id="45"/>
    </w:p>
    <w:p>
      <w:pPr>
        <w:pStyle w:val="Nvel3"/>
        <w:numPr>
          <w:ilvl w:val="2"/>
          <w:numId w:val="6"/>
        </w:numPr>
        <w:spacing w:lineRule="auto" w:line="360"/>
        <w:ind w:hanging="0" w:left="567"/>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6" w:name="prova_preco_mercado_maior"/>
      <w:bookmarkEnd w:id="46"/>
    </w:p>
    <w:p>
      <w:pPr>
        <w:pStyle w:val="Nvel3"/>
        <w:numPr>
          <w:ilvl w:val="2"/>
          <w:numId w:val="6"/>
        </w:numPr>
        <w:spacing w:lineRule="auto" w:line="360"/>
        <w:ind w:hanging="0" w:left="567"/>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6"/>
        </w:numPr>
        <w:spacing w:lineRule="auto" w:line="360"/>
        <w:ind w:hanging="0" w:left="567"/>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6"/>
        </w:numPr>
        <w:spacing w:lineRule="auto" w:line="360"/>
        <w:ind w:hanging="0" w:left="567"/>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6"/>
        </w:numPr>
        <w:spacing w:lineRule="auto" w:line="360"/>
        <w:ind w:hanging="0" w:left="567"/>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6"/>
        </w:numPr>
        <w:tabs>
          <w:tab w:val="clear" w:pos="0"/>
        </w:tabs>
        <w:spacing w:lineRule="auto" w:line="360"/>
        <w:ind w:hanging="0" w:left="567"/>
        <w:rPr>
          <w:sz w:val="22"/>
          <w:szCs w:val="22"/>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vel3"/>
        <w:tabs>
          <w:tab w:val="clear" w:pos="0"/>
        </w:tabs>
        <w:spacing w:lineRule="auto" w:line="360"/>
        <w:ind w:hanging="0" w:left="567"/>
        <w:rPr>
          <w:sz w:val="22"/>
          <w:szCs w:val="22"/>
        </w:rPr>
      </w:pPr>
      <w:r>
        <w:rPr>
          <w:sz w:val="22"/>
          <w:szCs w:val="22"/>
        </w:rPr>
      </w:r>
    </w:p>
    <w:p>
      <w:pPr>
        <w:pStyle w:val="Nivel01"/>
        <w:numPr>
          <w:ilvl w:val="0"/>
          <w:numId w:val="6"/>
        </w:numPr>
        <w:spacing w:lineRule="auto" w:line="360"/>
        <w:ind w:hanging="0" w:left="0"/>
        <w:rPr>
          <w:sz w:val="22"/>
          <w:szCs w:val="22"/>
        </w:rPr>
      </w:pPr>
      <w:r>
        <w:rPr>
          <w:sz w:val="22"/>
          <w:szCs w:val="22"/>
        </w:rPr>
        <w:t>REMANEJAMENTO DAS QUANTIDADES REGISTRADAS NA ATA DE REGISTRO DE PREÇOS</w:t>
      </w:r>
    </w:p>
    <w:p>
      <w:pPr>
        <w:pStyle w:val="Nivel2"/>
        <w:numPr>
          <w:ilvl w:val="1"/>
          <w:numId w:val="6"/>
        </w:numPr>
        <w:spacing w:lineRule="auto" w:line="360"/>
        <w:ind w:hanging="0" w:left="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6"/>
        </w:numPr>
        <w:spacing w:lineRule="auto" w:line="360"/>
        <w:ind w:hanging="0" w:left="0"/>
        <w:rPr/>
      </w:pPr>
      <w:r>
        <w:rPr>
          <w:rFonts w:eastAsia="Arial"/>
          <w:sz w:val="22"/>
          <w:szCs w:val="22"/>
        </w:rPr>
        <w:t xml:space="preserve"> </w:t>
      </w:r>
      <w:r>
        <w:rPr>
          <w:sz w:val="22"/>
          <w:szCs w:val="22"/>
        </w:rPr>
        <w:t>O remanejamento somente poderá ser feito:</w:t>
      </w:r>
    </w:p>
    <w:p>
      <w:pPr>
        <w:pStyle w:val="Nvel3"/>
        <w:numPr>
          <w:ilvl w:val="2"/>
          <w:numId w:val="6"/>
        </w:numPr>
        <w:spacing w:lineRule="auto" w:line="360"/>
        <w:ind w:hanging="0" w:left="567"/>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6"/>
        </w:numPr>
        <w:spacing w:lineRule="auto" w:line="360"/>
        <w:ind w:hanging="0" w:left="567"/>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6"/>
        </w:numPr>
        <w:spacing w:lineRule="auto" w:line="360"/>
        <w:ind w:hanging="0" w:left="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7" w:name="gerenciador_estimador_é_partic_em_remane"/>
      <w:bookmarkEnd w:id="47"/>
    </w:p>
    <w:p>
      <w:pPr>
        <w:pStyle w:val="Nivel2"/>
        <w:tabs>
          <w:tab w:val="clear" w:pos="0"/>
        </w:tabs>
        <w:spacing w:lineRule="auto" w:line="360"/>
        <w:ind w:hanging="0" w:left="0"/>
        <w:rPr>
          <w:sz w:val="22"/>
          <w:szCs w:val="22"/>
        </w:rPr>
      </w:pPr>
      <w:r>
        <w:rPr>
          <w:sz w:val="22"/>
          <w:szCs w:val="22"/>
        </w:rPr>
      </w:r>
    </w:p>
    <w:p>
      <w:pPr>
        <w:pStyle w:val="Nivel01"/>
        <w:numPr>
          <w:ilvl w:val="0"/>
          <w:numId w:val="6"/>
        </w:numPr>
        <w:spacing w:lineRule="auto" w:line="360"/>
        <w:ind w:hanging="0" w:left="0"/>
        <w:rPr>
          <w:sz w:val="22"/>
          <w:szCs w:val="22"/>
        </w:rPr>
      </w:pPr>
      <w:r>
        <w:rPr>
          <w:sz w:val="22"/>
          <w:szCs w:val="22"/>
        </w:rPr>
        <w:t>CANCELAMENTO DO REGISTRO DO LICITANTE VENCEDOR E DOS PREÇOS REGISTRADOS</w:t>
      </w:r>
      <w:bookmarkStart w:id="48" w:name="cancelamento"/>
      <w:bookmarkEnd w:id="48"/>
    </w:p>
    <w:p>
      <w:pPr>
        <w:pStyle w:val="Nivel2"/>
        <w:numPr>
          <w:ilvl w:val="1"/>
          <w:numId w:val="6"/>
        </w:numPr>
        <w:spacing w:lineRule="auto" w:line="360"/>
        <w:ind w:hanging="0" w:left="0"/>
        <w:rPr>
          <w:sz w:val="22"/>
          <w:szCs w:val="22"/>
        </w:rPr>
      </w:pPr>
      <w:r>
        <w:rPr>
          <w:sz w:val="22"/>
          <w:szCs w:val="22"/>
        </w:rPr>
        <w:t>O registro do fornecedor será cancelado pelo gerenciador, quando o fornecedor:</w:t>
      </w:r>
      <w:bookmarkStart w:id="49" w:name="cancelamento_do_fornecedor"/>
      <w:bookmarkEnd w:id="49"/>
    </w:p>
    <w:p>
      <w:pPr>
        <w:pStyle w:val="Nvel3"/>
        <w:numPr>
          <w:ilvl w:val="2"/>
          <w:numId w:val="6"/>
        </w:numPr>
        <w:spacing w:lineRule="auto" w:line="360"/>
        <w:ind w:hanging="0" w:left="567"/>
        <w:rPr>
          <w:sz w:val="22"/>
          <w:szCs w:val="22"/>
        </w:rPr>
      </w:pPr>
      <w:r>
        <w:rPr>
          <w:sz w:val="22"/>
          <w:szCs w:val="22"/>
        </w:rPr>
        <w:t>Descumprir as condições da ata de registro de preços, sem motivo justificado;</w:t>
      </w:r>
    </w:p>
    <w:p>
      <w:pPr>
        <w:pStyle w:val="Nvel3"/>
        <w:numPr>
          <w:ilvl w:val="2"/>
          <w:numId w:val="6"/>
        </w:numPr>
        <w:spacing w:lineRule="auto" w:line="360"/>
        <w:ind w:hanging="0" w:left="567"/>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6"/>
        </w:numPr>
        <w:spacing w:lineRule="auto" w:line="360"/>
        <w:ind w:hanging="0" w:left="567"/>
        <w:rPr>
          <w:sz w:val="22"/>
          <w:szCs w:val="22"/>
        </w:rPr>
      </w:pPr>
      <w:r>
        <w:rPr>
          <w:sz w:val="22"/>
          <w:szCs w:val="22"/>
        </w:rPr>
        <w:t>Sofrer sanção prevista nos incisos III ou IV do caput do art. 156 da Lei nº 14.133, de 2021.</w:t>
      </w:r>
    </w:p>
    <w:p>
      <w:pPr>
        <w:pStyle w:val="Nvel3"/>
        <w:numPr>
          <w:ilvl w:val="2"/>
          <w:numId w:val="6"/>
        </w:numPr>
        <w:spacing w:lineRule="auto" w:line="360"/>
        <w:ind w:hanging="0" w:left="567"/>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6"/>
        </w:numPr>
        <w:spacing w:lineRule="auto" w:line="360"/>
        <w:ind w:hanging="0" w:left="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6"/>
        </w:numPr>
        <w:spacing w:lineRule="auto" w:line="360"/>
        <w:ind w:hanging="0" w:left="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6"/>
        </w:numPr>
        <w:spacing w:lineRule="auto" w:line="360"/>
        <w:ind w:hanging="0" w:left="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0" w:name="cancelamento_da_ata"/>
      <w:bookmarkEnd w:id="50"/>
      <w:r>
        <w:rPr>
          <w:sz w:val="22"/>
          <w:szCs w:val="22"/>
        </w:rPr>
        <w:t xml:space="preserve"> </w:t>
      </w:r>
    </w:p>
    <w:p>
      <w:pPr>
        <w:pStyle w:val="Nvel3"/>
        <w:numPr>
          <w:ilvl w:val="2"/>
          <w:numId w:val="6"/>
        </w:numPr>
        <w:spacing w:lineRule="auto" w:line="360"/>
        <w:ind w:hanging="0" w:left="567"/>
        <w:rPr>
          <w:sz w:val="22"/>
          <w:szCs w:val="22"/>
        </w:rPr>
      </w:pPr>
      <w:r>
        <w:rPr>
          <w:sz w:val="22"/>
          <w:szCs w:val="22"/>
        </w:rPr>
        <w:t>Por razão de interesse público;</w:t>
      </w:r>
    </w:p>
    <w:p>
      <w:pPr>
        <w:pStyle w:val="Nvel3"/>
        <w:numPr>
          <w:ilvl w:val="2"/>
          <w:numId w:val="6"/>
        </w:numPr>
        <w:spacing w:lineRule="auto" w:line="360"/>
        <w:ind w:hanging="0" w:left="567"/>
        <w:rPr>
          <w:sz w:val="22"/>
          <w:szCs w:val="22"/>
        </w:rPr>
      </w:pPr>
      <w:r>
        <w:rPr>
          <w:sz w:val="22"/>
          <w:szCs w:val="22"/>
        </w:rPr>
        <w:t>A pedido do fornecedor, decorrente de caso fortuito ou força maior; ou</w:t>
      </w:r>
    </w:p>
    <w:p>
      <w:pPr>
        <w:pStyle w:val="Nvel3"/>
        <w:numPr>
          <w:ilvl w:val="2"/>
          <w:numId w:val="6"/>
        </w:numPr>
        <w:spacing w:lineRule="auto" w:line="360"/>
        <w:ind w:hanging="0" w:left="567"/>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vel3"/>
        <w:tabs>
          <w:tab w:val="clear" w:pos="0"/>
        </w:tabs>
        <w:spacing w:lineRule="auto" w:line="360"/>
        <w:rPr>
          <w:sz w:val="22"/>
          <w:szCs w:val="22"/>
        </w:rPr>
      </w:pPr>
      <w:r>
        <w:rPr>
          <w:sz w:val="22"/>
          <w:szCs w:val="22"/>
        </w:rPr>
      </w:r>
    </w:p>
    <w:p>
      <w:pPr>
        <w:pStyle w:val="Nivel01"/>
        <w:numPr>
          <w:ilvl w:val="0"/>
          <w:numId w:val="6"/>
        </w:numPr>
        <w:spacing w:lineRule="auto" w:line="360"/>
        <w:rPr>
          <w:sz w:val="22"/>
          <w:szCs w:val="22"/>
        </w:rPr>
      </w:pPr>
      <w:r>
        <w:rPr>
          <w:sz w:val="22"/>
          <w:szCs w:val="22"/>
        </w:rPr>
        <w:t>DAS PENALIDADES</w:t>
      </w:r>
    </w:p>
    <w:p>
      <w:pPr>
        <w:pStyle w:val="Nivel2"/>
        <w:numPr>
          <w:ilvl w:val="1"/>
          <w:numId w:val="6"/>
        </w:numPr>
        <w:spacing w:lineRule="auto" w:line="360"/>
        <w:ind w:hanging="0" w:left="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6"/>
        </w:numPr>
        <w:spacing w:lineRule="auto" w:line="360"/>
        <w:ind w:hanging="0" w:left="567"/>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6"/>
        </w:numPr>
        <w:spacing w:lineRule="auto" w:line="360"/>
        <w:ind w:hanging="0" w:left="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6"/>
        </w:numPr>
        <w:spacing w:lineRule="auto" w:line="360"/>
        <w:ind w:hanging="0" w:left="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tabs>
          <w:tab w:val="clear" w:pos="0"/>
        </w:tabs>
        <w:spacing w:lineRule="auto" w:line="360"/>
        <w:ind w:hanging="0" w:left="0"/>
        <w:rPr>
          <w:sz w:val="22"/>
          <w:szCs w:val="22"/>
        </w:rPr>
      </w:pPr>
      <w:r>
        <w:rPr>
          <w:sz w:val="22"/>
          <w:szCs w:val="22"/>
        </w:rPr>
      </w:r>
    </w:p>
    <w:p>
      <w:pPr>
        <w:pStyle w:val="Nivel01"/>
        <w:numPr>
          <w:ilvl w:val="0"/>
          <w:numId w:val="6"/>
        </w:numPr>
        <w:spacing w:lineRule="auto" w:line="360"/>
        <w:rPr>
          <w:sz w:val="22"/>
          <w:szCs w:val="22"/>
        </w:rPr>
      </w:pPr>
      <w:r>
        <w:rPr>
          <w:sz w:val="22"/>
          <w:szCs w:val="22"/>
        </w:rPr>
        <w:t>CONDIÇÕES GERAIS</w:t>
      </w:r>
    </w:p>
    <w:p>
      <w:pPr>
        <w:pStyle w:val="Nivel2"/>
        <w:numPr>
          <w:ilvl w:val="1"/>
          <w:numId w:val="6"/>
        </w:numPr>
        <w:spacing w:lineRule="auto" w:line="360"/>
        <w:ind w:hanging="0" w:left="0"/>
        <w:rPr>
          <w:b/>
          <w:bCs/>
          <w:sz w:val="22"/>
          <w:szCs w:val="22"/>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6"/>
        </w:numPr>
        <w:spacing w:lineRule="auto" w:line="360"/>
        <w:ind w:hanging="0" w:left="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cs="Calibri"/>
          <w:b/>
        </w:rPr>
      </w:pPr>
      <w:r>
        <w:rPr>
          <w:rFonts w:cs="Calibri"/>
          <w:b/>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cs="Calibri"/>
          <w:b/>
          <w:bCs/>
        </w:rPr>
      </w:pPr>
      <w:r>
        <w:rPr>
          <w:rFonts w:cs="Calibri"/>
          <w:b/>
          <w:bCs/>
        </w:rPr>
        <w:t>XXXXX</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0" w:noVBand="0" w:lastRow="0" w:firstColumn="0" w:lastColumn="0" w:noHBand="0" w:val="0000"/>
      </w:tblPr>
      <w:tblGrid>
        <w:gridCol w:w="687"/>
        <w:gridCol w:w="1535"/>
        <w:gridCol w:w="792"/>
        <w:gridCol w:w="1409"/>
        <w:gridCol w:w="1038"/>
        <w:gridCol w:w="1497"/>
        <w:gridCol w:w="1998"/>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bookmarkStart w:id="51" w:name="_Hlk159838635"/>
            <w:bookmarkEnd w:id="51"/>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0" w:noVBand="0" w:lastRow="0" w:firstColumn="0" w:lastColumn="0" w:noHBand="0" w:val="0000"/>
      </w:tblPr>
      <w:tblGrid>
        <w:gridCol w:w="687"/>
        <w:gridCol w:w="1535"/>
        <w:gridCol w:w="792"/>
        <w:gridCol w:w="1409"/>
        <w:gridCol w:w="1038"/>
        <w:gridCol w:w="1497"/>
        <w:gridCol w:w="1998"/>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mc:AlternateContent>
          <mc:Choice Requires="wps">
            <w:drawing>
              <wp:anchor behindDoc="0" distT="0" distB="0" distL="635" distR="0" simplePos="0" locked="0" layoutInCell="1" allowOverlap="1" relativeHeight="118" wp14:anchorId="535C36D9">
                <wp:simplePos x="0" y="0"/>
                <wp:positionH relativeFrom="column">
                  <wp:posOffset>635</wp:posOffset>
                </wp:positionH>
                <wp:positionV relativeFrom="paragraph">
                  <wp:posOffset>635</wp:posOffset>
                </wp:positionV>
                <wp:extent cx="635000" cy="635000"/>
                <wp:effectExtent l="635" t="0" r="0" b="0"/>
                <wp:wrapNone/>
                <wp:docPr id="2" name="_x0000_tole_rId15"/>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15" path="m0,0l-2147483645,0l-2147483645,-2147483646l0,-2147483646xe" stroked="f" o:allowincell="f" style="position:absolute;margin-left:0.05pt;margin-top:0.05pt;width:49.95pt;height:49.95pt;mso-wrap-style:none;v-text-anchor:middle" wp14:anchorId="535C36D9">
                <v:fill o:detectmouseclick="t" on="false"/>
                <v:stroke color="#3465a4" joinstyle="round" endcap="flat"/>
                <w10:wrap type="none"/>
              </v:rect>
            </w:pict>
          </mc:Fallback>
        </mc:AlternateContent>
        <w:drawing>
          <wp:anchor behindDoc="0" distT="0" distB="0" distL="114935" distR="114935" simplePos="0" locked="0" layoutInCell="0" allowOverlap="1" relativeHeight="119">
            <wp:simplePos x="0" y="0"/>
            <wp:positionH relativeFrom="column">
              <wp:posOffset>64770</wp:posOffset>
            </wp:positionH>
            <wp:positionV relativeFrom="paragraph">
              <wp:posOffset>438785</wp:posOffset>
            </wp:positionV>
            <wp:extent cx="5785485" cy="7162165"/>
            <wp:effectExtent l="0" t="0" r="0" b="0"/>
            <wp:wrapSquare wrapText="bothSides"/>
            <wp:docPr id="3" name="ole_rId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16" descr=""/>
                    <pic:cNvPicPr>
                      <a:picLocks noChangeAspect="1" noChangeArrowheads="1"/>
                    </pic:cNvPicPr>
                  </pic:nvPicPr>
                  <pic:blipFill>
                    <a:blip r:embed="rId17"/>
                    <a:stretch>
                      <a:fillRect/>
                    </a:stretch>
                  </pic:blipFill>
                  <pic:spPr bwMode="auto">
                    <a:xfrm>
                      <a:off x="0" y="0"/>
                      <a:ext cx="5785485" cy="7162165"/>
                    </a:xfrm>
                    <a:prstGeom prst="rect">
                      <a:avLst/>
                    </a:prstGeom>
                    <a:noFill/>
                  </pic:spPr>
                </pic:pic>
              </a:graphicData>
            </a:graphic>
          </wp:anchor>
        </w:drawing>
      </w:r>
      <w:r>
        <w:rPr>
          <w:rFonts w:cs="Arial" w:ascii="Arial" w:hAnsi="Arial"/>
          <w:b/>
          <w:bCs/>
          <w:sz w:val="22"/>
          <w:szCs w:val="22"/>
        </w:rPr>
        <w:t>ANEXO VII – MINUTA DE ORDEM DE SERVIÇO</w:t>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27</w:t>
      </w:r>
      <w:r>
        <w:rPr>
          <w:rFonts w:cs="Arial" w:ascii="Arial" w:hAnsi="Arial"/>
          <w:bCs/>
          <w:sz w:val="22"/>
          <w:szCs w:val="22"/>
        </w:rPr>
        <w:t xml:space="preserve">/2025. Objeto: </w:t>
      </w:r>
      <w:r>
        <w:rPr>
          <w:rFonts w:cs="Arial" w:ascii="Arial" w:hAnsi="Arial"/>
          <w:sz w:val="22"/>
          <w:szCs w:val="22"/>
        </w:rPr>
        <w:t>O Registro de Preços pelo prazo de 12 (doze) meses para eventual execução de serviço de alambrado e gradil eletro-fundido, com fornecimento de material e mão e obra.</w:t>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ind w:right="-57"/>
        <w:jc w:val="both"/>
        <w:rPr>
          <w:rFonts w:ascii="Arial" w:hAnsi="Arial" w:cs="Arial"/>
          <w:sz w:val="22"/>
          <w:szCs w:val="22"/>
        </w:rPr>
      </w:pPr>
      <w:bookmarkStart w:id="52" w:name="_Hlk196301785"/>
      <w:r>
        <w:rPr>
          <w:rFonts w:cs="Arial" w:ascii="Arial" w:hAnsi="Arial"/>
          <w:b/>
          <w:bCs/>
          <w:sz w:val="22"/>
          <w:szCs w:val="22"/>
        </w:rPr>
        <w:t>Pregão Eletrônico Nº 27/2025,</w:t>
      </w:r>
      <w:r>
        <w:rPr>
          <w:rFonts w:cs="Arial" w:ascii="Arial" w:hAnsi="Arial"/>
          <w:sz w:val="22"/>
          <w:szCs w:val="22"/>
        </w:rPr>
        <w:t xml:space="preserve"> </w:t>
      </w:r>
      <w:r>
        <w:rPr>
          <w:rFonts w:cs="Arial" w:ascii="Arial" w:hAnsi="Arial"/>
          <w:b/>
          <w:bCs/>
          <w:sz w:val="22"/>
          <w:szCs w:val="22"/>
        </w:rPr>
        <w:t>Edital Nº 35/2025</w:t>
      </w:r>
      <w:r>
        <w:rPr>
          <w:rFonts w:cs="Arial" w:ascii="Arial" w:hAnsi="Arial"/>
          <w:sz w:val="22"/>
          <w:szCs w:val="22"/>
        </w:rPr>
        <w:t>, Tipo Menor Preço por Item. Objeto: O Registro de Preços pelo prazo de 12 (doze) meses para eventual execução de serviço de alambrado e gradil eletro-fundido, com fornecimento de material e mão e obra. Os cadastros das Propostas serão recebidos até o dia</w:t>
      </w:r>
      <w:r>
        <w:rPr>
          <w:rFonts w:cs="Arial" w:ascii="Arial" w:hAnsi="Arial"/>
          <w:b/>
          <w:sz w:val="22"/>
          <w:szCs w:val="22"/>
        </w:rPr>
        <w:t xml:space="preserve"> </w:t>
      </w:r>
      <w:r>
        <w:rPr>
          <w:rFonts w:cs="Arial" w:ascii="Arial" w:hAnsi="Arial"/>
          <w:b/>
          <w:sz w:val="22"/>
          <w:szCs w:val="22"/>
          <w:u w:val="single"/>
        </w:rPr>
        <w:t>13 de junho de 2025,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18">
        <w:r>
          <w:rPr>
            <w:rStyle w:val="Hyperlink"/>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19">
        <w:r>
          <w:rPr>
            <w:rStyle w:val="Hyperlink"/>
            <w:rFonts w:cs="Arial" w:ascii="Arial" w:hAnsi="Arial"/>
            <w:color w:val="000000"/>
            <w:sz w:val="22"/>
            <w:szCs w:val="22"/>
          </w:rPr>
          <w:t>www.itatiba.sp.gov.br</w:t>
        </w:r>
      </w:hyperlink>
      <w:r>
        <w:rPr>
          <w:rFonts w:cs="Arial" w:ascii="Arial" w:hAnsi="Arial"/>
          <w:sz w:val="22"/>
          <w:szCs w:val="22"/>
        </w:rPr>
        <w:t xml:space="preserve"> e </w:t>
      </w:r>
      <w:hyperlink r:id="rId20">
        <w:r>
          <w:rPr>
            <w:rStyle w:val="Hyperlink"/>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Maria Ângela Camargo Correa de Lima - Pregoeira. </w:t>
      </w:r>
      <w:bookmarkEnd w:id="52"/>
    </w:p>
    <w:sectPr>
      <w:headerReference w:type="even" r:id="rId21"/>
      <w:headerReference w:type="default" r:id="rId22"/>
      <w:headerReference w:type="first" r:id="rId23"/>
      <w:footerReference w:type="even" r:id="rId24"/>
      <w:footerReference w:type="default" r:id="rId25"/>
      <w:footerReference w:type="first" r:id="rId26"/>
      <w:type w:val="nextPage"/>
      <w:pgSz w:w="11906" w:h="16838"/>
      <w:pgMar w:left="1701" w:right="1701" w:gutter="0" w:header="567" w:top="1701" w:footer="1332"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ymbol">
    <w:charset w:val="00"/>
    <w:family w:val="roman"/>
    <w:pitch w:val="variable"/>
  </w:font>
  <w:font w:name="Wingdings">
    <w:charset w:val="00"/>
    <w:family w:val="auto"/>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5</w:t>
    </w:r>
    <w:r>
      <w:rPr/>
      <w:fldChar w:fldCharType="end"/>
    </w:r>
    <w:bookmarkStart w:id="57" w:name="_Hlk158990892"/>
    <w:r>
      <w:rPr/>
      <w:drawing>
        <wp:inline distT="0" distB="0" distL="0" distR="0">
          <wp:extent cx="6027420" cy="856615"/>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7"/>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5</w:t>
    </w:r>
    <w:r>
      <w:rPr/>
      <w:fldChar w:fldCharType="end"/>
    </w:r>
    <w:bookmarkStart w:id="58" w:name="_Hlk158990892"/>
    <w:r>
      <w:rPr/>
      <w:drawing>
        <wp:inline distT="0" distB="0" distL="0" distR="0">
          <wp:extent cx="6027420" cy="856615"/>
          <wp:effectExtent l="0" t="0" r="0" b="0"/>
          <wp:docPr id="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8"/>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3" w:name="_Hlk158990871"/>
    <w:bookmarkStart w:id="54" w:name="_Hlk158990872"/>
    <w:r>
      <w:rPr/>
      <w:drawing>
        <wp:inline distT="0" distB="0" distL="0" distR="0">
          <wp:extent cx="5401310" cy="5429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3"/>
    <w:bookmarkEnd w:id="54"/>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5" w:name="_Hlk158990871"/>
    <w:bookmarkStart w:id="56" w:name="_Hlk158990872"/>
    <w:r>
      <w:rPr/>
      <w:drawing>
        <wp:inline distT="0" distB="0" distL="0" distR="0">
          <wp:extent cx="5401310" cy="542925"/>
          <wp:effectExtent l="0" t="0" r="0" b="0"/>
          <wp:docPr id="5"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5"/>
    <w:bookmarkEnd w:id="56"/>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2">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2"/>
        <w:i w:val="false"/>
        <w:u w:val="none"/>
        <w:b w:val="false"/>
        <w:szCs w:val="22"/>
        <w:rFonts w:ascii="Arial" w:hAnsi="Arial" w:cs="Arial"/>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2"/>
        <w:i w:val="false"/>
        <w:u w:val="none"/>
        <w:b w:val="false"/>
        <w:szCs w:val="22"/>
        <w:rFonts w:ascii="Arial" w:hAnsi="Arial" w:cs="Arial"/>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3"/>
    <w:lvlOverride w:ilvl="0">
      <w:startOverride w:val="1"/>
    </w:lvlOverride>
  </w:num>
</w:numbering>
</file>

<file path=word/settings.xml><?xml version="1.0" encoding="utf-8"?>
<w:settings xmlns:w="http://schemas.openxmlformats.org/wordprocessingml/2006/main">
  <w:zoom w:percent="11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Heading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rFonts w:ascii="Symbol" w:hAnsi="Symbol" w:cs="Symbol"/>
    </w:rPr>
  </w:style>
  <w:style w:type="character" w:styleId="WW8Num4z0" w:customStyle="1">
    <w:name w:val="WW8Num4z0"/>
    <w:qFormat/>
    <w:rPr>
      <w:b/>
      <w:i w:val="false"/>
    </w:rPr>
  </w:style>
  <w:style w:type="character" w:styleId="WW8Num4z2" w:customStyle="1">
    <w:name w:val="WW8Num4z2"/>
    <w:qFormat/>
    <w:rPr>
      <w:b w:val="false"/>
      <w:i w:val="false"/>
    </w:rPr>
  </w:style>
  <w:style w:type="character" w:styleId="WW8Num5z0" w:customStyle="1">
    <w:name w:val="WW8Num5z0"/>
    <w:qFormat/>
    <w:rPr/>
  </w:style>
  <w:style w:type="character" w:styleId="WW8Num7z0" w:customStyle="1">
    <w:name w:val="WW8Num7z0"/>
    <w:qFormat/>
    <w:rPr/>
  </w:style>
  <w:style w:type="character" w:styleId="WW8Num8z0" w:customStyle="1">
    <w:name w:val="WW8Num8z0"/>
    <w:qFormat/>
    <w:rPr>
      <w:b/>
    </w:rPr>
  </w:style>
  <w:style w:type="character" w:styleId="WW8Num8z1" w:customStyle="1">
    <w:name w:val="WW8Num8z1"/>
    <w:qFormat/>
    <w:rPr>
      <w:b w:val="false"/>
      <w:i w:val="false"/>
      <w:strike w:val="false"/>
      <w:dstrike w:val="false"/>
      <w:color w:val="000000"/>
      <w:sz w:val="20"/>
      <w:szCs w:val="20"/>
      <w:u w:val="none"/>
    </w:rPr>
  </w:style>
  <w:style w:type="character" w:styleId="WW8Num8z2" w:customStyle="1">
    <w:name w:val="WW8Num8z2"/>
    <w:qFormat/>
    <w:rPr>
      <w:rFonts w:ascii="Arial" w:hAnsi="Arial" w:cs="Arial"/>
      <w:b w:val="false"/>
      <w:i w:val="false"/>
      <w:strike w:val="false"/>
      <w:dstrike w:val="false"/>
      <w:color w:val="000000"/>
      <w:sz w:val="20"/>
      <w:szCs w:val="20"/>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3z0" w:customStyle="1">
    <w:name w:val="WW8Num13z0"/>
    <w:qFormat/>
    <w:rPr>
      <w:b/>
    </w:rPr>
  </w:style>
  <w:style w:type="character" w:styleId="WW8Num13z1" w:customStyle="1">
    <w:name w:val="WW8Num13z1"/>
    <w:qFormat/>
    <w:rPr>
      <w:b w:val="false"/>
      <w:i w:val="false"/>
      <w:strike w:val="false"/>
      <w:dstrike w:val="false"/>
      <w:color w:val="000000"/>
      <w:sz w:val="20"/>
      <w:szCs w:val="20"/>
      <w:u w:val="none"/>
    </w:rPr>
  </w:style>
  <w:style w:type="character" w:styleId="WW8Num13z2" w:customStyle="1">
    <w:name w:val="WW8Num13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12z0" w:customStyle="1">
    <w:name w:val="WW8Num12z0"/>
    <w:qFormat/>
    <w:rPr/>
  </w:style>
  <w:style w:type="character" w:styleId="WW8Num15z0" w:customStyle="1">
    <w:name w:val="WW8Num15z0"/>
    <w:qFormat/>
    <w:rPr>
      <w:b/>
    </w:rPr>
  </w:style>
  <w:style w:type="character" w:styleId="WW8Num15z1" w:customStyle="1">
    <w:name w:val="WW8Num15z1"/>
    <w:qFormat/>
    <w:rPr>
      <w:b w:val="false"/>
      <w:i w:val="false"/>
      <w:strike w:val="false"/>
      <w:dstrike w:val="false"/>
      <w:color w:val="000000"/>
      <w:sz w:val="20"/>
      <w:szCs w:val="20"/>
      <w:u w:val="none"/>
    </w:rPr>
  </w:style>
  <w:style w:type="character" w:styleId="WW8Num15z2" w:customStyle="1">
    <w:name w:val="WW8Num15z2"/>
    <w:qFormat/>
    <w:rPr>
      <w:rFonts w:ascii="Arial" w:hAnsi="Arial" w:cs="Arial"/>
      <w:b w:val="false"/>
      <w:i w:val="false"/>
      <w:strike w:val="false"/>
      <w:dstrike w:val="false"/>
      <w:color w:val="000000"/>
      <w:sz w:val="20"/>
      <w:szCs w:val="20"/>
    </w:rPr>
  </w:style>
  <w:style w:type="character" w:styleId="WW8Num16z0" w:customStyle="1">
    <w:name w:val="WW8Num16z0"/>
    <w:qFormat/>
    <w:rPr/>
  </w:style>
  <w:style w:type="character" w:styleId="WW8Num17z0" w:customStyle="1">
    <w:name w:val="WW8Num17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rFonts w:ascii="Times New Roman" w:hAnsi="Times New Roman" w:cs="Arial"/>
      <w:b/>
      <w:sz w:val="22"/>
      <w:szCs w:val="23"/>
    </w:rPr>
  </w:style>
  <w:style w:type="character" w:styleId="WW8Num23z1" w:customStyle="1">
    <w:name w:val="WW8Num23z1"/>
    <w:qFormat/>
    <w:rPr>
      <w:b w:val="false"/>
      <w:i w:val="false"/>
      <w:strike w:val="false"/>
      <w:dstrike w:val="false"/>
      <w:color w:val="000000"/>
      <w:sz w:val="20"/>
      <w:szCs w:val="20"/>
      <w:u w:val="none"/>
    </w:rPr>
  </w:style>
  <w:style w:type="character" w:styleId="WW8Num23z2" w:customStyle="1">
    <w:name w:val="WW8Num23z2"/>
    <w:qFormat/>
    <w:rPr>
      <w:rFonts w:ascii="Arial" w:hAnsi="Arial" w:cs="Arial"/>
      <w:b w:val="false"/>
      <w:i w:val="false"/>
      <w:strike w:val="false"/>
      <w:dstrike w:val="false"/>
      <w:color w:val="000000"/>
      <w:sz w:val="20"/>
      <w:szCs w:val="20"/>
    </w:rPr>
  </w:style>
  <w:style w:type="character" w:styleId="WW8Num24z0" w:customStyle="1">
    <w:name w:val="WW8Num24z0"/>
    <w:qFormat/>
    <w:rPr/>
  </w:style>
  <w:style w:type="character" w:styleId="WW8Num25z1" w:customStyle="1">
    <w:name w:val="WW8Num25z1"/>
    <w:qFormat/>
    <w:rPr>
      <w:b w:val="false"/>
      <w:i w:val="false"/>
    </w:rPr>
  </w:style>
  <w:style w:type="character" w:styleId="WW8Num25z2" w:customStyle="1">
    <w:name w:val="WW8Num25z2"/>
    <w:qFormat/>
    <w:rPr>
      <w:b w:val="false"/>
    </w:rPr>
  </w:style>
  <w:style w:type="character" w:styleId="WW8Num26z0" w:customStyle="1">
    <w:name w:val="WW8Num2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4z0" w:customStyle="1">
    <w:name w:val="WW8Num14z0"/>
    <w:qFormat/>
    <w:rPr>
      <w:rFonts w:ascii="Symbol" w:hAnsi="Symbol" w:cs="Symbo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Wingdings" w:hAnsi="Wingdings" w:cs="Wingdings"/>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Nvel3Char" w:customStyle="1">
    <w:name w:val="Nível 3 Char"/>
    <w:qFormat/>
    <w:rPr>
      <w:rFonts w:ascii="Arial" w:hAnsi="Arial" w:cs="Arial"/>
    </w:rPr>
  </w:style>
  <w:style w:type="character" w:styleId="Nvel4Char" w:customStyle="1">
    <w:name w:val="Nível 4 Char"/>
    <w:qFormat/>
    <w:rPr>
      <w:rFonts w:ascii="Arial" w:hAnsi="Arial" w:cs="Arial"/>
    </w:rPr>
  </w:style>
  <w:style w:type="character" w:styleId="SubTitNNChar" w:customStyle="1">
    <w:name w:val="SubTitNN Char"/>
    <w:qFormat/>
    <w:rPr>
      <w:rFonts w:ascii="Arial" w:hAnsi="Arial" w:cs="Arial"/>
      <w:b/>
      <w:bCs/>
      <w:iC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34"/>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 w:customStyle="1">
    <w:name w:val="Body Text Indent"/>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3"/>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hanging="0" w:left="0"/>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mailto:licitacoes@licitacoes.itatiba.sp.gov.br" TargetMode="External"/><Relationship Id="rId13" Type="http://schemas.openxmlformats.org/officeDocument/2006/relationships/hyperlink" Target="http://www.planalto.gov.br/ccivil_03/_ato2019-2022/2021/lei/L14133.htm" TargetMode="External"/><Relationship Id="rId14" Type="http://schemas.openxmlformats.org/officeDocument/2006/relationships/hyperlink" Target="https://www.gov.br/compras/pt-br/acesso-a-informacao/legislacao/instrucoes-normativas/instrucao-normativa-seges-me-no-73-de-30-de-setembro-de-2022" TargetMode="External"/><Relationship Id="rId15" Type="http://schemas.openxmlformats.org/officeDocument/2006/relationships/hyperlink" Target="http://www.planalto.gov.br/ccivil_03/_ato2019-2022/2021/lei/L14133.htm" TargetMode="External"/><Relationship Id="rId16" Type="http://schemas.openxmlformats.org/officeDocument/2006/relationships/image" Target="media/image1.png"/><Relationship Id="rId17" Type="http://schemas.openxmlformats.org/officeDocument/2006/relationships/image" Target="media/image2.wmf"/><Relationship Id="rId18" Type="http://schemas.openxmlformats.org/officeDocument/2006/relationships/hyperlink" Target="http://www.bbmnetlicitacoes.com.br/" TargetMode="External"/><Relationship Id="rId19" Type="http://schemas.openxmlformats.org/officeDocument/2006/relationships/hyperlink" Target="http://www.itatiba.sp.gov.br/" TargetMode="External"/><Relationship Id="rId20" Type="http://schemas.openxmlformats.org/officeDocument/2006/relationships/hyperlink" Target="http://www.bbmnetlicitacoes.com.br/"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4.png"/>
</Relationships>
</file>

<file path=word/_rels/footer3.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TotalTime>
  <Application>LibreOffice/24.8.0.3$Windows_X86_64 LibreOffice_project/0bdf1299c94fe897b119f97f3c613e9dca6be583</Application>
  <AppVersion>15.0000</AppVersion>
  <Pages>58</Pages>
  <Words>14841</Words>
  <Characters>83025</Characters>
  <CharactersWithSpaces>97350</CharactersWithSpaces>
  <Paragraphs>646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2025-05-12T12:16:00Z</dcterms:created>
  <dc:creator>eportella</dc:creator>
  <dc:description/>
  <dc:language>pt-BR</dc:language>
  <cp:lastModifiedBy/>
  <cp:lastPrinted>2025-05-22T15:00:00Z</cp:lastPrinted>
  <dcterms:modified xsi:type="dcterms:W3CDTF">2025-05-29T09:12:13Z</dcterms:modified>
  <cp:revision>6</cp:revision>
  <dc:subject/>
  <dc:title> </dc:title>
</cp:coreProperties>
</file>

<file path=docProps/custom.xml><?xml version="1.0" encoding="utf-8"?>
<Properties xmlns="http://schemas.openxmlformats.org/officeDocument/2006/custom-properties" xmlns:vt="http://schemas.openxmlformats.org/officeDocument/2006/docPropsVTypes"/>
</file>