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SECRETARIA DE SAÚDE</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highlight w:val="none"/>
          <w:shd w:fill="auto" w:val="clear"/>
        </w:rPr>
      </w:pPr>
      <w:r>
        <w:rPr>
          <w:rFonts w:cs="Arial" w:ascii="Arial" w:hAnsi="Arial"/>
          <w:b/>
          <w:color w:val="000000"/>
          <w:sz w:val="22"/>
          <w:szCs w:val="22"/>
          <w:shd w:fill="auto" w:val="clear"/>
        </w:rPr>
        <w:t xml:space="preserve">CHAMAMENTO PÚBLICO Nº </w:t>
      </w:r>
      <w:r>
        <w:rPr>
          <w:rFonts w:cs="Arial" w:ascii="Arial" w:hAnsi="Arial"/>
          <w:b/>
          <w:color w:val="000000"/>
          <w:sz w:val="22"/>
          <w:szCs w:val="22"/>
          <w:shd w:fill="auto" w:val="clear"/>
        </w:rPr>
        <w:t>03</w:t>
      </w:r>
      <w:r>
        <w:rPr>
          <w:rFonts w:cs="Arial" w:ascii="Arial" w:hAnsi="Arial"/>
          <w:b/>
          <w:color w:val="000000"/>
          <w:sz w:val="22"/>
          <w:szCs w:val="22"/>
          <w:shd w:fill="auto" w:val="clear"/>
        </w:rPr>
        <w:t>/2026</w:t>
      </w:r>
    </w:p>
    <w:p>
      <w:pPr>
        <w:pStyle w:val="Normal"/>
        <w:spacing w:lineRule="auto" w:line="360"/>
        <w:jc w:val="both"/>
        <w:rPr>
          <w:highlight w:val="none"/>
          <w:shd w:fill="auto" w:val="clear"/>
        </w:rPr>
      </w:pPr>
      <w:r>
        <w:rPr>
          <w:rFonts w:cs="Arial" w:ascii="Arial" w:hAnsi="Arial"/>
          <w:b/>
          <w:color w:val="000000"/>
          <w:sz w:val="22"/>
          <w:szCs w:val="22"/>
          <w:shd w:fill="auto" w:val="clear"/>
        </w:rPr>
        <w:t xml:space="preserve">EDITAL Nº </w:t>
      </w:r>
      <w:r>
        <w:rPr>
          <w:rFonts w:cs="Arial" w:ascii="Arial" w:hAnsi="Arial"/>
          <w:b/>
          <w:color w:val="000000"/>
          <w:sz w:val="22"/>
          <w:szCs w:val="22"/>
          <w:shd w:fill="auto" w:val="clear"/>
        </w:rPr>
        <w:t>29</w:t>
      </w:r>
      <w:r>
        <w:rPr>
          <w:rFonts w:cs="Arial" w:ascii="Arial" w:hAnsi="Arial"/>
          <w:b/>
          <w:color w:val="000000"/>
          <w:sz w:val="22"/>
          <w:szCs w:val="22"/>
          <w:shd w:fill="auto" w:val="clear"/>
        </w:rPr>
        <w:t>/2026</w:t>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sz w:val="22"/>
          <w:szCs w:val="22"/>
        </w:rPr>
      </w:pPr>
      <w:r>
        <w:rPr>
          <w:rFonts w:cs="Arial" w:ascii="Arial" w:hAnsi="Arial"/>
          <w:b/>
          <w:color w:val="000000"/>
          <w:sz w:val="22"/>
          <w:szCs w:val="22"/>
        </w:rPr>
        <w:t>OBJETO: EDITAL DE CHAMAMENTO PÚBLICO PARA SELEÇÃO DE ORGANIZAÇÃO DA SOCIEDADE CIVIL SEM FINS LUCRATIVOS (OSC), PARA SERVIÇO DE ACOLHIMENTO DE PESSOAS, EM CARÁTER VOLUNTÁRTIO, COM PROBLEMAS RELACIONADOS AO USO NOCIVO OU DEPENDÊNCIA DE SUBSTÂNCIAS PSICOATIVA, CARACTERIZADAS COMO COMUNIDADES TERAPÊUTICAS.</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sz w:val="22"/>
          <w:szCs w:val="22"/>
        </w:rPr>
      </w:pPr>
      <w:r>
        <w:rPr>
          <w:rFonts w:cs="Arial" w:ascii="Arial" w:hAnsi="Arial"/>
          <w:sz w:val="22"/>
          <w:szCs w:val="22"/>
        </w:rPr>
        <w:t>A</w:t>
      </w:r>
      <w:r>
        <w:rPr>
          <w:rFonts w:cs="Arial" w:ascii="Arial" w:hAnsi="Arial"/>
          <w:b/>
          <w:sz w:val="22"/>
          <w:szCs w:val="22"/>
        </w:rPr>
        <w:t xml:space="preserve"> SECRETARIA DE SAÚDE DA PREFEITURA DO MUNICÍPIO DE ITATIBA</w:t>
      </w:r>
      <w:r>
        <w:rPr>
          <w:rFonts w:cs="Arial" w:ascii="Arial" w:hAnsi="Arial"/>
          <w:sz w:val="22"/>
          <w:szCs w:val="22"/>
        </w:rPr>
        <w:t xml:space="preserve">, Estado de São Paulo, com autorização do Chefe do Poder Executivo, torna público que realizará chamamento público para seleção de organização da sociedade civil sem fins lucrativos (OSC), para </w:t>
      </w:r>
      <w:bookmarkStart w:id="0" w:name="_Hlk223944255"/>
      <w:r>
        <w:rPr>
          <w:rFonts w:cs="Arial" w:ascii="Arial" w:hAnsi="Arial"/>
          <w:sz w:val="22"/>
          <w:szCs w:val="22"/>
        </w:rPr>
        <w:t xml:space="preserve">Estabelecer parceria entre a Prefeitura do Município de Itatiba através da Secretaria de Saúde, e OSC - Organização da Sociedade Civil, para oferta de até </w:t>
      </w:r>
      <w:r>
        <w:rPr>
          <w:rFonts w:cs="Arial" w:ascii="Arial" w:hAnsi="Arial"/>
          <w:b/>
          <w:bCs/>
          <w:sz w:val="22"/>
          <w:szCs w:val="22"/>
        </w:rPr>
        <w:t>10 (dez) vagas, para o serviço de acolhimento de pessoas, em caráter voluntário, com problemas associados ao uso nocivo ou dependência de substância psicoativa, caracterizadas como COMUNIDADES TERAPÊUTICAS</w:t>
      </w:r>
      <w:bookmarkEnd w:id="0"/>
      <w:r>
        <w:rPr>
          <w:rFonts w:cs="Arial" w:ascii="Arial" w:hAnsi="Arial"/>
          <w:sz w:val="22"/>
          <w:szCs w:val="22"/>
        </w:rPr>
        <w:t>. O procedimento de seleção reger-se-á pela Lei nº 13.019, de 31 de julho de 2014, e demais dispositivos aplicáveis à espécie, além das condições previstas neste Edital e em seus anexos.</w:t>
      </w:r>
    </w:p>
    <w:p>
      <w:pPr>
        <w:pStyle w:val="Standard"/>
        <w:widowControl/>
        <w:spacing w:lineRule="auto" w:line="360"/>
        <w:ind w:firstLine="709"/>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color w:val="000000"/>
          <w:sz w:val="22"/>
          <w:szCs w:val="22"/>
        </w:rPr>
        <w:t xml:space="preserve">RECEBIMENTO DOS ENVELOPES: ATÉ DIA </w:t>
      </w:r>
      <w:r>
        <w:rPr>
          <w:rFonts w:cs="Arial" w:ascii="Arial" w:hAnsi="Arial"/>
          <w:b/>
          <w:color w:val="000000"/>
          <w:sz w:val="22"/>
          <w:szCs w:val="22"/>
        </w:rPr>
        <w:t>29</w:t>
      </w:r>
      <w:r>
        <w:rPr>
          <w:rFonts w:cs="Arial" w:ascii="Arial" w:hAnsi="Arial"/>
          <w:b/>
          <w:color w:val="000000"/>
          <w:sz w:val="22"/>
          <w:szCs w:val="22"/>
        </w:rPr>
        <w:t xml:space="preserve"> DE </w:t>
      </w:r>
      <w:r>
        <w:rPr>
          <w:rFonts w:cs="Arial" w:ascii="Arial" w:hAnsi="Arial"/>
          <w:b/>
          <w:color w:val="000000"/>
          <w:sz w:val="22"/>
          <w:szCs w:val="22"/>
        </w:rPr>
        <w:t>MAIO</w:t>
      </w:r>
      <w:r>
        <w:rPr>
          <w:rFonts w:cs="Arial" w:ascii="Arial" w:hAnsi="Arial"/>
          <w:b/>
          <w:color w:val="000000"/>
          <w:sz w:val="22"/>
          <w:szCs w:val="22"/>
        </w:rPr>
        <w:t xml:space="preserve"> DE 2026, ÀS 10 HORAS.</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eastAsia="MS Mincho" w:cs="Arial"/>
          <w:b/>
          <w:bCs/>
          <w:caps/>
          <w:color w:val="000000"/>
          <w:sz w:val="22"/>
          <w:szCs w:val="22"/>
        </w:rPr>
      </w:pPr>
      <w:r>
        <w:rPr>
          <w:rFonts w:eastAsia="MS Mincho" w:cs="Arial" w:ascii="Arial" w:hAnsi="Arial"/>
          <w:b/>
          <w:bCs/>
          <w:cap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eastAsia="MS Mincho" w:cs="Arial" w:ascii="Arial" w:hAnsi="Arial"/>
          <w:b/>
          <w:bCs/>
          <w:caps/>
          <w:color w:val="000000"/>
          <w:sz w:val="22"/>
          <w:szCs w:val="22"/>
        </w:rPr>
        <w:t>Abertura dos Envelopes</w:t>
      </w:r>
      <w:r>
        <w:rPr>
          <w:rFonts w:eastAsia="MS Mincho" w:cs="Arial" w:ascii="Arial" w:hAnsi="Arial"/>
          <w:b/>
          <w:bCs/>
          <w:color w:val="000000"/>
          <w:sz w:val="22"/>
          <w:szCs w:val="22"/>
        </w:rPr>
        <w:t xml:space="preserve">: DIA </w:t>
      </w:r>
      <w:r>
        <w:rPr>
          <w:rFonts w:eastAsia="MS Mincho" w:cs="Arial" w:ascii="Arial" w:hAnsi="Arial"/>
          <w:b/>
          <w:bCs/>
          <w:color w:val="000000"/>
          <w:sz w:val="22"/>
          <w:szCs w:val="22"/>
        </w:rPr>
        <w:t>29</w:t>
      </w:r>
      <w:r>
        <w:rPr>
          <w:rFonts w:eastAsia="MS Mincho" w:cs="Arial" w:ascii="Arial" w:hAnsi="Arial"/>
          <w:b/>
          <w:bCs/>
          <w:color w:val="000000"/>
          <w:sz w:val="22"/>
          <w:szCs w:val="22"/>
        </w:rPr>
        <w:t xml:space="preserve"> DE </w:t>
      </w:r>
      <w:r>
        <w:rPr>
          <w:rFonts w:eastAsia="MS Mincho" w:cs="Arial" w:ascii="Arial" w:hAnsi="Arial"/>
          <w:b/>
          <w:bCs/>
          <w:color w:val="000000"/>
          <w:sz w:val="22"/>
          <w:szCs w:val="22"/>
        </w:rPr>
        <w:t>MAIO</w:t>
      </w:r>
      <w:r>
        <w:rPr>
          <w:rFonts w:eastAsia="MS Mincho" w:cs="Arial" w:ascii="Arial" w:hAnsi="Arial"/>
          <w:b/>
          <w:bCs/>
          <w:color w:val="000000"/>
          <w:sz w:val="22"/>
          <w:szCs w:val="22"/>
        </w:rPr>
        <w:t xml:space="preserve"> DE 2026</w:t>
      </w:r>
      <w:r>
        <w:rPr>
          <w:rFonts w:cs="Arial" w:ascii="Arial" w:hAnsi="Arial"/>
          <w:b/>
          <w:color w:val="000000"/>
          <w:sz w:val="22"/>
          <w:szCs w:val="22"/>
        </w:rPr>
        <w:t>, ÀS 10h15min.</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sz w:val="22"/>
          <w:szCs w:val="22"/>
        </w:rPr>
        <w:t xml:space="preserve">1 - PROPÓSITO DO EDITAL DE CHAMAMENTO PÚBLICO, JUSTIFICATIVA PARA A CELEBRAÇÃO DE PARCERIA E </w:t>
      </w:r>
      <w:r>
        <w:rPr>
          <w:rFonts w:cs="Arial" w:ascii="Arial" w:hAnsi="Arial"/>
          <w:b/>
          <w:bCs/>
          <w:sz w:val="22"/>
          <w:szCs w:val="22"/>
        </w:rPr>
        <w:t>OBJETO DO TERMO DE COLABORAÇÃO</w:t>
      </w:r>
    </w:p>
    <w:p>
      <w:pPr>
        <w:pStyle w:val="Normal"/>
        <w:spacing w:lineRule="auto" w:line="360"/>
        <w:jc w:val="both"/>
        <w:rPr>
          <w:rFonts w:ascii="Arial" w:hAnsi="Arial" w:cs="Arial"/>
          <w:sz w:val="22"/>
          <w:szCs w:val="22"/>
        </w:rPr>
      </w:pPr>
      <w:r>
        <w:rPr>
          <w:rFonts w:cs="Arial" w:ascii="Arial" w:hAnsi="Arial"/>
          <w:b/>
          <w:sz w:val="22"/>
          <w:szCs w:val="22"/>
        </w:rPr>
        <w:t>1.1 – OBJETO</w:t>
      </w:r>
    </w:p>
    <w:p>
      <w:pPr>
        <w:pStyle w:val="Standard1"/>
        <w:spacing w:lineRule="auto" w:line="360"/>
        <w:jc w:val="both"/>
        <w:rPr>
          <w:rFonts w:ascii="Arial" w:hAnsi="Arial" w:cs="Arial"/>
          <w:b/>
          <w:bCs/>
          <w:sz w:val="22"/>
          <w:szCs w:val="22"/>
        </w:rPr>
      </w:pPr>
      <w:r>
        <w:rPr>
          <w:rFonts w:cs="Arial" w:ascii="Arial" w:hAnsi="Arial"/>
          <w:b/>
          <w:sz w:val="22"/>
          <w:szCs w:val="22"/>
        </w:rPr>
        <w:t xml:space="preserve">1.1.1 </w:t>
      </w:r>
      <w:r>
        <w:rPr>
          <w:rFonts w:cs="Arial" w:ascii="Arial" w:hAnsi="Arial"/>
          <w:bCs/>
          <w:sz w:val="22"/>
          <w:szCs w:val="22"/>
        </w:rPr>
        <w:t xml:space="preserve">– </w:t>
      </w:r>
      <w:r>
        <w:rPr>
          <w:rFonts w:cs="Arial" w:ascii="Arial" w:hAnsi="Arial"/>
          <w:sz w:val="22"/>
          <w:szCs w:val="22"/>
        </w:rPr>
        <w:t xml:space="preserve">Estabelecer parceria entre a Prefeitura do Município de Itatiba através da Secretaria de Saúde, e OSC - Organização da Sociedade Civil, para oferta de </w:t>
      </w:r>
      <w:r>
        <w:rPr>
          <w:rFonts w:cs="Arial" w:ascii="Arial" w:hAnsi="Arial"/>
          <w:b/>
          <w:bCs/>
          <w:sz w:val="22"/>
          <w:szCs w:val="22"/>
        </w:rPr>
        <w:t>até 10 (dez) vagas, para o serviço de acolhimento de pessoas,</w:t>
      </w:r>
      <w:r>
        <w:rPr>
          <w:rFonts w:cs="Arial" w:ascii="Arial" w:hAnsi="Arial"/>
          <w:sz w:val="22"/>
          <w:szCs w:val="22"/>
        </w:rPr>
        <w:t xml:space="preserve"> em caráter voluntário, com problemas associados ao uso nocivo ou dependência de substância psicoativa, caracterizadas como </w:t>
      </w:r>
      <w:r>
        <w:rPr>
          <w:rFonts w:cs="Arial" w:ascii="Arial" w:hAnsi="Arial"/>
          <w:b/>
          <w:bCs/>
          <w:sz w:val="22"/>
          <w:szCs w:val="22"/>
        </w:rPr>
        <w:t>COMUNIDADES TERAPÊUTICAS</w:t>
      </w:r>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bCs/>
          <w:color w:val="000000"/>
          <w:sz w:val="22"/>
          <w:szCs w:val="22"/>
        </w:rPr>
        <w:t>1.2. JUSTIFICATIVA:</w:t>
      </w:r>
    </w:p>
    <w:p>
      <w:pPr>
        <w:pStyle w:val="Standard1"/>
        <w:spacing w:lineRule="auto" w:line="360"/>
        <w:jc w:val="both"/>
        <w:rPr>
          <w:rFonts w:ascii="Arial" w:hAnsi="Arial" w:cs="Arial"/>
          <w:color w:val="000000"/>
          <w:sz w:val="22"/>
          <w:szCs w:val="22"/>
        </w:rPr>
      </w:pPr>
      <w:r>
        <w:rPr>
          <w:rFonts w:cs="Arial" w:ascii="Arial" w:hAnsi="Arial"/>
          <w:color w:val="000000"/>
          <w:sz w:val="22"/>
          <w:szCs w:val="22"/>
        </w:rPr>
        <w:t>1.2.1 Atenção a pessoas com necessidades decorrentes do uso de álcool, crack e outras drogas, na modalidade de Serviços de Atenção em Regime Residencial Transitório, como parte do Projeto Terapêutico Singular articulado com serviços de saúde e assistência social de referência para os usuários</w:t>
      </w:r>
    </w:p>
    <w:p>
      <w:pPr>
        <w:pStyle w:val="Standard1"/>
        <w:spacing w:lineRule="auto" w:line="360"/>
        <w:jc w:val="both"/>
        <w:rPr>
          <w:rFonts w:ascii="Arial" w:hAnsi="Arial" w:cs="Arial"/>
          <w:color w:val="000000"/>
          <w:sz w:val="22"/>
          <w:szCs w:val="22"/>
        </w:rPr>
      </w:pPr>
      <w:r>
        <w:rPr>
          <w:rFonts w:cs="Arial" w:ascii="Arial" w:hAnsi="Arial"/>
          <w:color w:val="000000"/>
          <w:sz w:val="22"/>
          <w:szCs w:val="22"/>
        </w:rPr>
        <w:t>1.2.2 O serviço a ser parceirizado é referenciado no CAPS AD – Centro de Atenção Psicossocial – Álcool e Drogas, para monitoramento e acompanhamento das ações previstas neste Edital.</w:t>
      </w:r>
    </w:p>
    <w:p>
      <w:pPr>
        <w:pStyle w:val="Standard1"/>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sz w:val="22"/>
          <w:szCs w:val="22"/>
        </w:rPr>
      </w:pPr>
      <w:r>
        <w:rPr>
          <w:rFonts w:cs="Arial" w:ascii="Arial" w:hAnsi="Arial"/>
          <w:b/>
          <w:bCs/>
          <w:color w:val="000000"/>
          <w:sz w:val="22"/>
          <w:szCs w:val="22"/>
        </w:rPr>
        <w:t>1.3 – TERMO DE COLABORAÇÃO</w:t>
      </w:r>
    </w:p>
    <w:p>
      <w:pPr>
        <w:pStyle w:val="Standard"/>
        <w:spacing w:lineRule="auto" w:line="360"/>
        <w:jc w:val="both"/>
        <w:rPr>
          <w:rFonts w:ascii="Arial" w:hAnsi="Arial" w:cs="Arial"/>
          <w:sz w:val="22"/>
          <w:szCs w:val="22"/>
        </w:rPr>
      </w:pPr>
      <w:r>
        <w:rPr>
          <w:rFonts w:cs="Arial" w:ascii="Arial" w:hAnsi="Arial"/>
          <w:color w:val="000000"/>
          <w:sz w:val="22"/>
          <w:szCs w:val="22"/>
        </w:rPr>
        <w:t xml:space="preserve">1.3.1 - O Termo de Colaboração é o instrumento por meio do qual são formalizadas as parcerias estabelecidas pela Administração Pública com Organizações da Sociedade Civil para a consecução de finalidades de interesse público e recíproco </w:t>
      </w:r>
      <w:r>
        <w:rPr>
          <w:rFonts w:cs="Arial" w:ascii="Arial" w:hAnsi="Arial"/>
          <w:bCs/>
          <w:color w:val="000000"/>
          <w:sz w:val="22"/>
          <w:szCs w:val="22"/>
        </w:rPr>
        <w:t>propostas pela administração pública</w:t>
      </w:r>
      <w:r>
        <w:rPr>
          <w:rFonts w:cs="Arial" w:ascii="Arial" w:hAnsi="Arial"/>
          <w:color w:val="000000"/>
          <w:sz w:val="22"/>
          <w:szCs w:val="22"/>
        </w:rPr>
        <w:t>, que envolvam a transferência de recursos financeiros (art. 2º, VII da Lei nº 13.019/14), sendo que o T</w:t>
      </w:r>
      <w:r>
        <w:rPr>
          <w:rFonts w:cs="Arial" w:ascii="Arial" w:hAnsi="Arial"/>
          <w:bCs/>
          <w:color w:val="000000"/>
          <w:sz w:val="22"/>
          <w:szCs w:val="22"/>
        </w:rPr>
        <w:t>ermo de Colaboração deve ser adotado pela Administração Pública para consecução de planos de sua iniciativa, para celebração de parcerias com Organizações da Sociedade Civil que envolvam a transferência de recursos financeiros (art. 16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1.3.2 - O procedimento de seleção reger-se-á pela Lei nº 13.019, de 31 de julho de 2014, e demais dispositivos aplicáveis à espécie, além das condições previstas neste Edital e em seus anexos.</w:t>
      </w:r>
    </w:p>
    <w:p>
      <w:pPr>
        <w:pStyle w:val="PargrafodaLista1"/>
        <w:widowControl w:val="false"/>
        <w:suppressAutoHyphens w:val="false"/>
        <w:spacing w:lineRule="auto" w:line="360"/>
        <w:ind w:left="0"/>
        <w:jc w:val="both"/>
        <w:rPr>
          <w:rFonts w:ascii="Arial" w:hAnsi="Arial" w:cs="Arial"/>
        </w:rPr>
      </w:pPr>
      <w:r>
        <w:rPr>
          <w:rFonts w:cs="Arial" w:ascii="Arial" w:hAnsi="Arial"/>
          <w:color w:val="000000"/>
        </w:rPr>
        <w:t>1.3.3 - Será selecionada uma única proposta, observada a ordem de classificação e a disponibilidade orçamentária para a celebração do Termo de Colaboração.</w:t>
      </w:r>
    </w:p>
    <w:p>
      <w:pPr>
        <w:pStyle w:val="PargrafodaLista1"/>
        <w:widowControl w:val="false"/>
        <w:suppressAutoHyphens w:val="false"/>
        <w:spacing w:lineRule="auto" w:line="360"/>
        <w:ind w:left="0"/>
        <w:jc w:val="both"/>
        <w:rPr>
          <w:rFonts w:ascii="Arial" w:hAnsi="Arial" w:cs="Arial"/>
        </w:rPr>
      </w:pPr>
      <w:r>
        <w:rPr>
          <w:rFonts w:cs="Arial" w:ascii="Arial" w:hAnsi="Arial"/>
          <w:color w:val="000000"/>
        </w:rPr>
        <w:t>1.3.4 - Não será permitida a atuação em rede.</w:t>
      </w:r>
    </w:p>
    <w:p>
      <w:pPr>
        <w:pStyle w:val="Standard"/>
        <w:spacing w:lineRule="auto" w:line="360"/>
        <w:jc w:val="both"/>
        <w:rPr>
          <w:rFonts w:ascii="Arial" w:hAnsi="Arial" w:cs="Arial"/>
          <w:sz w:val="22"/>
          <w:szCs w:val="22"/>
        </w:rPr>
      </w:pPr>
      <w:r>
        <w:rPr>
          <w:rFonts w:cs="Arial" w:ascii="Arial" w:hAnsi="Arial"/>
          <w:b/>
          <w:color w:val="000000"/>
          <w:sz w:val="22"/>
          <w:szCs w:val="22"/>
        </w:rPr>
        <w:t xml:space="preserve">2 - </w:t>
      </w:r>
      <w:r>
        <w:rPr>
          <w:rFonts w:cs="Arial" w:ascii="Arial" w:hAnsi="Arial"/>
          <w:b/>
          <w:bCs/>
          <w:color w:val="000000"/>
          <w:sz w:val="22"/>
          <w:szCs w:val="22"/>
        </w:rPr>
        <w:t>PARTICIPAÇÃO NO CHAMAMENTO PÚBLICO</w:t>
      </w:r>
    </w:p>
    <w:p>
      <w:pPr>
        <w:pStyle w:val="Textbody"/>
        <w:widowControl w:val="false"/>
        <w:spacing w:lineRule="auto" w:line="360" w:before="0" w:after="0"/>
        <w:jc w:val="both"/>
        <w:rPr>
          <w:rFonts w:ascii="Arial" w:hAnsi="Arial" w:cs="Arial"/>
        </w:rPr>
      </w:pPr>
      <w:r>
        <w:rPr>
          <w:rFonts w:cs="Arial" w:ascii="Arial" w:hAnsi="Arial"/>
          <w:color w:val="000000"/>
        </w:rPr>
        <w:t>2.1. Poderão participar do Chamamento Público organizações da sociedade civil sem fins lucrativos (OSCs), assim consideradas aquelas definidas pelo art. 2º, inciso I, alíneas “a”, “b” ou “c”, da Lei nº 13.019, de 2014:</w:t>
      </w:r>
    </w:p>
    <w:p>
      <w:pPr>
        <w:pStyle w:val="Textbody"/>
        <w:spacing w:lineRule="auto" w:line="360" w:before="0" w:after="0"/>
        <w:jc w:val="both"/>
        <w:rPr>
          <w:rFonts w:ascii="Arial" w:hAnsi="Arial" w:cs="Arial"/>
        </w:rPr>
      </w:pPr>
      <w:r>
        <w:rPr>
          <w:rFonts w:cs="Arial" w:ascii="Arial" w:hAnsi="Arial"/>
          <w:color w:val="000000"/>
        </w:rPr>
        <w:tab/>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Textbody"/>
        <w:spacing w:lineRule="auto" w:line="360" w:before="0" w:after="0"/>
        <w:jc w:val="both"/>
        <w:rPr>
          <w:rFonts w:ascii="Arial" w:hAnsi="Arial" w:cs="Arial"/>
        </w:rPr>
      </w:pPr>
      <w:r>
        <w:rPr>
          <w:rFonts w:cs="Arial" w:ascii="Arial" w:hAnsi="Arial"/>
          <w:color w:val="000000"/>
        </w:rPr>
        <w:tab/>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e,</w:t>
      </w:r>
    </w:p>
    <w:p>
      <w:pPr>
        <w:pStyle w:val="Textbody"/>
        <w:spacing w:lineRule="auto" w:line="360"/>
        <w:rPr>
          <w:rFonts w:ascii="Arial" w:hAnsi="Arial" w:cs="Arial"/>
        </w:rPr>
      </w:pPr>
      <w:r>
        <w:rPr>
          <w:rFonts w:cs="Arial" w:ascii="Arial" w:hAnsi="Arial"/>
          <w:color w:val="000000"/>
        </w:rPr>
        <w:t>c.) as organizações religiosas que se dediquem a atividades ou a projetos de interesse público e de cunho social, distintas das destinadas a fins exclusivamente religiosos.</w:t>
      </w:r>
    </w:p>
    <w:p>
      <w:pPr>
        <w:pStyle w:val="Textbody"/>
        <w:spacing w:lineRule="auto" w:line="360" w:before="0" w:after="0"/>
        <w:jc w:val="both"/>
        <w:rPr>
          <w:rFonts w:ascii="Arial" w:hAnsi="Arial" w:cs="Arial"/>
          <w:color w:val="000000"/>
        </w:rPr>
      </w:pPr>
      <w:r>
        <w:rPr>
          <w:rFonts w:cs="Arial" w:ascii="Arial" w:hAnsi="Arial"/>
          <w:color w:val="000000"/>
        </w:rPr>
      </w:r>
    </w:p>
    <w:p>
      <w:pPr>
        <w:pStyle w:val="Standard"/>
        <w:tabs>
          <w:tab w:val="clear" w:pos="709"/>
          <w:tab w:val="left" w:pos="0" w:leader="none"/>
        </w:tabs>
        <w:spacing w:lineRule="auto" w:line="360"/>
        <w:jc w:val="both"/>
        <w:rPr>
          <w:rFonts w:ascii="Arial" w:hAnsi="Arial" w:cs="Arial"/>
          <w:sz w:val="22"/>
          <w:szCs w:val="22"/>
        </w:rPr>
      </w:pPr>
      <w:r>
        <w:rPr>
          <w:rFonts w:cs="Arial" w:ascii="Arial" w:hAnsi="Arial"/>
          <w:b/>
          <w:color w:val="000000"/>
          <w:sz w:val="22"/>
          <w:szCs w:val="22"/>
        </w:rPr>
        <w:t>3 - REQUISITOS E IMPEDIMENTOS PARA A CELEBRAÇÃO DO TERMO DE COLABORAÇÃO</w:t>
      </w:r>
    </w:p>
    <w:p>
      <w:pPr>
        <w:pStyle w:val="Textbody"/>
        <w:spacing w:lineRule="auto" w:line="360" w:before="0" w:after="0"/>
        <w:jc w:val="both"/>
        <w:rPr>
          <w:rFonts w:ascii="Arial" w:hAnsi="Arial" w:cs="Arial"/>
        </w:rPr>
      </w:pPr>
      <w:r>
        <w:rPr>
          <w:rFonts w:cs="Arial" w:ascii="Arial" w:hAnsi="Arial"/>
          <w:color w:val="000000"/>
        </w:rPr>
        <w:t>3.1. Para participar do Chamamento Público, a organização da sociedade civil sem fins lucrativos (OSC), além dos demais requisitos previstos neste Edital e em seus anexos, deverá cumprir as seguintes exigências e atender aos seguintes requisitos:</w:t>
      </w:r>
    </w:p>
    <w:p>
      <w:pPr>
        <w:pStyle w:val="Textbody"/>
        <w:spacing w:lineRule="auto" w:line="360" w:before="0" w:after="0"/>
        <w:jc w:val="both"/>
        <w:rPr>
          <w:rFonts w:ascii="Arial" w:hAnsi="Arial" w:cs="Arial"/>
        </w:rPr>
      </w:pPr>
      <w:r>
        <w:rPr>
          <w:rFonts w:cs="Arial" w:ascii="Arial" w:hAnsi="Arial"/>
          <w:color w:val="000000"/>
        </w:rPr>
        <w:tab/>
        <w:t xml:space="preserve">a.) Declarar, por meio do dirigente da OSC, conforme modelo constante no </w:t>
      </w:r>
      <w:r>
        <w:rPr>
          <w:rFonts w:cs="Arial" w:ascii="Arial" w:hAnsi="Arial"/>
          <w:b/>
          <w:bCs/>
          <w:color w:val="000000"/>
        </w:rPr>
        <w:t>Anexo I – Declaração de Ciência e Concordância</w:t>
      </w:r>
      <w:r>
        <w:rPr>
          <w:rFonts w:cs="Arial" w:ascii="Arial" w:hAnsi="Arial"/>
          <w:color w:val="000000"/>
        </w:rPr>
        <w:t>, que está ciente e concorda com as disposições previstas no Edital e em seus anexos, bem como que se responsabiliza pela veracidade e legitimidade das informações e documentos apresentados durante o processo de seleção;</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b.) ter objetivos estatutários ou regimentais voltados à promoção de atividades e finalidades de relevância pública e social, bem como compatíveis com o objeto do instrumento a ser pactuado (art. 33, caput, inciso I, e art. 35, caput, inciso III, da Lei nº 13.019/14). Estão dispensadas desta exigência as organizações religiosas e as sociedades cooperativas (art. 33, §§ 2º e 3º,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c.) ser regida por normas de organização interna que prevejam expressamente que, em caso de dissolução da entidade, o respectivo patrimônio líquido será transferido a outra pessoa jurídica de igual natureza que preencha os requisitos da Lei nº 13.019/14, e cujo objeto social seja, preferencialmente, o mesmo da entidade extinta (art. 33, caput, inciso III, Lei nº 13.019/14). Estão dispensadas desta exigência as organizações religiosas e as sociedades cooperativas (art. 33, §§ 2º e 3º,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d.) ser regida por normas de organização interna que prevejam, expressamente, escrituração de acordo com os princípios fundamentais de contabilidade e com as Normas Brasileiras de Contabilidade (art. 33, caput, inciso IV,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e.) possuir, no momento da apresentação do plano de trabalho, no mínimo, 1 (um) anos de existência, com cadastro ativo, comprovados por meio de documentação emitida pela Secretaria da Receita Federal do Brasil, com base no Cadastro Nacional da Pessoa Jurídica – CNPJ (art. 33, caput, inciso V, alínea “a”,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f.) possuir experiência prévia na realização, com efetividade, do objeto da parceria ou de natureza semelhante, pelo prazo mínimo de 1 (um) ano, a ser comprovada no momento da apresentação do plano de trabalho (art. 33, caput, inciso V, alínea “b”,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 xml:space="preserve">g.) possuir instalações e outras condições materiais para o desenvolvimento do objeto da parceria e o cumprimento das metas estabelecidas ou, alternativamente, prever a sua contratação ou aquisição com recursos da parceria, a ser atestado mediante declaração do dirigente da OSC, conforme </w:t>
      </w:r>
      <w:r>
        <w:rPr>
          <w:rFonts w:cs="Arial" w:ascii="Arial" w:hAnsi="Arial"/>
          <w:b/>
          <w:bCs/>
          <w:color w:val="000000"/>
          <w:sz w:val="22"/>
          <w:szCs w:val="22"/>
        </w:rPr>
        <w:t>Anexo II – Declaração sobre Instalações, Condições Materiais e Capacidade Técnica e Operacional</w:t>
      </w:r>
      <w:r>
        <w:rPr>
          <w:rFonts w:cs="Arial" w:ascii="Arial" w:hAnsi="Arial"/>
          <w:color w:val="000000"/>
          <w:sz w:val="22"/>
          <w:szCs w:val="22"/>
        </w:rPr>
        <w:t>. Não será necessária a demonstração de capacidade prévia instalada, sendo admitida a aquisição de bens e equipamentos ou a realização de serviços de adequação de espaço físico para o cumprimento do objeto da parceria (art. 33, caput, inciso V, alínea “c” e § 5º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 xml:space="preserve">h.) deter capacidade técnica e operacional para o desenvolvimento do objeto da parceria e o cumprimento das metas estabelecidas, a ser atestada mediante declaração do dirigente da OSC, conforme </w:t>
      </w:r>
      <w:r>
        <w:rPr>
          <w:rFonts w:cs="Arial" w:ascii="Arial" w:hAnsi="Arial"/>
          <w:b/>
          <w:bCs/>
          <w:color w:val="000000"/>
          <w:sz w:val="22"/>
          <w:szCs w:val="22"/>
        </w:rPr>
        <w:t>Anexo II – Declaração sobre Instalações, Condições Materiais e Capacidade Técnica e Operacional</w:t>
      </w:r>
      <w:r>
        <w:rPr>
          <w:rFonts w:cs="Arial" w:ascii="Arial" w:hAnsi="Arial"/>
          <w:color w:val="000000"/>
          <w:sz w:val="22"/>
          <w:szCs w:val="22"/>
        </w:rPr>
        <w:t>. Não será necessária a demonstração de capacidade prévia instalada, sendo admitida a contratação de profissionais para o cumprimento do objeto da parceria (art. 33, caput, inciso V, alínea “c” e § 5º,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i.) apresentar certidões de regularidade fiscal, previdenciária, tributária, de contribuições, de dívida ativa e trabalhista (art. 34, caput, inciso II,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j.) apresentar certidão de existência jurídica expedida pelo cartório de registro civil ou cópia do estatuto registrado e eventuais alterações ou, tratando-se de sociedade cooperativa, certidão simplificada emitida por junta comercial (art. 34, caput, inciso III,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 xml:space="preserve">k.)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por meio de declaração do dirigente da OSC, conforme </w:t>
      </w:r>
      <w:r>
        <w:rPr>
          <w:rFonts w:cs="Arial" w:ascii="Arial" w:hAnsi="Arial"/>
          <w:b/>
          <w:bCs/>
          <w:color w:val="000000"/>
          <w:sz w:val="22"/>
          <w:szCs w:val="22"/>
        </w:rPr>
        <w:t>Anexo III – Declaração e Relação dos Dirigentes da Entidade</w:t>
      </w:r>
      <w:r>
        <w:rPr>
          <w:rFonts w:cs="Arial" w:ascii="Arial" w:hAnsi="Arial"/>
          <w:color w:val="000000"/>
          <w:sz w:val="22"/>
          <w:szCs w:val="22"/>
        </w:rPr>
        <w:t xml:space="preserve"> (art. 34, caput, incisos V e VI,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l.) comprovar que funciona no endereço declarado pela entidade, por meio de cópia de documento hábil, tal como, conta de consumo ou contrato de locação (art. 34, caput, inciso VII, da Lei nº 13.019/ 2014);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m.) atender às exigências previstas na legislação específica, na hipótese de a OSC se tratar de sociedade cooperativa (art. 2º, inciso I, alínea “b”, e art. 33, § 3º, Lei nº 13.019/14).</w:t>
      </w:r>
    </w:p>
    <w:p>
      <w:pPr>
        <w:pStyle w:val="Standard"/>
        <w:tabs>
          <w:tab w:val="clear" w:pos="709"/>
          <w:tab w:val="left" w:pos="993" w:leader="none"/>
        </w:tabs>
        <w:spacing w:lineRule="auto" w:line="360"/>
        <w:jc w:val="both"/>
        <w:rPr>
          <w:rFonts w:ascii="Arial" w:hAnsi="Arial" w:cs="Arial"/>
          <w:sz w:val="22"/>
          <w:szCs w:val="22"/>
        </w:rPr>
      </w:pPr>
      <w:r>
        <w:rPr>
          <w:rFonts w:cs="Arial" w:ascii="Arial" w:hAnsi="Arial"/>
          <w:color w:val="000000"/>
          <w:sz w:val="22"/>
          <w:szCs w:val="22"/>
        </w:rPr>
        <w:t xml:space="preserve">3.1.1. Nos termos do art. 2º, IV da Lei nº 13.019/14, dirigente é a pessoa que detenha poderes de administração, gestão ou controle da organização da sociedade civil, habilitada a assinar o Termo de Colaboração com a Administração Pública Municipal para a consecução de finalidades de interesse público e recíproco, ainda que delegue essa competência a terceiros, </w:t>
      </w:r>
      <w:r>
        <w:rPr>
          <w:rFonts w:cs="Arial" w:ascii="Arial" w:hAnsi="Arial"/>
          <w:b/>
          <w:bCs/>
          <w:color w:val="000000"/>
          <w:sz w:val="22"/>
          <w:szCs w:val="22"/>
          <w:u w:val="single"/>
        </w:rPr>
        <w:t>devendo ser comprovada documentalmente sua qualidade como tal</w:t>
      </w:r>
      <w:r>
        <w:rPr>
          <w:rFonts w:cs="Arial" w:ascii="Arial" w:hAnsi="Arial"/>
          <w:color w:val="000000"/>
          <w:sz w:val="22"/>
          <w:szCs w:val="22"/>
        </w:rPr>
        <w:t>.</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3.2. Esta impedida de celebrar o Termo de Colaboração, a OSC que:</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a.) não esteja regularmente constituída ou, se estrangeira, não esteja autorizada a funcionar no território nacional (art. 39, caput, inciso I,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b.) esteja omissa no dever de prestar contas de parceria anteriormente celebrada (art. 39, caput, inciso II,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 xml:space="preserve">c.) tenha,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 exceto em relação às entidades que, por sua própria natureza, sejam constituídas pelas autoridades referidas, sendo vedado, contudo, que a mesma pessoa figure no Termo de Colaboração, simultaneamente, como dirigente e administrador público. Não são considerados membros de Poder os integrantes de conselhos de direitos e de políticas públicas (art. 39, caput, inciso III e §§ 5º e 6º, da Lei nº 13.019/14), mediante declaração do dirigente da OSC, conforme </w:t>
      </w:r>
      <w:r>
        <w:rPr>
          <w:rFonts w:cs="Arial" w:ascii="Arial" w:hAnsi="Arial"/>
          <w:b/>
          <w:bCs/>
          <w:color w:val="000000"/>
          <w:sz w:val="22"/>
          <w:szCs w:val="22"/>
        </w:rPr>
        <w:t>Anexo IV – Declaração do art. 39, III da Lei nº 13.019/14</w:t>
      </w:r>
      <w:r>
        <w:rPr>
          <w:rFonts w:cs="Arial" w:ascii="Arial" w:hAnsi="Arial"/>
          <w:color w:val="000000"/>
          <w:sz w:val="22"/>
          <w:szCs w:val="22"/>
        </w:rPr>
        <w:t>;</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alíneas “a”, “b” e “c”,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e.) tenha sido punida, pelo período que durar a penalidade, com suspensão de participação em licitação e impedimento de contratar com a administração, com declaração de inidoneidade para licitar ou contratar com a administração pública ou com as sanções previstas nos incisos II e III do art. 73 da Lei nº 13.019/14 (art. 39, caput, inciso V, alíneas “a”, “b”, “c” e “d”, da Lei nº 13.019/14);</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f.) tenha tido contas de parceria julgadas irregulares ou rejeitadas por Tribunal ou Conselho de Contas de qualquer esfera da Federação, em decisão irrecorrível, nos últimos 8 (oito) anos (art. 39, caput, inciso VI, da Lei nº 13.019/14); ou</w:t>
      </w:r>
    </w:p>
    <w:p>
      <w:pPr>
        <w:pStyle w:val="Standard"/>
        <w:tabs>
          <w:tab w:val="clear" w:pos="709"/>
          <w:tab w:val="left" w:pos="993" w:leader="none"/>
        </w:tabs>
        <w:spacing w:lineRule="auto" w:line="360"/>
        <w:ind w:firstLine="567"/>
        <w:jc w:val="both"/>
        <w:rPr>
          <w:rFonts w:ascii="Arial" w:hAnsi="Arial" w:cs="Arial"/>
          <w:sz w:val="22"/>
          <w:szCs w:val="22"/>
        </w:rPr>
      </w:pPr>
      <w:r>
        <w:rPr>
          <w:rFonts w:cs="Arial" w:ascii="Arial" w:hAnsi="Arial"/>
          <w:color w:val="000000"/>
          <w:sz w:val="22"/>
          <w:szCs w:val="22"/>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alíneas “a”, “b” e “c”, da Lei nº 13.019/14).</w:t>
      </w:r>
    </w:p>
    <w:p>
      <w:pPr>
        <w:pStyle w:val="Textbody"/>
        <w:spacing w:lineRule="auto" w:line="360" w:before="0" w:after="0"/>
        <w:jc w:val="both"/>
        <w:rPr>
          <w:rFonts w:ascii="Arial" w:hAnsi="Arial" w:cs="Arial"/>
        </w:rPr>
      </w:pPr>
      <w:r>
        <w:rPr>
          <w:rFonts w:cs="Arial" w:ascii="Arial" w:hAnsi="Arial"/>
          <w:color w:val="000000"/>
        </w:rPr>
        <w:t>3.2.1. Em qualquer das hipóteses previstas no item 3.2 deste Edital, persiste o impedimento para celebrar parceria enquanto não houver o ressarcimento do dano ao erário, pelo qual seja responsável a organização da sociedade civil ou seu dirigente (art. 39, § 2º da Lei nº 13.019/14).</w:t>
      </w:r>
    </w:p>
    <w:p>
      <w:pPr>
        <w:pStyle w:val="Textbody"/>
        <w:spacing w:lineRule="auto" w:line="360" w:before="0" w:after="0"/>
        <w:jc w:val="both"/>
        <w:rPr>
          <w:rFonts w:ascii="Arial" w:hAnsi="Arial" w:cs="Arial"/>
        </w:rPr>
      </w:pPr>
      <w:bookmarkStart w:id="1" w:name="m_1509864902171160403_art39%252525252525"/>
      <w:bookmarkEnd w:id="1"/>
      <w:r>
        <w:rPr>
          <w:rFonts w:cs="Arial" w:ascii="Arial" w:hAnsi="Arial"/>
          <w:color w:val="000000"/>
        </w:rPr>
        <w:t>3.2.2. Não serão considerados débitos que decorram de atrasos na liberação de repasses pela Administração Pública ou que tenham sido objeto de parcelamento, se a organização da sociedade civil estiver em situação regular no parcelamento (art. 39, § 4º da Lei nº 13.019/14).</w:t>
      </w:r>
    </w:p>
    <w:p>
      <w:pPr>
        <w:pStyle w:val="Standard"/>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both"/>
        <w:rPr>
          <w:rFonts w:ascii="Arial" w:hAnsi="Arial" w:cs="Arial"/>
          <w:sz w:val="22"/>
          <w:szCs w:val="22"/>
        </w:rPr>
      </w:pPr>
      <w:r>
        <w:rPr>
          <w:rFonts w:cs="Arial" w:ascii="Arial" w:hAnsi="Arial"/>
          <w:b/>
          <w:bCs/>
          <w:sz w:val="22"/>
          <w:szCs w:val="22"/>
        </w:rPr>
        <w:t>4 - DA COMISSÃO DE SELEÇÃO</w:t>
      </w:r>
    </w:p>
    <w:p>
      <w:pPr>
        <w:pStyle w:val="Standard"/>
        <w:spacing w:lineRule="auto" w:line="360"/>
        <w:jc w:val="both"/>
        <w:rPr>
          <w:rFonts w:ascii="Arial" w:hAnsi="Arial" w:cs="Arial"/>
          <w:sz w:val="22"/>
          <w:szCs w:val="22"/>
        </w:rPr>
      </w:pPr>
      <w:r>
        <w:rPr>
          <w:rFonts w:cs="Arial" w:ascii="Arial" w:hAnsi="Arial"/>
          <w:sz w:val="22"/>
          <w:szCs w:val="22"/>
        </w:rPr>
        <w:t xml:space="preserve">4.1. A seleção dentre as organizações da sociedade civil (OSCs) interessadas na celebração do Termo de Colaboração será feita por uma Comissão de Seleção, destinada a processar e julgar o Chamamento Público, e será composta, por no mínimo, 03 (três) membros da Secretaria de Saúde, assegurada a participação de pelo menos 01 (um) servidor ocupante de cargo efetivo ou emprego permanente do quadro de pessoal da administração pública municipal, que será nomeada por ato do pelo Chefe do Poder Executivo e publicado na </w:t>
      </w:r>
      <w:r>
        <w:rPr>
          <w:rFonts w:cs="Arial" w:ascii="Arial" w:hAnsi="Arial"/>
          <w:color w:val="000000"/>
          <w:sz w:val="22"/>
          <w:szCs w:val="22"/>
        </w:rPr>
        <w:t>Imprensa Oficial de Itatiba, previamente à etapa de avaliação das propostas (arts. 2º, caput, inciso X, e 27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4.2. Os membros da Comissão de Seleção não serão remunerados.</w:t>
      </w:r>
    </w:p>
    <w:p>
      <w:pPr>
        <w:pStyle w:val="Standard"/>
        <w:spacing w:lineRule="auto" w:line="360"/>
        <w:jc w:val="both"/>
        <w:rPr>
          <w:rFonts w:ascii="Arial" w:hAnsi="Arial" w:cs="Arial"/>
          <w:sz w:val="22"/>
          <w:szCs w:val="22"/>
        </w:rPr>
      </w:pPr>
      <w:r>
        <w:rPr>
          <w:rFonts w:cs="Arial" w:ascii="Arial" w:hAnsi="Arial"/>
          <w:color w:val="000000"/>
          <w:sz w:val="22"/>
          <w:szCs w:val="22"/>
        </w:rPr>
        <w:t>4.3. Deverá se declarar impedido membro da Comissão de Seleção que tenha participado, nos últimos 5 (cinco) anos, contados da publicação do presente Edital, como associado, cooperado, dirigente, conselheiro ou empregado de qualquer organização da sociedade civil (OSC) participante do Chamamento Público (art. 27, §§ 2º e 3º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4.4.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4.5. Para subsidiar seus trabalhos, a Comissão de Seleção poderá solicitar assessoramento técnico de especialista que não seja membro desse colegiado.</w:t>
      </w:r>
    </w:p>
    <w:p>
      <w:pPr>
        <w:pStyle w:val="Standard"/>
        <w:spacing w:lineRule="auto" w:line="360"/>
        <w:jc w:val="both"/>
        <w:rPr>
          <w:rFonts w:ascii="Arial" w:hAnsi="Arial" w:cs="Arial"/>
          <w:sz w:val="22"/>
          <w:szCs w:val="22"/>
        </w:rPr>
      </w:pPr>
      <w:r>
        <w:rPr>
          <w:rFonts w:cs="Arial" w:ascii="Arial" w:hAnsi="Arial"/>
          <w:color w:val="000000"/>
          <w:sz w:val="22"/>
          <w:szCs w:val="22"/>
        </w:rPr>
        <w:t>4.6. A Comissão de Seleção poderá realizar, a qualquer tempo, diligências para verificar a autenticidade das informações e documentos apresentados pelas organizações da sociedade civil (OSCs) concorrentes ou para esclarecer dúvidas e omissões. Em qualquer situação, devem ser observados os princípios da isonomia, da impessoalidade, da transparência e da moralidade.</w:t>
      </w:r>
    </w:p>
    <w:p>
      <w:pPr>
        <w:pStyle w:val="Standard"/>
        <w:spacing w:lineRule="auto" w:line="360"/>
        <w:jc w:val="both"/>
        <w:rPr>
          <w:rFonts w:ascii="Arial" w:hAnsi="Arial" w:cs="Arial"/>
          <w:sz w:val="22"/>
          <w:szCs w:val="22"/>
        </w:rPr>
      </w:pPr>
      <w:r>
        <w:rPr>
          <w:rFonts w:cs="Arial" w:ascii="Arial" w:hAnsi="Arial"/>
          <w:b/>
          <w:bCs/>
          <w:color w:val="000000"/>
          <w:sz w:val="22"/>
          <w:szCs w:val="22"/>
        </w:rPr>
        <w:tab/>
      </w:r>
    </w:p>
    <w:p>
      <w:pPr>
        <w:pStyle w:val="Standard"/>
        <w:spacing w:lineRule="auto" w:line="360"/>
        <w:jc w:val="both"/>
        <w:rPr>
          <w:rFonts w:ascii="Arial" w:hAnsi="Arial" w:cs="Arial"/>
          <w:sz w:val="22"/>
          <w:szCs w:val="22"/>
        </w:rPr>
      </w:pPr>
      <w:r>
        <w:rPr>
          <w:rFonts w:cs="Arial" w:ascii="Arial" w:hAnsi="Arial"/>
          <w:b/>
          <w:bCs/>
          <w:color w:val="000000"/>
          <w:sz w:val="22"/>
          <w:szCs w:val="22"/>
        </w:rPr>
        <w:t>5 - DA FASE DE SELEÇÃO</w:t>
      </w:r>
    </w:p>
    <w:p>
      <w:pPr>
        <w:pStyle w:val="Standard"/>
        <w:spacing w:lineRule="auto" w:line="360"/>
        <w:jc w:val="both"/>
        <w:rPr>
          <w:rFonts w:ascii="Arial" w:hAnsi="Arial" w:cs="Arial"/>
          <w:sz w:val="22"/>
          <w:szCs w:val="22"/>
        </w:rPr>
      </w:pPr>
      <w:r>
        <w:rPr>
          <w:rFonts w:cs="Arial" w:ascii="Arial" w:hAnsi="Arial"/>
          <w:b/>
          <w:bCs/>
          <w:color w:val="000000"/>
          <w:sz w:val="22"/>
          <w:szCs w:val="22"/>
        </w:rPr>
        <w:t>5.1. Do Cronograma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5.1.1. A fase de seleção observará as seguintes etapas, conforme </w:t>
      </w:r>
      <w:r>
        <w:rPr>
          <w:rFonts w:cs="Arial" w:ascii="Arial" w:hAnsi="Arial"/>
          <w:b/>
          <w:bCs/>
          <w:color w:val="000000"/>
          <w:sz w:val="22"/>
          <w:szCs w:val="22"/>
          <w:u w:val="single"/>
        </w:rPr>
        <w:t>TABELA 1</w:t>
      </w:r>
      <w:r>
        <w:rPr>
          <w:rFonts w:cs="Arial" w:ascii="Arial" w:hAnsi="Arial"/>
          <w:sz w:val="22"/>
          <w:szCs w:val="22"/>
        </w:rPr>
        <w:t xml:space="preserve"> abaixo:</w:t>
      </w:r>
    </w:p>
    <w:tbl>
      <w:tblPr>
        <w:tblW w:w="9675"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030"/>
        <w:gridCol w:w="4360"/>
        <w:gridCol w:w="4285"/>
      </w:tblGrid>
      <w:tr>
        <w:trPr>
          <w:trHeight w:val="369" w:hRule="atLeast"/>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ETAPA</w:t>
            </w:r>
          </w:p>
        </w:tc>
        <w:tc>
          <w:tcPr>
            <w:tcW w:w="436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DESCRIÇÃO DA ETAPA</w:t>
            </w:r>
          </w:p>
        </w:tc>
        <w:tc>
          <w:tcPr>
            <w:tcW w:w="4285"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DATA</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1</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Publicação do Edital de Chamamento Público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sz w:val="18"/>
                <w:szCs w:val="18"/>
              </w:rPr>
              <w:t>28</w:t>
            </w:r>
            <w:r>
              <w:rPr>
                <w:rFonts w:cs="Arial" w:ascii="Arial" w:hAnsi="Arial"/>
                <w:sz w:val="18"/>
                <w:szCs w:val="18"/>
              </w:rPr>
              <w:t xml:space="preserve"> de </w:t>
            </w:r>
            <w:r>
              <w:rPr>
                <w:rFonts w:cs="Arial" w:ascii="Arial" w:hAnsi="Arial"/>
                <w:sz w:val="18"/>
                <w:szCs w:val="18"/>
              </w:rPr>
              <w:t>abril</w:t>
            </w:r>
            <w:r>
              <w:rPr>
                <w:rFonts w:cs="Arial" w:ascii="Arial" w:hAnsi="Arial"/>
                <w:sz w:val="18"/>
                <w:szCs w:val="18"/>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2</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Envio das propostas pelas OSCs</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sz w:val="18"/>
                <w:szCs w:val="18"/>
              </w:rPr>
              <w:t>29</w:t>
            </w:r>
            <w:r>
              <w:rPr>
                <w:rFonts w:cs="Arial" w:ascii="Arial" w:hAnsi="Arial"/>
                <w:sz w:val="18"/>
                <w:szCs w:val="18"/>
              </w:rPr>
              <w:t xml:space="preserve"> de </w:t>
            </w:r>
            <w:r>
              <w:rPr>
                <w:rFonts w:cs="Arial" w:ascii="Arial" w:hAnsi="Arial"/>
                <w:sz w:val="18"/>
                <w:szCs w:val="18"/>
              </w:rPr>
              <w:t>abril</w:t>
            </w:r>
            <w:r>
              <w:rPr>
                <w:rFonts w:cs="Arial" w:ascii="Arial" w:hAnsi="Arial"/>
                <w:sz w:val="18"/>
                <w:szCs w:val="18"/>
              </w:rPr>
              <w:t xml:space="preserve"> de 2026 a </w:t>
            </w:r>
            <w:r>
              <w:rPr>
                <w:rFonts w:cs="Arial" w:ascii="Arial" w:hAnsi="Arial"/>
                <w:sz w:val="18"/>
                <w:szCs w:val="18"/>
              </w:rPr>
              <w:t>29</w:t>
            </w:r>
            <w:r>
              <w:rPr>
                <w:rFonts w:cs="Arial" w:ascii="Arial" w:hAnsi="Arial"/>
                <w:sz w:val="18"/>
                <w:szCs w:val="18"/>
              </w:rPr>
              <w:t xml:space="preserve"> de </w:t>
            </w:r>
            <w:r>
              <w:rPr>
                <w:rFonts w:cs="Arial" w:ascii="Arial" w:hAnsi="Arial"/>
                <w:sz w:val="18"/>
                <w:szCs w:val="18"/>
              </w:rPr>
              <w:t>maio</w:t>
            </w:r>
            <w:r>
              <w:rPr>
                <w:rFonts w:cs="Arial" w:ascii="Arial" w:hAnsi="Arial"/>
                <w:sz w:val="18"/>
                <w:szCs w:val="18"/>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3</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Etapa competitiva de avaliação das propostas pela Comissão de Seleção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15 (quinze) dias corridos, contados do prazo final para a apresentação das propostas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4</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Divulgação do resultado preliminar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sz w:val="18"/>
                <w:szCs w:val="18"/>
              </w:rPr>
              <w:t>16</w:t>
            </w:r>
            <w:r>
              <w:rPr>
                <w:rFonts w:cs="Arial" w:ascii="Arial" w:hAnsi="Arial"/>
                <w:sz w:val="18"/>
                <w:szCs w:val="18"/>
              </w:rPr>
              <w:t xml:space="preserve"> de </w:t>
            </w:r>
            <w:r>
              <w:rPr>
                <w:rFonts w:cs="Arial" w:ascii="Arial" w:hAnsi="Arial"/>
                <w:sz w:val="18"/>
                <w:szCs w:val="18"/>
              </w:rPr>
              <w:t>junho</w:t>
            </w:r>
            <w:r>
              <w:rPr>
                <w:rFonts w:cs="Arial" w:ascii="Arial" w:hAnsi="Arial"/>
                <w:sz w:val="18"/>
                <w:szCs w:val="18"/>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5</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Interposição de recursos contra o resultado preliminar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5 (cinco) dias úteis, contados da divulgação do resultado preliminar</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6</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Período de apresentação de contrarrazões aos recursos interpostos</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5 (cinco) dias úteis, contados do decurso do prazo para apresentação de recurso</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7</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Análise dos recursos pela Comissão de Seleção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5 (cinco) dias úteis, contados do prazo final para a apresentação de contrarrazões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8</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Análise dos recursos pelo Chefe do Poder Executivo (se necessário)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left" w:pos="709" w:leader="none"/>
              </w:tabs>
              <w:suppressAutoHyphens w:val="false"/>
              <w:spacing w:lineRule="auto" w:line="360"/>
              <w:jc w:val="both"/>
              <w:rPr>
                <w:rFonts w:ascii="Arial" w:hAnsi="Arial" w:cs="Arial"/>
                <w:sz w:val="18"/>
                <w:szCs w:val="18"/>
              </w:rPr>
            </w:pPr>
            <w:r>
              <w:rPr>
                <w:rFonts w:cs="Arial" w:ascii="Arial" w:hAnsi="Arial"/>
                <w:color w:val="000000"/>
                <w:sz w:val="18"/>
                <w:szCs w:val="18"/>
              </w:rPr>
              <w:t>15 (quinze) dias corridos, contados do recebimento do processo no Gabinete para análise.</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b/>
                <w:color w:val="000000"/>
                <w:sz w:val="18"/>
                <w:szCs w:val="18"/>
              </w:rPr>
              <w:t>9</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color w:val="000000"/>
                <w:sz w:val="18"/>
                <w:szCs w:val="18"/>
              </w:rPr>
              <w:t>Homologação e publicação do resultado definitivo da fase de seleção, com divulgação das decisões recursais proferidas (se houver).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360"/>
              <w:jc w:val="center"/>
              <w:rPr>
                <w:rFonts w:ascii="Arial" w:hAnsi="Arial" w:cs="Arial"/>
                <w:sz w:val="18"/>
                <w:szCs w:val="18"/>
              </w:rPr>
            </w:pPr>
            <w:r>
              <w:rPr>
                <w:rFonts w:cs="Arial" w:ascii="Arial" w:hAnsi="Arial"/>
                <w:sz w:val="18"/>
                <w:szCs w:val="18"/>
              </w:rPr>
              <w:t>23</w:t>
            </w:r>
            <w:r>
              <w:rPr>
                <w:rFonts w:cs="Arial" w:ascii="Arial" w:hAnsi="Arial"/>
                <w:sz w:val="18"/>
                <w:szCs w:val="18"/>
              </w:rPr>
              <w:t xml:space="preserve"> de </w:t>
            </w:r>
            <w:r>
              <w:rPr>
                <w:rFonts w:cs="Arial" w:ascii="Arial" w:hAnsi="Arial"/>
                <w:sz w:val="18"/>
                <w:szCs w:val="18"/>
              </w:rPr>
              <w:t>julho</w:t>
            </w:r>
            <w:r>
              <w:rPr>
                <w:rFonts w:cs="Arial" w:ascii="Arial" w:hAnsi="Arial"/>
                <w:sz w:val="18"/>
                <w:szCs w:val="18"/>
              </w:rPr>
              <w:t xml:space="preserve"> de 2026</w:t>
            </w:r>
          </w:p>
        </w:tc>
      </w:tr>
    </w:tbl>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5.1.2.</w:t>
      </w:r>
      <w:r>
        <w:rPr>
          <w:rFonts w:cs="Arial" w:ascii="Arial" w:hAnsi="Arial"/>
          <w:b/>
          <w:color w:val="000000"/>
          <w:sz w:val="22"/>
          <w:szCs w:val="22"/>
        </w:rPr>
        <w:t xml:space="preserve"> </w:t>
      </w:r>
      <w:r>
        <w:rPr>
          <w:rFonts w:cs="Arial" w:ascii="Arial" w:hAnsi="Arial"/>
          <w:color w:val="000000"/>
          <w:sz w:val="22"/>
          <w:szCs w:val="22"/>
        </w:rPr>
        <w:t>A verificação do cumprimento dos requisitos para a celebração da parceria (arts. 33 e 34 da Lei nº 13.019/14) e a não ocorrência de impedimento para a celebração da parceria (art. 39 da Lei nº 13.019/14) é posterior à etapa competitiva de julgamento das propostas, sendo exigível apenas das OSCs selecionadas e mais bem classificadas, nos termos do art. 28 da Lei nº 13.019/14.</w:t>
      </w:r>
    </w:p>
    <w:p>
      <w:pPr>
        <w:pStyle w:val="Standard"/>
        <w:tabs>
          <w:tab w:val="clear" w:pos="709"/>
          <w:tab w:val="left" w:pos="567" w:leader="none"/>
        </w:tabs>
        <w:spacing w:lineRule="auto" w:line="360"/>
        <w:jc w:val="both"/>
        <w:rPr>
          <w:rFonts w:ascii="Arial" w:hAnsi="Arial" w:cs="Arial"/>
          <w:sz w:val="22"/>
          <w:szCs w:val="22"/>
        </w:rPr>
      </w:pPr>
      <w:r>
        <w:rPr>
          <w:rStyle w:val="Forte1"/>
          <w:rFonts w:cs="Arial" w:ascii="Arial" w:hAnsi="Arial"/>
          <w:color w:val="000000"/>
          <w:sz w:val="22"/>
          <w:szCs w:val="22"/>
        </w:rPr>
        <w:t>5.1.3. O cronograma acima é meramente estimado e poderá sofrer alterações em virtude do desenvolvimento do Chamamento Público, garantindo-se, entretanto, prévio conhecimento aos participantes das eventuais alterações das datas aprazadas.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5.2. Etapa 1: Publicação do Edital de Chamamento Público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5.2.1. O presente Edital será divulgado em página do sítio eletrônico oficial da Prefeitura do Município de Itatiba (www.itatiba.sp.gov.br) e o extrato do Edital será publicado no Diário Oficial do Município de Itatiba, com prazo mínimo de 30 (trinta) dias corridos para a apresentação das propostas, contado da data de publicação do extrato do Edital no Diário Oficial do Município de Itatiba.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5.3.</w:t>
      </w:r>
      <w:r>
        <w:rPr>
          <w:rFonts w:cs="Arial" w:ascii="Arial" w:hAnsi="Arial"/>
          <w:color w:val="000000"/>
          <w:sz w:val="22"/>
          <w:szCs w:val="22"/>
        </w:rPr>
        <w:t xml:space="preserve"> </w:t>
      </w:r>
      <w:r>
        <w:rPr>
          <w:rFonts w:cs="Arial" w:ascii="Arial" w:hAnsi="Arial"/>
          <w:b/>
          <w:color w:val="000000"/>
          <w:sz w:val="22"/>
          <w:szCs w:val="22"/>
        </w:rPr>
        <w:t>Etapa 2: Envio das propostas pelas OSCs</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t xml:space="preserve">5.3.1. As propostas deverão ser apresentadas pelas OSCs </w:t>
      </w:r>
      <w:r>
        <w:rPr>
          <w:rFonts w:cs="Arial" w:ascii="Arial" w:hAnsi="Arial"/>
          <w:b/>
          <w:bCs/>
          <w:color w:val="000000"/>
          <w:sz w:val="22"/>
          <w:szCs w:val="22"/>
        </w:rPr>
        <w:t>até a</w:t>
      </w:r>
      <w:r>
        <w:rPr>
          <w:rFonts w:cs="Arial" w:ascii="Arial" w:hAnsi="Arial"/>
          <w:b/>
          <w:bCs/>
          <w:color w:val="000000"/>
          <w:sz w:val="22"/>
          <w:szCs w:val="22"/>
          <w:shd w:fill="auto" w:val="clear"/>
        </w:rPr>
        <w:t xml:space="preserve">s 10 horas do dia </w:t>
      </w:r>
      <w:r>
        <w:rPr>
          <w:rFonts w:cs="Arial" w:ascii="Arial" w:hAnsi="Arial"/>
          <w:b/>
          <w:bCs/>
          <w:color w:val="000000"/>
          <w:sz w:val="22"/>
          <w:szCs w:val="22"/>
          <w:shd w:fill="auto" w:val="clear"/>
        </w:rPr>
        <w:t>29</w:t>
      </w:r>
      <w:r>
        <w:rPr>
          <w:rFonts w:cs="Arial" w:ascii="Arial" w:hAnsi="Arial"/>
          <w:b/>
          <w:bCs/>
          <w:color w:val="000000"/>
          <w:sz w:val="22"/>
          <w:szCs w:val="22"/>
          <w:shd w:fill="auto" w:val="clear"/>
        </w:rPr>
        <w:t xml:space="preserve"> de </w:t>
      </w:r>
      <w:r>
        <w:rPr>
          <w:rFonts w:cs="Arial" w:ascii="Arial" w:hAnsi="Arial"/>
          <w:b/>
          <w:bCs/>
          <w:color w:val="000000"/>
          <w:sz w:val="22"/>
          <w:szCs w:val="22"/>
          <w:shd w:fill="auto" w:val="clear"/>
        </w:rPr>
        <w:t>maio</w:t>
      </w:r>
      <w:r>
        <w:rPr>
          <w:rFonts w:cs="Arial" w:ascii="Arial" w:hAnsi="Arial"/>
          <w:b/>
          <w:bCs/>
          <w:color w:val="000000"/>
          <w:sz w:val="22"/>
          <w:szCs w:val="22"/>
          <w:shd w:fill="auto" w:val="clear"/>
        </w:rPr>
        <w:t xml:space="preserve"> de 2026,</w:t>
      </w:r>
      <w:r>
        <w:rPr>
          <w:rFonts w:cs="Arial" w:ascii="Arial" w:hAnsi="Arial"/>
          <w:b/>
          <w:bCs/>
          <w:color w:val="000000"/>
          <w:sz w:val="22"/>
          <w:szCs w:val="22"/>
        </w:rPr>
        <w:t xml:space="preserve"> </w:t>
      </w:r>
      <w:r>
        <w:rPr>
          <w:rFonts w:cs="Arial" w:ascii="Arial" w:hAnsi="Arial"/>
          <w:color w:val="000000"/>
          <w:sz w:val="22"/>
          <w:szCs w:val="22"/>
        </w:rPr>
        <w:t>mediante protocolo na Seção de Licitação da Prefeitura do Município de Itatiba, situada à Av. Luciano Consoline, 600, Jd. de Lucca, nesta cidade, das 09 às 17 horas, de segunda a sexta-feira, em uma única via impressa e em um único envelope fechado, em cujo anverso deverá constar a denominação social e o CNPJ da OSC e os dados abaixo:</w:t>
      </w:r>
    </w:p>
    <w:p>
      <w:pPr>
        <w:pStyle w:val="Standard"/>
        <w:spacing w:lineRule="auto" w:line="360"/>
        <w:ind w:left="284"/>
        <w:jc w:val="both"/>
        <w:rPr>
          <w:rFonts w:ascii="Arial" w:hAnsi="Arial" w:cs="Arial"/>
          <w:sz w:val="22"/>
          <w:szCs w:val="22"/>
        </w:rPr>
      </w:pPr>
      <w:r>
        <w:rPr>
          <w:rFonts w:cs="Arial" w:ascii="Arial" w:hAnsi="Arial"/>
          <w:sz w:val="22"/>
          <w:szCs w:val="22"/>
        </w:rPr>
      </w:r>
    </w:p>
    <w:p>
      <w:pPr>
        <w:pStyle w:val="Standard"/>
        <w:pBdr>
          <w:top w:val="single" w:sz="4" w:space="1" w:color="000000"/>
          <w:left w:val="single" w:sz="4" w:space="4" w:color="000000"/>
          <w:bottom w:val="single" w:sz="4" w:space="1" w:color="000000"/>
          <w:right w:val="single" w:sz="4" w:space="4" w:color="000000"/>
        </w:pBdr>
        <w:spacing w:lineRule="auto" w:line="360"/>
        <w:ind w:left="567" w:right="489"/>
        <w:jc w:val="both"/>
        <w:rPr>
          <w:rFonts w:ascii="Arial" w:hAnsi="Arial" w:cs="Arial"/>
          <w:sz w:val="22"/>
          <w:szCs w:val="22"/>
        </w:rPr>
      </w:pPr>
      <w:r>
        <w:rPr>
          <w:rFonts w:cs="Arial" w:ascii="Arial" w:hAnsi="Arial"/>
          <w:b/>
          <w:bCs/>
          <w:sz w:val="22"/>
          <w:szCs w:val="22"/>
        </w:rPr>
        <w:t xml:space="preserve">EDITAL DE CHAMAMENTO PÚBLICO PARA CELEBRAÇÃO DE PARCERIA COM ORGANIZAÇÃO DA SOCIEDADE CIVIL SEM FINS LUCRATIVOS – PROCESSO ADMINISTRATIVO Nº 1.092/2026 - EDITAL DE CHAMAMENTO PÚBLICO Nº </w:t>
      </w:r>
      <w:r>
        <w:rPr>
          <w:rFonts w:cs="Arial" w:ascii="Arial" w:hAnsi="Arial"/>
          <w:b/>
          <w:bCs/>
          <w:sz w:val="22"/>
          <w:szCs w:val="22"/>
        </w:rPr>
        <w:t>03</w:t>
      </w:r>
      <w:r>
        <w:rPr>
          <w:rFonts w:cs="Arial" w:ascii="Arial" w:hAnsi="Arial"/>
          <w:b/>
          <w:bCs/>
          <w:sz w:val="22"/>
          <w:szCs w:val="22"/>
        </w:rPr>
        <w:t>/2026 – SECRETARIA MUNICIPAL DE SAÚDE</w:t>
      </w:r>
    </w:p>
    <w:p>
      <w:pPr>
        <w:pStyle w:val="Standard"/>
        <w:spacing w:lineRule="auto" w:line="360"/>
        <w:jc w:val="both"/>
        <w:rPr>
          <w:rFonts w:ascii="Arial" w:hAnsi="Arial" w:cs="Arial"/>
          <w:b/>
          <w:bCs/>
          <w:sz w:val="22"/>
          <w:szCs w:val="22"/>
        </w:rPr>
      </w:pPr>
      <w:r>
        <w:rPr>
          <w:rFonts w:cs="Arial" w:ascii="Arial" w:hAnsi="Arial"/>
          <w:b/>
          <w:bCs/>
          <w:sz w:val="22"/>
          <w:szCs w:val="22"/>
        </w:rPr>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5.3.2. A proposta, em uma única via impressa, deverá ter todas as folhas rubricadas e numeradas sequencialmente e, ao final, ser assinada pelo dirigente da OSC proponente, também devendo ser entregue uma cópia da proposta em versão digital (CD ou pen drive).</w:t>
      </w:r>
    </w:p>
    <w:p>
      <w:pPr>
        <w:pStyle w:val="Standard"/>
        <w:spacing w:lineRule="auto" w:line="360"/>
        <w:jc w:val="both"/>
        <w:rPr>
          <w:rFonts w:ascii="Arial" w:hAnsi="Arial" w:cs="Arial"/>
          <w:sz w:val="22"/>
          <w:szCs w:val="22"/>
        </w:rPr>
      </w:pPr>
      <w:r>
        <w:rPr>
          <w:rFonts w:cs="Arial" w:ascii="Arial" w:hAnsi="Arial"/>
          <w:color w:val="000000"/>
          <w:sz w:val="22"/>
          <w:szCs w:val="22"/>
        </w:rPr>
        <w:t>5.3.3. Não serão aceitas as propostas enviadas por qualquer outro meio.</w:t>
      </w:r>
    </w:p>
    <w:p>
      <w:pPr>
        <w:pStyle w:val="Standard"/>
        <w:spacing w:lineRule="auto" w:line="360"/>
        <w:jc w:val="both"/>
        <w:rPr>
          <w:rFonts w:ascii="Arial" w:hAnsi="Arial" w:cs="Arial"/>
          <w:sz w:val="22"/>
          <w:szCs w:val="22"/>
        </w:rPr>
      </w:pPr>
      <w:r>
        <w:rPr>
          <w:rFonts w:cs="Arial" w:ascii="Arial" w:hAnsi="Arial"/>
          <w:color w:val="000000"/>
          <w:sz w:val="22"/>
          <w:szCs w:val="22"/>
        </w:rPr>
        <w:t>5.3.4.</w:t>
      </w:r>
      <w:r>
        <w:rPr>
          <w:rFonts w:cs="Arial" w:ascii="Arial" w:hAnsi="Arial"/>
          <w:b/>
          <w:color w:val="000000"/>
          <w:sz w:val="22"/>
          <w:szCs w:val="22"/>
        </w:rPr>
        <w:t xml:space="preserve"> </w:t>
      </w:r>
      <w:r>
        <w:rPr>
          <w:rFonts w:cs="Arial" w:ascii="Arial" w:hAnsi="Arial"/>
          <w:bCs/>
          <w:color w:val="000000"/>
          <w:sz w:val="22"/>
          <w:szCs w:val="22"/>
        </w:rPr>
        <w:t>Após</w:t>
      </w:r>
      <w:r>
        <w:rPr>
          <w:rFonts w:cs="Arial" w:ascii="Arial" w:hAnsi="Arial"/>
          <w:color w:val="000000"/>
          <w:sz w:val="22"/>
          <w:szCs w:val="22"/>
        </w:rPr>
        <w:t xml:space="preserve"> o prazo limite para apresentação das propostas, nenhuma outra será recebida, assim como não serão aceitos adendos ou esclarecimentos que não forem explícita e formalmente solicitados pela Comissão de Seleção, sendo que somente serão avaliadas as propostas que forem protocoladas até o prazo limite de envio previsto neste Edital.</w:t>
      </w:r>
    </w:p>
    <w:p>
      <w:pPr>
        <w:pStyle w:val="Standard"/>
        <w:spacing w:lineRule="auto" w:line="360"/>
        <w:jc w:val="both"/>
        <w:rPr>
          <w:rFonts w:ascii="Arial" w:hAnsi="Arial" w:cs="Arial"/>
          <w:sz w:val="22"/>
          <w:szCs w:val="22"/>
        </w:rPr>
      </w:pPr>
      <w:r>
        <w:rPr>
          <w:rFonts w:cs="Arial" w:ascii="Arial" w:hAnsi="Arial"/>
          <w:color w:val="000000"/>
          <w:sz w:val="22"/>
          <w:szCs w:val="22"/>
        </w:rPr>
        <w:t>5.3.5.</w:t>
      </w:r>
      <w:r>
        <w:rPr>
          <w:rFonts w:cs="Arial" w:ascii="Arial" w:hAnsi="Arial"/>
          <w:b/>
          <w:color w:val="000000"/>
          <w:sz w:val="22"/>
          <w:szCs w:val="22"/>
        </w:rPr>
        <w:t xml:space="preserve"> </w:t>
      </w:r>
      <w:r>
        <w:rPr>
          <w:rFonts w:cs="Arial" w:ascii="Arial" w:hAnsi="Arial"/>
          <w:color w:val="000000"/>
          <w:sz w:val="22"/>
          <w:szCs w:val="22"/>
        </w:rPr>
        <w:t>Cada OSC poderá apresentar apenas uma proposta. Entretanto, caso uma OSC venha a apresentar mais de uma proposta dentro do prazo, será considerada apenas a última proposta protocolada para análise da Comissão de Seleção.</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5.3.6.</w:t>
        <w:tab/>
        <w:t xml:space="preserve">Observado o disposto no item 5.4.3 deste Edital, as propostas deverão conter, no mínimo, as seguintes informações: </w:t>
      </w:r>
      <w:r>
        <w:rPr>
          <w:rFonts w:cs="Arial" w:ascii="Arial" w:hAnsi="Arial"/>
          <w:color w:val="000000"/>
          <w:sz w:val="22"/>
          <w:szCs w:val="22"/>
          <w:lang w:eastAsia="ar-SA"/>
        </w:rPr>
        <w:t>a.) a descrição da realidade objeto da parceria e o nexo com a atividade proposta; b.) as ações a serem executadas, as metas a serem atingidas e os indicadores que aferirão o cumprimento das metas; c.) os prazos para a execução das ações e para o cumprimento das metas; e, d.)</w:t>
        <w:tab/>
        <w:t>o valor global.</w:t>
      </w:r>
    </w:p>
    <w:p>
      <w:pPr>
        <w:pStyle w:val="Standard"/>
        <w:suppressAutoHyphens w:val="false"/>
        <w:spacing w:lineRule="auto" w:line="360"/>
        <w:jc w:val="both"/>
        <w:rPr>
          <w:rFonts w:ascii="Arial" w:hAnsi="Arial" w:cs="Arial"/>
          <w:sz w:val="22"/>
          <w:szCs w:val="22"/>
        </w:rPr>
      </w:pPr>
      <w:r>
        <w:rPr>
          <w:rFonts w:cs="Arial" w:ascii="Arial" w:hAnsi="Arial"/>
          <w:b/>
          <w:color w:val="000000"/>
          <w:sz w:val="22"/>
          <w:szCs w:val="22"/>
        </w:rPr>
        <w:t>5.4. Etapa 3: Etapa competitiva de avaliação das propostas pela Comissão de Seleção.</w:t>
      </w:r>
    </w:p>
    <w:p>
      <w:pPr>
        <w:pStyle w:val="Standard"/>
        <w:suppressAutoHyphens w:val="false"/>
        <w:spacing w:lineRule="auto" w:line="360"/>
        <w:jc w:val="both"/>
        <w:rPr>
          <w:rFonts w:ascii="Arial" w:hAnsi="Arial" w:cs="Arial"/>
          <w:sz w:val="22"/>
          <w:szCs w:val="22"/>
        </w:rPr>
      </w:pPr>
      <w:r>
        <w:rPr>
          <w:rFonts w:cs="Arial" w:ascii="Arial" w:hAnsi="Arial"/>
          <w:color w:val="000000"/>
          <w:sz w:val="22"/>
          <w:szCs w:val="22"/>
        </w:rPr>
        <w:t>5.4.1.</w:t>
      </w:r>
      <w:r>
        <w:rPr>
          <w:rFonts w:cs="Arial" w:ascii="Arial" w:hAnsi="Arial"/>
          <w:b/>
          <w:color w:val="000000"/>
          <w:sz w:val="22"/>
          <w:szCs w:val="22"/>
        </w:rPr>
        <w:t xml:space="preserve"> </w:t>
      </w:r>
      <w:r>
        <w:rPr>
          <w:rFonts w:cs="Arial" w:ascii="Arial" w:hAnsi="Arial"/>
          <w:color w:val="000000"/>
          <w:sz w:val="22"/>
          <w:szCs w:val="22"/>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5.4.2.</w:t>
      </w:r>
      <w:r>
        <w:rPr>
          <w:rFonts w:cs="Arial" w:ascii="Arial" w:hAnsi="Arial"/>
          <w:b/>
          <w:color w:val="000000"/>
          <w:sz w:val="22"/>
          <w:szCs w:val="22"/>
        </w:rPr>
        <w:t xml:space="preserve"> </w:t>
      </w:r>
      <w:r>
        <w:rPr>
          <w:rFonts w:cs="Arial" w:ascii="Arial" w:hAnsi="Arial"/>
          <w:color w:val="000000"/>
          <w:sz w:val="22"/>
          <w:szCs w:val="22"/>
        </w:rPr>
        <w:t>A Comissão de Seleção terá o prazo de 15 (quinze) dias corridos, a contar do decurso do prazo para apresentação das propostas, para conclusão do julgamento das propostas e divulgação do resultado preliminar do processo de seleção, podendo tal prazo ser prorrogado, de forma devidamente justificada, uma única vez, por mais 15 (quinze) dias corridos.</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 xml:space="preserve">5.4.3. As propostas deverão conter informações que atendam aos critérios de julgamento estabelecidos na </w:t>
      </w:r>
      <w:r>
        <w:rPr>
          <w:rFonts w:cs="Arial" w:ascii="Arial" w:hAnsi="Arial"/>
          <w:b/>
          <w:bCs/>
          <w:color w:val="000000"/>
          <w:sz w:val="22"/>
          <w:szCs w:val="22"/>
          <w:u w:val="single"/>
        </w:rPr>
        <w:t>TABELA 2</w:t>
      </w:r>
      <w:r>
        <w:rPr>
          <w:rFonts w:cs="Arial" w:ascii="Arial" w:hAnsi="Arial"/>
          <w:color w:val="000000"/>
          <w:sz w:val="22"/>
          <w:szCs w:val="22"/>
        </w:rPr>
        <w:t xml:space="preserve"> abaixo, observado, ainda, o contido no </w:t>
      </w:r>
      <w:r>
        <w:rPr>
          <w:rFonts w:cs="Arial" w:ascii="Arial" w:hAnsi="Arial"/>
          <w:b/>
          <w:bCs/>
          <w:color w:val="000000"/>
          <w:sz w:val="22"/>
          <w:szCs w:val="22"/>
        </w:rPr>
        <w:t>Anexo V – Diretrizes para Elaboração da Proposta e do Plano de Trabalho.</w:t>
      </w:r>
    </w:p>
    <w:p>
      <w:pPr>
        <w:pStyle w:val="Standard"/>
        <w:tabs>
          <w:tab w:val="clear" w:pos="709"/>
          <w:tab w:val="left" w:pos="567" w:leader="none"/>
        </w:tabs>
        <w:suppressAutoHyphens w:val="false"/>
        <w:spacing w:lineRule="auto" w:line="360"/>
        <w:jc w:val="both"/>
        <w:rPr>
          <w:rFonts w:ascii="Arial" w:hAnsi="Arial" w:cs="Arial"/>
          <w:color w:val="000000"/>
          <w:sz w:val="22"/>
          <w:szCs w:val="22"/>
        </w:rPr>
      </w:pPr>
      <w:r>
        <w:rPr>
          <w:rFonts w:cs="Arial" w:ascii="Arial" w:hAnsi="Arial"/>
          <w:color w:val="000000"/>
          <w:sz w:val="22"/>
          <w:szCs w:val="22"/>
        </w:rPr>
        <w:t>5.4.4.</w:t>
      </w:r>
      <w:r>
        <w:rPr>
          <w:rFonts w:cs="Arial" w:ascii="Arial" w:hAnsi="Arial"/>
          <w:b/>
          <w:color w:val="000000"/>
          <w:sz w:val="22"/>
          <w:szCs w:val="22"/>
        </w:rPr>
        <w:t xml:space="preserve"> </w:t>
      </w:r>
      <w:r>
        <w:rPr>
          <w:rFonts w:cs="Arial" w:ascii="Arial" w:hAnsi="Arial"/>
          <w:color w:val="000000"/>
          <w:sz w:val="22"/>
          <w:szCs w:val="22"/>
        </w:rPr>
        <w:t xml:space="preserve">A avaliação individualizada e a pontuação serão feitas com base nos critérios de julgamento apresentados na </w:t>
      </w:r>
      <w:r>
        <w:rPr>
          <w:rFonts w:cs="Arial" w:ascii="Arial" w:hAnsi="Arial"/>
          <w:b/>
          <w:bCs/>
          <w:color w:val="000000"/>
          <w:sz w:val="22"/>
          <w:szCs w:val="22"/>
          <w:u w:val="single"/>
        </w:rPr>
        <w:t>TABELA 2</w:t>
      </w:r>
      <w:r>
        <w:rPr>
          <w:rFonts w:cs="Arial" w:ascii="Arial" w:hAnsi="Arial"/>
          <w:b/>
          <w:bCs/>
          <w:color w:val="000000"/>
          <w:sz w:val="22"/>
          <w:szCs w:val="22"/>
        </w:rPr>
        <w:t xml:space="preserve"> </w:t>
      </w:r>
      <w:r>
        <w:rPr>
          <w:rFonts w:cs="Arial" w:ascii="Arial" w:hAnsi="Arial"/>
          <w:color w:val="000000"/>
          <w:sz w:val="22"/>
          <w:szCs w:val="22"/>
        </w:rPr>
        <w:t xml:space="preserve">abaixo, conforme modelo </w:t>
      </w:r>
      <w:r>
        <w:rPr>
          <w:rFonts w:cs="Arial" w:ascii="Arial" w:hAnsi="Arial"/>
          <w:b/>
          <w:bCs/>
          <w:color w:val="000000"/>
          <w:sz w:val="22"/>
          <w:szCs w:val="22"/>
        </w:rPr>
        <w:t>Anexo VI – Ficha para Atribuição de Notas pela Comissão de Seleção</w:t>
      </w:r>
      <w:r>
        <w:rPr>
          <w:rFonts w:cs="Arial" w:ascii="Arial" w:hAnsi="Arial"/>
          <w:color w:val="000000"/>
          <w:sz w:val="22"/>
          <w:szCs w:val="22"/>
        </w:rPr>
        <w:t>:</w:t>
      </w:r>
    </w:p>
    <w:p>
      <w:pPr>
        <w:pStyle w:val="Standard"/>
        <w:tabs>
          <w:tab w:val="clear" w:pos="709"/>
          <w:tab w:val="left" w:pos="567" w:leader="none"/>
        </w:tabs>
        <w:suppressAutoHyphens w:val="false"/>
        <w:spacing w:lineRule="auto" w:line="360"/>
        <w:jc w:val="both"/>
        <w:rPr>
          <w:rFonts w:ascii="Arial" w:hAnsi="Arial" w:cs="Arial"/>
          <w:color w:val="000000"/>
          <w:sz w:val="18"/>
          <w:szCs w:val="18"/>
        </w:rPr>
      </w:pPr>
      <w:r>
        <w:rPr>
          <w:rFonts w:cs="Arial" w:ascii="Arial" w:hAnsi="Arial"/>
          <w:color w:val="000000"/>
          <w:sz w:val="18"/>
          <w:szCs w:val="18"/>
        </w:rPr>
      </w:r>
    </w:p>
    <w:tbl>
      <w:tblPr>
        <w:tblW w:w="1060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3565"/>
        <w:gridCol w:w="5103"/>
        <w:gridCol w:w="1933"/>
      </w:tblGrid>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jc w:val="center"/>
              <w:rPr>
                <w:rFonts w:ascii="Arial" w:hAnsi="Arial"/>
                <w:b/>
                <w:color w:val="000000"/>
                <w:sz w:val="18"/>
                <w:szCs w:val="18"/>
              </w:rPr>
            </w:pPr>
            <w:r>
              <w:rPr>
                <w:rFonts w:ascii="Arial" w:hAnsi="Arial"/>
                <w:b/>
                <w:color w:val="000000"/>
                <w:sz w:val="18"/>
                <w:szCs w:val="18"/>
              </w:rPr>
              <w:t>CRITÉRIOS DE</w:t>
            </w:r>
          </w:p>
          <w:p>
            <w:pPr>
              <w:pStyle w:val="Standard2"/>
              <w:snapToGrid w:val="false"/>
              <w:jc w:val="center"/>
              <w:rPr>
                <w:rFonts w:ascii="Arial" w:hAnsi="Arial"/>
                <w:b/>
                <w:color w:val="000000"/>
                <w:sz w:val="18"/>
                <w:szCs w:val="18"/>
              </w:rPr>
            </w:pPr>
            <w:r>
              <w:rPr>
                <w:rFonts w:ascii="Arial" w:hAnsi="Arial"/>
                <w:b/>
                <w:color w:val="000000"/>
                <w:sz w:val="18"/>
                <w:szCs w:val="18"/>
              </w:rPr>
              <w:t>JULGAMENTO</w:t>
            </w:r>
          </w:p>
        </w:tc>
        <w:tc>
          <w:tcPr>
            <w:tcW w:w="5103" w:type="dxa"/>
            <w:tcBorders>
              <w:top w:val="single" w:sz="4" w:space="0" w:color="000001"/>
              <w:left w:val="single" w:sz="4" w:space="0" w:color="000001"/>
              <w:bottom w:val="single" w:sz="4" w:space="0" w:color="000001"/>
            </w:tcBorders>
            <w:shd w:color="auto" w:fill="CCCCCC" w:val="clear"/>
            <w:vAlign w:val="center"/>
          </w:tcPr>
          <w:p>
            <w:pPr>
              <w:pStyle w:val="Standard2"/>
              <w:snapToGrid w:val="false"/>
              <w:jc w:val="center"/>
              <w:rPr>
                <w:rFonts w:ascii="Arial" w:hAnsi="Arial"/>
                <w:b/>
                <w:color w:val="000000"/>
                <w:sz w:val="18"/>
                <w:szCs w:val="18"/>
              </w:rPr>
            </w:pPr>
            <w:r>
              <w:rPr>
                <w:rFonts w:ascii="Arial" w:hAnsi="Arial"/>
                <w:b/>
                <w:color w:val="000000"/>
                <w:sz w:val="18"/>
                <w:szCs w:val="18"/>
              </w:rPr>
              <w:t>METODOLOGIA DE PONTUAÇÃO</w:t>
            </w:r>
          </w:p>
        </w:tc>
        <w:tc>
          <w:tcPr>
            <w:tcW w:w="1933"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2"/>
              <w:snapToGrid w:val="false"/>
              <w:jc w:val="center"/>
              <w:rPr>
                <w:rFonts w:ascii="Arial" w:hAnsi="Arial"/>
                <w:b/>
                <w:color w:val="000000"/>
                <w:sz w:val="18"/>
                <w:szCs w:val="18"/>
              </w:rPr>
            </w:pPr>
            <w:r>
              <w:rPr>
                <w:rFonts w:ascii="Arial" w:hAnsi="Arial"/>
                <w:b/>
                <w:color w:val="000000"/>
                <w:sz w:val="18"/>
                <w:szCs w:val="18"/>
              </w:rPr>
              <w:t>PONTUAÇÃO MÁXIMA POR ITEM</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ind w:left="142" w:right="180"/>
              <w:jc w:val="center"/>
              <w:rPr>
                <w:rFonts w:ascii="Arial" w:hAnsi="Arial"/>
                <w:color w:val="000000"/>
                <w:sz w:val="18"/>
                <w:szCs w:val="18"/>
              </w:rPr>
            </w:pPr>
            <w:r>
              <w:rPr>
                <w:rFonts w:ascii="Arial" w:hAnsi="Arial"/>
                <w:color w:val="000000"/>
                <w:sz w:val="18"/>
                <w:szCs w:val="18"/>
              </w:rPr>
              <w:t>(A) Informações sobre ações a serem executadas, metas a serem atingidas, indicadores que aferirão o cumprimento das metas e prazos para a execução das ações e para o cumprimento das metas</w:t>
            </w:r>
          </w:p>
        </w:tc>
        <w:tc>
          <w:tcPr>
            <w:tcW w:w="5103" w:type="dxa"/>
            <w:tcBorders>
              <w:top w:val="single" w:sz="4" w:space="0" w:color="000001"/>
              <w:left w:val="single" w:sz="4" w:space="0" w:color="000001"/>
              <w:bottom w:val="single" w:sz="4" w:space="0" w:color="000001"/>
            </w:tcBorders>
            <w:vAlign w:val="center"/>
          </w:tcPr>
          <w:p>
            <w:pPr>
              <w:pStyle w:val="Standard2"/>
              <w:snapToGrid w:val="false"/>
              <w:ind w:left="52" w:right="141"/>
              <w:jc w:val="center"/>
              <w:rPr>
                <w:rFonts w:ascii="Arial" w:hAnsi="Arial"/>
                <w:color w:val="000000"/>
                <w:sz w:val="18"/>
                <w:szCs w:val="18"/>
              </w:rPr>
            </w:pPr>
            <w:r>
              <w:rPr>
                <w:rFonts w:ascii="Arial" w:hAnsi="Arial"/>
                <w:color w:val="000000"/>
                <w:sz w:val="18"/>
                <w:szCs w:val="18"/>
              </w:rPr>
            </w:r>
          </w:p>
          <w:p>
            <w:pPr>
              <w:pStyle w:val="Standard2"/>
              <w:snapToGrid w:val="false"/>
              <w:ind w:left="52" w:right="141"/>
              <w:jc w:val="center"/>
              <w:rPr>
                <w:rFonts w:ascii="Arial" w:hAnsi="Arial"/>
                <w:color w:val="000000"/>
                <w:sz w:val="18"/>
                <w:szCs w:val="18"/>
              </w:rPr>
            </w:pPr>
            <w:r>
              <w:rPr>
                <w:rFonts w:ascii="Arial" w:hAnsi="Arial"/>
                <w:color w:val="000000"/>
                <w:sz w:val="18"/>
                <w:szCs w:val="18"/>
              </w:rPr>
              <w:t>- Grau pleno de atendimento (4,0 pontos)</w:t>
            </w:r>
          </w:p>
          <w:p>
            <w:pPr>
              <w:pStyle w:val="Standard2"/>
              <w:snapToGrid w:val="false"/>
              <w:ind w:left="52" w:right="141"/>
              <w:jc w:val="center"/>
              <w:rPr>
                <w:rFonts w:ascii="Arial" w:hAnsi="Arial"/>
                <w:color w:val="000000"/>
                <w:sz w:val="18"/>
                <w:szCs w:val="18"/>
              </w:rPr>
            </w:pPr>
            <w:r>
              <w:rPr>
                <w:rFonts w:ascii="Arial" w:hAnsi="Arial"/>
                <w:color w:val="000000"/>
                <w:sz w:val="18"/>
                <w:szCs w:val="18"/>
              </w:rPr>
              <w:t>- Grau satisfatório de atendimento (2,0 pontos)</w:t>
            </w:r>
          </w:p>
          <w:p>
            <w:pPr>
              <w:pStyle w:val="Standard2"/>
              <w:snapToGrid w:val="false"/>
              <w:ind w:left="52" w:right="141"/>
              <w:jc w:val="center"/>
              <w:rPr>
                <w:rFonts w:ascii="Arial" w:hAnsi="Arial"/>
                <w:color w:val="000000"/>
                <w:sz w:val="18"/>
                <w:szCs w:val="18"/>
              </w:rPr>
            </w:pPr>
            <w:r>
              <w:rPr>
                <w:rFonts w:ascii="Arial" w:hAnsi="Arial"/>
                <w:color w:val="000000"/>
                <w:sz w:val="18"/>
                <w:szCs w:val="18"/>
              </w:rPr>
              <w:t>- O não atendimento ou o atendimento insatisfatório (0,0)</w:t>
            </w:r>
          </w:p>
          <w:p>
            <w:pPr>
              <w:pStyle w:val="Standard2"/>
              <w:snapToGrid w:val="false"/>
              <w:ind w:left="52" w:right="141"/>
              <w:jc w:val="center"/>
              <w:rPr>
                <w:rFonts w:ascii="Arial" w:hAnsi="Arial"/>
                <w:color w:val="000000"/>
                <w:sz w:val="18"/>
                <w:szCs w:val="18"/>
              </w:rPr>
            </w:pPr>
            <w:r>
              <w:rPr>
                <w:rFonts w:ascii="Arial" w:hAnsi="Arial"/>
                <w:color w:val="000000"/>
                <w:sz w:val="18"/>
                <w:szCs w:val="18"/>
              </w:rPr>
            </w:r>
          </w:p>
          <w:p>
            <w:pPr>
              <w:pStyle w:val="Standard2"/>
              <w:snapToGrid w:val="false"/>
              <w:ind w:left="52" w:right="141"/>
              <w:jc w:val="both"/>
              <w:rPr>
                <w:rFonts w:ascii="Arial" w:hAnsi="Arial"/>
                <w:color w:val="000000"/>
                <w:sz w:val="18"/>
                <w:szCs w:val="18"/>
              </w:rPr>
            </w:pPr>
            <w:r>
              <w:rPr>
                <w:rFonts w:ascii="Arial" w:hAnsi="Arial"/>
                <w:color w:val="000000"/>
                <w:sz w:val="18"/>
                <w:szCs w:val="18"/>
              </w:rPr>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ind w:right="141"/>
              <w:jc w:val="center"/>
              <w:rPr>
                <w:rFonts w:ascii="Arial" w:hAnsi="Arial"/>
                <w:b/>
                <w:bCs/>
                <w:color w:val="000000"/>
                <w:sz w:val="18"/>
                <w:szCs w:val="18"/>
              </w:rPr>
            </w:pPr>
            <w:r>
              <w:rPr>
                <w:rFonts w:ascii="Arial" w:hAnsi="Arial"/>
                <w:b/>
                <w:bCs/>
                <w:color w:val="000000"/>
                <w:sz w:val="18"/>
                <w:szCs w:val="18"/>
              </w:rPr>
              <w:t>4,0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ind w:left="142" w:right="180"/>
              <w:jc w:val="center"/>
              <w:rPr>
                <w:rFonts w:ascii="Arial" w:hAnsi="Arial"/>
                <w:color w:val="000000"/>
                <w:sz w:val="18"/>
                <w:szCs w:val="18"/>
              </w:rPr>
            </w:pPr>
            <w:r>
              <w:rPr>
                <w:rFonts w:ascii="Arial" w:hAnsi="Arial"/>
                <w:color w:val="000000"/>
                <w:sz w:val="18"/>
                <w:szCs w:val="18"/>
              </w:rPr>
              <w:t>(B) Adequação da proposta aos objetivos da ação em que se insere a parceria</w:t>
            </w:r>
          </w:p>
        </w:tc>
        <w:tc>
          <w:tcPr>
            <w:tcW w:w="5103" w:type="dxa"/>
            <w:tcBorders>
              <w:top w:val="single" w:sz="4" w:space="0" w:color="000001"/>
              <w:left w:val="single" w:sz="4" w:space="0" w:color="000001"/>
              <w:bottom w:val="single" w:sz="4" w:space="0" w:color="000001"/>
            </w:tcBorders>
            <w:vAlign w:val="center"/>
          </w:tcPr>
          <w:p>
            <w:pPr>
              <w:pStyle w:val="Standard2"/>
              <w:snapToGrid w:val="false"/>
              <w:ind w:left="52" w:right="141"/>
              <w:jc w:val="center"/>
              <w:rPr>
                <w:rFonts w:ascii="Arial" w:hAnsi="Arial"/>
                <w:color w:val="000000"/>
                <w:sz w:val="18"/>
                <w:szCs w:val="18"/>
              </w:rPr>
            </w:pPr>
            <w:r>
              <w:rPr>
                <w:rFonts w:ascii="Arial" w:hAnsi="Arial"/>
                <w:color w:val="000000"/>
                <w:sz w:val="18"/>
                <w:szCs w:val="18"/>
              </w:rPr>
              <w:t>- Grau pleno de adequação (2,0)</w:t>
            </w:r>
          </w:p>
          <w:p>
            <w:pPr>
              <w:pStyle w:val="Standard2"/>
              <w:snapToGrid w:val="false"/>
              <w:ind w:left="52" w:right="141"/>
              <w:jc w:val="center"/>
              <w:rPr>
                <w:rFonts w:ascii="Arial" w:hAnsi="Arial"/>
                <w:color w:val="000000"/>
                <w:sz w:val="18"/>
                <w:szCs w:val="18"/>
              </w:rPr>
            </w:pPr>
            <w:r>
              <w:rPr>
                <w:rFonts w:ascii="Arial" w:hAnsi="Arial"/>
                <w:color w:val="000000"/>
                <w:sz w:val="18"/>
                <w:szCs w:val="18"/>
              </w:rPr>
              <w:t>- Grau satisfatório de adequação (1,0)</w:t>
            </w:r>
          </w:p>
          <w:p>
            <w:pPr>
              <w:pStyle w:val="Standard2"/>
              <w:snapToGrid w:val="false"/>
              <w:ind w:left="52" w:right="141"/>
              <w:jc w:val="center"/>
              <w:rPr>
                <w:rFonts w:ascii="Arial" w:hAnsi="Arial"/>
                <w:color w:val="000000"/>
                <w:sz w:val="18"/>
                <w:szCs w:val="18"/>
              </w:rPr>
            </w:pPr>
            <w:r>
              <w:rPr>
                <w:rFonts w:ascii="Arial" w:hAnsi="Arial"/>
                <w:color w:val="000000"/>
                <w:sz w:val="18"/>
                <w:szCs w:val="18"/>
              </w:rPr>
              <w:t>- O não atendimento ou o atendimento insatisfatório do requisito de adequação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ind w:right="141"/>
              <w:jc w:val="center"/>
              <w:rPr>
                <w:rFonts w:ascii="Arial" w:hAnsi="Arial"/>
                <w:b/>
                <w:bCs/>
                <w:color w:val="000000"/>
                <w:sz w:val="18"/>
                <w:szCs w:val="18"/>
              </w:rPr>
            </w:pPr>
            <w:r>
              <w:rPr>
                <w:rFonts w:ascii="Arial" w:hAnsi="Arial"/>
                <w:b/>
                <w:bCs/>
                <w:color w:val="000000"/>
                <w:sz w:val="18"/>
                <w:szCs w:val="18"/>
              </w:rPr>
              <w:t>2,0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ind w:left="142"/>
              <w:jc w:val="center"/>
              <w:rPr>
                <w:rFonts w:ascii="Arial" w:hAnsi="Arial"/>
                <w:color w:val="000000"/>
                <w:sz w:val="18"/>
                <w:szCs w:val="18"/>
              </w:rPr>
            </w:pPr>
            <w:r>
              <w:rPr>
                <w:rFonts w:ascii="Arial" w:hAnsi="Arial"/>
                <w:color w:val="000000"/>
                <w:sz w:val="18"/>
                <w:szCs w:val="18"/>
              </w:rPr>
              <w:t>(C) Descrição da realidade objeto da parceria e do nexo entre essa realidade e a atividade proposta</w:t>
            </w:r>
          </w:p>
        </w:tc>
        <w:tc>
          <w:tcPr>
            <w:tcW w:w="5103" w:type="dxa"/>
            <w:tcBorders>
              <w:top w:val="single" w:sz="4" w:space="0" w:color="000001"/>
              <w:left w:val="single" w:sz="4" w:space="0" w:color="000001"/>
              <w:bottom w:val="single" w:sz="4" w:space="0" w:color="000001"/>
            </w:tcBorders>
            <w:vAlign w:val="center"/>
          </w:tcPr>
          <w:p>
            <w:pPr>
              <w:pStyle w:val="Standard2"/>
              <w:snapToGrid w:val="false"/>
              <w:ind w:left="52" w:right="141"/>
              <w:jc w:val="center"/>
              <w:rPr>
                <w:rFonts w:ascii="Arial" w:hAnsi="Arial"/>
                <w:color w:val="000000"/>
                <w:sz w:val="18"/>
                <w:szCs w:val="18"/>
              </w:rPr>
            </w:pPr>
            <w:r>
              <w:rPr>
                <w:rFonts w:ascii="Arial" w:hAnsi="Arial"/>
                <w:color w:val="000000"/>
                <w:sz w:val="18"/>
                <w:szCs w:val="18"/>
              </w:rPr>
              <w:t>- Grau pleno da descrição (1,0)</w:t>
            </w:r>
          </w:p>
          <w:p>
            <w:pPr>
              <w:pStyle w:val="Standard2"/>
              <w:snapToGrid w:val="false"/>
              <w:ind w:left="52" w:right="141"/>
              <w:jc w:val="center"/>
              <w:rPr>
                <w:rFonts w:ascii="Arial" w:hAnsi="Arial"/>
                <w:color w:val="000000"/>
                <w:sz w:val="18"/>
                <w:szCs w:val="18"/>
              </w:rPr>
            </w:pPr>
            <w:r>
              <w:rPr>
                <w:rFonts w:ascii="Arial" w:hAnsi="Arial"/>
                <w:color w:val="000000"/>
                <w:sz w:val="18"/>
                <w:szCs w:val="18"/>
              </w:rPr>
              <w:t>- Grau satisfatório da descrição (0,5)</w:t>
            </w:r>
          </w:p>
          <w:p>
            <w:pPr>
              <w:pStyle w:val="Standard2"/>
              <w:snapToGrid w:val="false"/>
              <w:ind w:left="52" w:right="141"/>
              <w:jc w:val="center"/>
              <w:rPr>
                <w:rFonts w:ascii="Arial" w:hAnsi="Arial"/>
                <w:color w:val="000000"/>
                <w:sz w:val="18"/>
                <w:szCs w:val="18"/>
              </w:rPr>
            </w:pPr>
            <w:r>
              <w:rPr>
                <w:rFonts w:ascii="Arial" w:hAnsi="Arial"/>
                <w:color w:val="000000"/>
                <w:sz w:val="18"/>
                <w:szCs w:val="18"/>
              </w:rPr>
              <w:t>- O não atendimento ou o atendimento insatisfatório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ind w:right="141"/>
              <w:jc w:val="center"/>
              <w:rPr>
                <w:rFonts w:ascii="Arial" w:hAnsi="Arial"/>
                <w:b/>
                <w:bCs/>
                <w:color w:val="000000"/>
                <w:sz w:val="18"/>
                <w:szCs w:val="18"/>
              </w:rPr>
            </w:pPr>
            <w:r>
              <w:rPr>
                <w:rFonts w:ascii="Arial" w:hAnsi="Arial"/>
                <w:b/>
                <w:bCs/>
                <w:color w:val="000000"/>
                <w:sz w:val="18"/>
                <w:szCs w:val="18"/>
              </w:rPr>
              <w:t>1,0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ind w:left="142" w:right="180"/>
              <w:jc w:val="center"/>
              <w:rPr>
                <w:rFonts w:ascii="Arial" w:hAnsi="Arial"/>
                <w:b/>
                <w:bCs/>
                <w:color w:val="000000"/>
                <w:sz w:val="18"/>
                <w:szCs w:val="18"/>
              </w:rPr>
            </w:pPr>
            <w:r>
              <w:rPr>
                <w:rFonts w:ascii="Arial" w:hAnsi="Arial"/>
                <w:b/>
                <w:bCs/>
                <w:color w:val="000000"/>
                <w:sz w:val="18"/>
                <w:szCs w:val="18"/>
              </w:rPr>
            </w:r>
          </w:p>
          <w:p>
            <w:pPr>
              <w:pStyle w:val="Standard2"/>
              <w:snapToGrid w:val="false"/>
              <w:ind w:left="142" w:right="180"/>
              <w:jc w:val="center"/>
              <w:rPr>
                <w:rFonts w:ascii="Arial" w:hAnsi="Arial"/>
                <w:color w:val="000000"/>
                <w:sz w:val="18"/>
                <w:szCs w:val="18"/>
              </w:rPr>
            </w:pPr>
            <w:r>
              <w:rPr>
                <w:rFonts w:ascii="Arial" w:hAnsi="Arial"/>
                <w:color w:val="000000"/>
                <w:sz w:val="18"/>
                <w:szCs w:val="18"/>
              </w:rPr>
              <w:t>(D) Adequação da proposta ao valor total de recursos disponibilizados para a celebração da parceria constante do Edital, com menção expressa ao valor global da proposta</w:t>
            </w:r>
          </w:p>
        </w:tc>
        <w:tc>
          <w:tcPr>
            <w:tcW w:w="5103" w:type="dxa"/>
            <w:tcBorders>
              <w:top w:val="single" w:sz="4" w:space="0" w:color="000001"/>
              <w:left w:val="single" w:sz="4" w:space="0" w:color="000001"/>
              <w:bottom w:val="single" w:sz="4" w:space="0" w:color="000001"/>
            </w:tcBorders>
            <w:vAlign w:val="center"/>
          </w:tcPr>
          <w:p>
            <w:pPr>
              <w:pStyle w:val="Standard2"/>
              <w:snapToGrid w:val="false"/>
              <w:ind w:left="52" w:right="141"/>
              <w:jc w:val="center"/>
              <w:rPr>
                <w:rFonts w:ascii="Arial" w:hAnsi="Arial"/>
                <w:color w:val="000000"/>
                <w:sz w:val="18"/>
                <w:szCs w:val="18"/>
              </w:rPr>
            </w:pPr>
            <w:r>
              <w:rPr>
                <w:rFonts w:ascii="Arial" w:hAnsi="Arial"/>
                <w:color w:val="000000"/>
                <w:sz w:val="18"/>
                <w:szCs w:val="18"/>
              </w:rPr>
              <w:t>- O valor global proposto é, pelo menos, 10% (dez por cento) mais baixo do que o valor total de recursos disponibilizados para a celebração da parceria (1,0)</w:t>
            </w:r>
          </w:p>
          <w:p>
            <w:pPr>
              <w:pStyle w:val="Standard2"/>
              <w:snapToGrid w:val="false"/>
              <w:ind w:left="52" w:right="141"/>
              <w:jc w:val="center"/>
              <w:rPr>
                <w:rFonts w:ascii="Arial" w:hAnsi="Arial"/>
                <w:color w:val="000000"/>
                <w:sz w:val="18"/>
                <w:szCs w:val="18"/>
              </w:rPr>
            </w:pPr>
            <w:r>
              <w:rPr>
                <w:rFonts w:ascii="Arial" w:hAnsi="Arial"/>
                <w:color w:val="000000"/>
                <w:sz w:val="18"/>
                <w:szCs w:val="18"/>
              </w:rPr>
              <w:t>- O valor global proposto é igual ou até 10% (dez por cento), exclusive, mais baixo do que o valor total de recursos disponibilizados para a celebração da parceria (0,5)</w:t>
            </w:r>
          </w:p>
          <w:p>
            <w:pPr>
              <w:pStyle w:val="Standard2"/>
              <w:snapToGrid w:val="false"/>
              <w:ind w:left="52" w:right="141"/>
              <w:jc w:val="center"/>
              <w:rPr>
                <w:rFonts w:ascii="Arial" w:hAnsi="Arial"/>
                <w:sz w:val="18"/>
                <w:szCs w:val="18"/>
              </w:rPr>
            </w:pPr>
            <w:r>
              <w:rPr>
                <w:rFonts w:ascii="Arial" w:hAnsi="Arial"/>
                <w:color w:val="000000"/>
                <w:sz w:val="18"/>
                <w:szCs w:val="18"/>
              </w:rPr>
              <w:t xml:space="preserve"> </w:t>
            </w:r>
            <w:r>
              <w:rPr>
                <w:rFonts w:ascii="Arial" w:hAnsi="Arial"/>
                <w:color w:val="000000"/>
                <w:sz w:val="18"/>
                <w:szCs w:val="18"/>
              </w:rPr>
              <w:t>- O valor global proposto é superior ao valor total de recursos disponibilizados para a celebração da parceria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ind w:right="141"/>
              <w:jc w:val="center"/>
              <w:rPr>
                <w:rFonts w:ascii="Arial" w:hAnsi="Arial"/>
                <w:b/>
                <w:bCs/>
                <w:color w:val="000000"/>
                <w:sz w:val="18"/>
                <w:szCs w:val="18"/>
              </w:rPr>
            </w:pPr>
            <w:r>
              <w:rPr>
                <w:rFonts w:ascii="Arial" w:hAnsi="Arial"/>
                <w:b/>
                <w:bCs/>
                <w:color w:val="000000"/>
                <w:sz w:val="18"/>
                <w:szCs w:val="18"/>
              </w:rPr>
              <w:t>1,0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ind w:left="142" w:right="180"/>
              <w:jc w:val="center"/>
              <w:rPr>
                <w:rFonts w:ascii="Arial" w:hAnsi="Arial"/>
                <w:color w:val="000000"/>
                <w:sz w:val="18"/>
                <w:szCs w:val="18"/>
              </w:rPr>
            </w:pPr>
            <w:r>
              <w:rPr>
                <w:rFonts w:ascii="Arial" w:hAnsi="Arial"/>
                <w:color w:val="000000"/>
                <w:sz w:val="18"/>
                <w:szCs w:val="18"/>
              </w:rPr>
              <w:t>(E) Capacidade técnico-operacional da instituição proponente, por meio de experiência comprovada no portfólio de realizações na gestão de atividades relacionadas ao objeto da parceria ou de natureza semelhante</w:t>
            </w:r>
          </w:p>
        </w:tc>
        <w:tc>
          <w:tcPr>
            <w:tcW w:w="5103" w:type="dxa"/>
            <w:tcBorders>
              <w:top w:val="single" w:sz="4" w:space="0" w:color="000001"/>
              <w:left w:val="single" w:sz="4" w:space="0" w:color="000001"/>
              <w:bottom w:val="single" w:sz="4" w:space="0" w:color="000001"/>
            </w:tcBorders>
            <w:vAlign w:val="center"/>
          </w:tcPr>
          <w:p>
            <w:pPr>
              <w:pStyle w:val="Standard2"/>
              <w:snapToGrid w:val="false"/>
              <w:ind w:left="52" w:right="141"/>
              <w:jc w:val="center"/>
              <w:rPr>
                <w:rFonts w:ascii="Arial" w:hAnsi="Arial"/>
                <w:color w:val="000000"/>
                <w:sz w:val="18"/>
                <w:szCs w:val="18"/>
              </w:rPr>
            </w:pPr>
            <w:r>
              <w:rPr>
                <w:rFonts w:ascii="Arial" w:hAnsi="Arial"/>
                <w:color w:val="000000"/>
                <w:sz w:val="18"/>
                <w:szCs w:val="18"/>
              </w:rPr>
              <w:t>- Grau pleno de capacidade técnico-operacional (2,0)</w:t>
            </w:r>
          </w:p>
          <w:p>
            <w:pPr>
              <w:pStyle w:val="Standard2"/>
              <w:snapToGrid w:val="false"/>
              <w:ind w:left="52" w:right="141"/>
              <w:jc w:val="center"/>
              <w:rPr>
                <w:rFonts w:ascii="Arial" w:hAnsi="Arial"/>
                <w:color w:val="000000"/>
                <w:sz w:val="18"/>
                <w:szCs w:val="18"/>
              </w:rPr>
            </w:pPr>
            <w:r>
              <w:rPr>
                <w:rFonts w:ascii="Arial" w:hAnsi="Arial"/>
                <w:color w:val="000000"/>
                <w:sz w:val="18"/>
                <w:szCs w:val="18"/>
              </w:rPr>
              <w:t>- Grau satisfatório de capacidade técnico-operacional (1,0)</w:t>
            </w:r>
          </w:p>
          <w:p>
            <w:pPr>
              <w:pStyle w:val="Standard2"/>
              <w:snapToGrid w:val="false"/>
              <w:ind w:left="52" w:right="141"/>
              <w:jc w:val="center"/>
              <w:rPr>
                <w:rFonts w:ascii="Arial" w:hAnsi="Arial"/>
                <w:color w:val="000000"/>
                <w:sz w:val="18"/>
                <w:szCs w:val="18"/>
              </w:rPr>
            </w:pPr>
            <w:r>
              <w:rPr>
                <w:rFonts w:ascii="Arial" w:hAnsi="Arial"/>
                <w:color w:val="000000"/>
                <w:sz w:val="18"/>
                <w:szCs w:val="18"/>
              </w:rPr>
              <w:t>- O não atendimento ou o atendimento insatisfatório do requisito de capacidade técnico-operacional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ind w:right="141"/>
              <w:jc w:val="center"/>
              <w:rPr>
                <w:rFonts w:ascii="Arial" w:hAnsi="Arial"/>
                <w:b/>
                <w:bCs/>
                <w:color w:val="000000"/>
                <w:sz w:val="18"/>
                <w:szCs w:val="18"/>
              </w:rPr>
            </w:pPr>
            <w:r>
              <w:rPr>
                <w:rFonts w:ascii="Arial" w:hAnsi="Arial"/>
                <w:b/>
                <w:bCs/>
                <w:color w:val="000000"/>
                <w:sz w:val="18"/>
                <w:szCs w:val="18"/>
              </w:rPr>
              <w:t>2,0</w:t>
            </w:r>
          </w:p>
        </w:tc>
      </w:tr>
    </w:tbl>
    <w:p>
      <w:pPr>
        <w:pStyle w:val="Standard"/>
        <w:tabs>
          <w:tab w:val="clear" w:pos="709"/>
          <w:tab w:val="left" w:pos="567" w:leader="none"/>
        </w:tabs>
        <w:suppressAutoHyphens w:val="false"/>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ind w:right="141"/>
        <w:jc w:val="both"/>
        <w:rPr>
          <w:rFonts w:ascii="Arial" w:hAnsi="Arial" w:cs="Arial"/>
          <w:sz w:val="22"/>
          <w:szCs w:val="22"/>
          <w:shd w:fill="FFFFFF" w:val="clear"/>
        </w:rPr>
      </w:pPr>
      <w:r>
        <w:rPr>
          <w:rFonts w:cs="Arial" w:ascii="Arial" w:hAnsi="Arial"/>
          <w:sz w:val="22"/>
          <w:szCs w:val="22"/>
          <w:shd w:fill="FFFFFF" w:val="clear"/>
        </w:rPr>
        <w:t>Obs.: A atribuição de nota “zero” em qualquer um dos critérios IMPLICA NA ELIMINAÇÃO AUTOMÁTICA da proposta da OSC.</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5.4.5. Tendo em vista o disposto no art. 28 da Lei 13.019/2014, para avaliação do Critério de Julgamento (C), a OSC concorrente deverá descrever na sua proposta as experiências anteriores relativas à sua capacidade técnico-operacional. Porém, a sua efetiva comprovação fica diferida para a fase posterior à etapa competitiva de julgamento das propostas, sendo exigível apenas das entidades selecionadas, momento em que ocorrerá a verificação do cumprimento dos requisitos para a celebração da parceria (arts. 33 e 34 da Lei nº 13.019/14) e a não ocorrência de impedimento para a celebração da parceria (art. 39 da Lei nº 13.019/14).</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5.4.6. O proponente deverá descrever minuciosamente as experiências relativas ao critério de julgamento (C), informando as atividades ou projetos desenvolvidos, sua duração, financiadores, local ou abrangência, beneficiários, resultados alcançados, dentre outras informações que julgar relevantes.</w:t>
      </w:r>
    </w:p>
    <w:p>
      <w:pPr>
        <w:pStyle w:val="Normal"/>
        <w:shd w:val="clear" w:color="auto" w:fill="FFFFFF"/>
        <w:suppressAutoHyphens w:val="false"/>
        <w:spacing w:lineRule="auto" w:line="360" w:before="280" w:after="0"/>
        <w:jc w:val="both"/>
        <w:rPr>
          <w:rFonts w:ascii="Arial" w:hAnsi="Arial" w:eastAsia="SimSun" w:cs="Arial"/>
          <w:color w:val="000000"/>
          <w:sz w:val="22"/>
          <w:szCs w:val="22"/>
          <w:lang w:bidi="hi-IN"/>
        </w:rPr>
      </w:pPr>
      <w:r>
        <w:rPr>
          <w:rFonts w:eastAsia="SimSun" w:cs="Arial" w:ascii="Arial" w:hAnsi="Arial"/>
          <w:color w:val="000000"/>
          <w:sz w:val="22"/>
          <w:szCs w:val="22"/>
          <w:lang w:bidi="hi-IN"/>
        </w:rPr>
        <w:t>5.4.7. A falsidade de informações nas propostas acarretará a eliminação automática da OSC respectiva, podendo ensejar, ainda, a aplicação de sanção administrativa contra a instituição proponente e comunicação do fato às autoridades competentes, inclusive para apuração do cometimento de eventual crime.</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5.4.8. Serão eliminadas as propostas:</w:t>
      </w:r>
    </w:p>
    <w:p>
      <w:pPr>
        <w:pStyle w:val="Standard"/>
        <w:numPr>
          <w:ilvl w:val="0"/>
          <w:numId w:val="5"/>
        </w:numPr>
        <w:spacing w:lineRule="auto" w:line="360"/>
        <w:ind w:hanging="360" w:left="720" w:right="141"/>
        <w:jc w:val="both"/>
        <w:rPr>
          <w:rFonts w:ascii="Arial" w:hAnsi="Arial" w:cs="Arial"/>
          <w:sz w:val="22"/>
          <w:szCs w:val="22"/>
          <w:shd w:fill="FFFFFF" w:val="clear"/>
        </w:rPr>
      </w:pPr>
      <w:r>
        <w:rPr>
          <w:rFonts w:cs="Arial" w:ascii="Arial" w:hAnsi="Arial"/>
          <w:sz w:val="22"/>
          <w:szCs w:val="22"/>
          <w:shd w:fill="FFFFFF" w:val="clear"/>
        </w:rPr>
        <w:t>A atribuição de nota “zero” em qualquer um dos critérios IMPLICA NA ELIMINAÇÃO AUTOMÁTICA da proposta da OSC</w:t>
      </w:r>
    </w:p>
    <w:p>
      <w:pPr>
        <w:pStyle w:val="Standard"/>
        <w:numPr>
          <w:ilvl w:val="0"/>
          <w:numId w:val="5"/>
        </w:numPr>
        <w:spacing w:lineRule="auto" w:line="360"/>
        <w:ind w:hanging="360" w:left="720" w:right="141"/>
        <w:jc w:val="both"/>
        <w:rPr>
          <w:rFonts w:ascii="Arial" w:hAnsi="Arial" w:cs="Arial"/>
          <w:color w:val="000000"/>
          <w:sz w:val="22"/>
          <w:szCs w:val="22"/>
        </w:rPr>
      </w:pPr>
      <w:r>
        <w:rPr>
          <w:rFonts w:cs="Arial" w:ascii="Arial" w:hAnsi="Arial"/>
          <w:color w:val="000000"/>
          <w:sz w:val="22"/>
          <w:szCs w:val="22"/>
        </w:rPr>
        <w:t>cuja pontuação total for inferior a 6,0 (seis) pontos;</w:t>
      </w:r>
    </w:p>
    <w:p>
      <w:pPr>
        <w:pStyle w:val="Standard"/>
        <w:numPr>
          <w:ilvl w:val="0"/>
          <w:numId w:val="5"/>
        </w:numPr>
        <w:spacing w:lineRule="auto" w:line="360"/>
        <w:ind w:hanging="360" w:left="720" w:right="141"/>
        <w:jc w:val="both"/>
        <w:rPr>
          <w:rFonts w:ascii="Arial" w:hAnsi="Arial" w:cs="Arial"/>
          <w:color w:val="000000"/>
          <w:sz w:val="22"/>
          <w:szCs w:val="22"/>
        </w:rPr>
      </w:pPr>
      <w:r>
        <w:rPr>
          <w:rFonts w:cs="Arial" w:ascii="Arial" w:hAnsi="Arial"/>
          <w:color w:val="000000"/>
          <w:sz w:val="22"/>
          <w:szCs w:val="22"/>
        </w:rPr>
        <w:t>que não contenham, no mínimo, as seguintes informações: as ações a serem executadas, as metas a serem atingidas e os indicadores que aferirão o cumprimento das metas; os prazos para a execução das ações e para o cumprimento das metas; e, o valor global proposto;</w:t>
      </w:r>
    </w:p>
    <w:p>
      <w:pPr>
        <w:pStyle w:val="Standard"/>
        <w:numPr>
          <w:ilvl w:val="0"/>
          <w:numId w:val="5"/>
        </w:numPr>
        <w:spacing w:lineRule="auto" w:line="360"/>
        <w:ind w:hanging="360" w:left="720" w:right="141"/>
        <w:jc w:val="both"/>
        <w:rPr>
          <w:rFonts w:ascii="Arial" w:hAnsi="Arial" w:cs="Arial"/>
          <w:color w:val="000000"/>
          <w:sz w:val="22"/>
          <w:szCs w:val="22"/>
        </w:rPr>
      </w:pPr>
      <w:r>
        <w:rPr>
          <w:rFonts w:cs="Arial" w:ascii="Arial" w:hAnsi="Arial"/>
          <w:color w:val="000000"/>
          <w:sz w:val="22"/>
          <w:szCs w:val="22"/>
        </w:rPr>
        <w:t>que estejam em desacordo com o Edital e seus anexos;</w:t>
      </w:r>
    </w:p>
    <w:p>
      <w:pPr>
        <w:pStyle w:val="Standard"/>
        <w:numPr>
          <w:ilvl w:val="0"/>
          <w:numId w:val="5"/>
        </w:numPr>
        <w:spacing w:lineRule="auto" w:line="360"/>
        <w:ind w:hanging="360" w:left="720" w:right="141"/>
        <w:jc w:val="both"/>
        <w:rPr>
          <w:rFonts w:ascii="Arial" w:hAnsi="Arial" w:cs="Arial"/>
          <w:color w:val="000000"/>
          <w:sz w:val="22"/>
          <w:szCs w:val="22"/>
        </w:rPr>
      </w:pPr>
      <w:r>
        <w:rPr>
          <w:rFonts w:cs="Arial" w:ascii="Arial" w:hAnsi="Arial"/>
          <w:color w:val="000000"/>
          <w:sz w:val="22"/>
          <w:szCs w:val="22"/>
        </w:rPr>
        <w:t>com valor global superior ao valor total de recursos disponibilizados para a celebração da parceria; ou,</w:t>
      </w:r>
    </w:p>
    <w:p>
      <w:pPr>
        <w:pStyle w:val="Standard"/>
        <w:numPr>
          <w:ilvl w:val="0"/>
          <w:numId w:val="5"/>
        </w:numPr>
        <w:spacing w:lineRule="auto" w:line="360"/>
        <w:ind w:hanging="360" w:left="720" w:right="141"/>
        <w:jc w:val="both"/>
        <w:rPr>
          <w:rFonts w:ascii="Arial" w:hAnsi="Arial" w:cs="Arial"/>
          <w:sz w:val="22"/>
          <w:szCs w:val="22"/>
        </w:rPr>
      </w:pPr>
      <w:r>
        <w:rPr>
          <w:rFonts w:cs="Arial" w:ascii="Arial" w:hAnsi="Arial"/>
          <w:color w:val="000000"/>
          <w:sz w:val="22"/>
          <w:szCs w:val="22"/>
        </w:rPr>
        <w:t>com valor global incompatível (inexequível) com o objeto da parceria, a ser avaliado pela Comissão de Seleção, que atestará a inviabilidade econômica e financeira da proposta, podendo promover eventuais diligências complementares.</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5.4.9. 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5.4.10.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(C), (D), (E), (G) e (F). Caso essas regras não solucionem o empate, será considerada vencedora a entidade com mais tempo de constituição e, em último caso, a questão será decidida por sorteio.</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5.4.11. Será obrigatoriamente justificada a seleção de proposta que não for a mais adequada ao valor total de recursos disponibilizados para a celebração da parceria, conforme critério de Julgamento (D), levando-se em conta a pontuação total obtida e a proporção entre as metas e os resultados previstos em relação ao valor proposto (art. 27, § 5º da Lei nº 13.019/14).</w:t>
      </w:r>
    </w:p>
    <w:p>
      <w:pPr>
        <w:pStyle w:val="Normal"/>
        <w:shd w:val="clear" w:color="auto" w:fill="FFFFFF"/>
        <w:suppressAutoHyphens w:val="false"/>
        <w:spacing w:lineRule="auto" w:line="360" w:before="280" w:after="0"/>
        <w:jc w:val="both"/>
        <w:rPr>
          <w:rFonts w:ascii="Arial" w:hAnsi="Arial" w:cs="Arial"/>
          <w:sz w:val="22"/>
          <w:szCs w:val="22"/>
        </w:rPr>
      </w:pPr>
      <w:r>
        <w:rPr>
          <w:rFonts w:eastAsia="SimSun" w:cs="Arial" w:ascii="Arial" w:hAnsi="Arial"/>
          <w:color w:val="000000"/>
          <w:sz w:val="22"/>
          <w:szCs w:val="22"/>
          <w:lang w:bidi="hi-IN"/>
        </w:rPr>
        <w:t>5.4.12. Após o recebimento e julgamento das propostas, havendo uma única entidade com proposta classificada (não eliminada), caberá à Comissão de Seleção decidir entre considerar fracassado o Chamamento Público, com a sua reabertura do processo de seleção, se o caso, ou, desde que atendidas as demais exigências deste Edital, considerar válida a proposta apresentada, podendo a Administração Pública Municipal dar prosseguimento ao processo de seleção e convocá-la para iniciar o processo de celebração.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b/>
          <w:color w:val="000000"/>
          <w:sz w:val="22"/>
          <w:szCs w:val="22"/>
        </w:rPr>
        <w:t>5.5.</w:t>
      </w:r>
      <w:r>
        <w:rPr>
          <w:rFonts w:cs="Arial" w:ascii="Arial" w:hAnsi="Arial"/>
          <w:color w:val="000000"/>
          <w:sz w:val="22"/>
          <w:szCs w:val="22"/>
        </w:rPr>
        <w:t xml:space="preserve"> </w:t>
      </w:r>
      <w:r>
        <w:rPr>
          <w:rFonts w:cs="Arial" w:ascii="Arial" w:hAnsi="Arial"/>
          <w:b/>
          <w:color w:val="000000"/>
          <w:sz w:val="22"/>
          <w:szCs w:val="22"/>
        </w:rPr>
        <w:t>Etapa 4: Divulgação do resultado preliminar</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 xml:space="preserve">5.5.1. Após o julgamento pela Comissão de Seleção, a Administração Pública Municipal divulgará o resultado preliminar do processo de seleção </w:t>
      </w:r>
      <w:r>
        <w:rPr>
          <w:rFonts w:cs="Arial" w:ascii="Arial" w:hAnsi="Arial"/>
          <w:bCs/>
          <w:color w:val="000000"/>
          <w:sz w:val="22"/>
          <w:szCs w:val="22"/>
        </w:rPr>
        <w:t xml:space="preserve">na </w:t>
      </w:r>
      <w:r>
        <w:rPr>
          <w:rFonts w:cs="Arial" w:ascii="Arial" w:hAnsi="Arial"/>
          <w:color w:val="000000"/>
          <w:sz w:val="22"/>
          <w:szCs w:val="22"/>
        </w:rPr>
        <w:t>página do sítio oficial da Prefeitura do Município de Itatiba (www.itatiba.sp.gov.br), bem como no Diário Oficial do Município de Itatiba, iniciando-se o prazo para interposição de recursos.</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b/>
          <w:color w:val="000000"/>
          <w:sz w:val="22"/>
          <w:szCs w:val="22"/>
        </w:rPr>
        <w:t>5.6. Etapa 5: Interposição de recursos contra o resultado preliminar</w:t>
      </w:r>
    </w:p>
    <w:p>
      <w:pPr>
        <w:pStyle w:val="default1"/>
        <w:widowControl w:val="false"/>
        <w:tabs>
          <w:tab w:val="clear" w:pos="709"/>
          <w:tab w:val="left" w:pos="567" w:leader="none"/>
        </w:tabs>
        <w:spacing w:lineRule="auto" w:line="360" w:before="0" w:after="0"/>
        <w:jc w:val="both"/>
        <w:rPr>
          <w:rFonts w:ascii="Arial" w:hAnsi="Arial" w:cs="Arial"/>
        </w:rPr>
      </w:pPr>
      <w:r>
        <w:rPr>
          <w:rFonts w:cs="Arial" w:ascii="Arial" w:hAnsi="Arial"/>
          <w:color w:val="000000"/>
        </w:rPr>
        <w:t>5.6.1. Os participantes que desejarem recorrer contra o resultado preliminar deverão apresentar recurso administrativo, no prazo de 5 (cinco) dias úteis, contado da publicação da decisão do resultado preliminar, ao colegiado que a proferiu, sob pena de preclusão, sendo que não será conhecido recurso interposto fora do prazo.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5.6.2.</w:t>
      </w:r>
      <w:r>
        <w:rPr>
          <w:rFonts w:cs="Arial" w:ascii="Arial" w:hAnsi="Arial"/>
          <w:b/>
          <w:color w:val="000000"/>
          <w:sz w:val="22"/>
          <w:szCs w:val="22"/>
        </w:rPr>
        <w:t xml:space="preserve"> </w:t>
      </w:r>
      <w:r>
        <w:rPr>
          <w:rFonts w:cs="Arial" w:ascii="Arial" w:hAnsi="Arial"/>
          <w:color w:val="000000"/>
          <w:sz w:val="22"/>
          <w:szCs w:val="22"/>
        </w:rPr>
        <w:t>Os recursos deverão ser apresentados por escrito, em uma única via, e protocolados na Seção de Licitações da Prefeitura do Município de Itatiba, situada à Avenida Luciano Consoline, 600, Jd. de Lucca, nesta cidade, das 09 às 17 horas, de segunda a sexta-feira.</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5.6.3. Interposto eventual recurso, os demais participantes poderão, no prazo de 5 (cinco) dias úteis, contado imediatamente após o encerramento do prazo recursal, independentemente de prévia comunicação, apresentar contrarrazões, se desejarem.</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5.6.4. É assegurado aos participantes obter cópia dos elementos dos autos indispensáveis à defesa de seus interesses, arcando somente com os devidos custos para a extração de cópias.</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b/>
          <w:color w:val="000000"/>
          <w:sz w:val="22"/>
          <w:szCs w:val="22"/>
        </w:rPr>
        <w:t>5.7. Etapa 6: Análise dos recursos pela Comissão de Seleção</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color w:val="000000"/>
          <w:sz w:val="22"/>
          <w:szCs w:val="22"/>
        </w:rPr>
        <w:t>5.7.1.</w:t>
      </w:r>
      <w:r>
        <w:rPr>
          <w:rFonts w:cs="Arial" w:ascii="Arial" w:hAnsi="Arial"/>
          <w:b/>
          <w:color w:val="000000"/>
          <w:sz w:val="22"/>
          <w:szCs w:val="22"/>
        </w:rPr>
        <w:t xml:space="preserve"> </w:t>
      </w:r>
      <w:r>
        <w:rPr>
          <w:rFonts w:cs="Arial" w:ascii="Arial" w:hAnsi="Arial"/>
          <w:color w:val="000000"/>
          <w:sz w:val="22"/>
          <w:szCs w:val="22"/>
        </w:rPr>
        <w:t>Havendo a interposição de recurso, a Comissão de Seleção o analisará.</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color w:val="000000"/>
          <w:sz w:val="22"/>
          <w:szCs w:val="22"/>
        </w:rPr>
        <w:t>5.7.2.</w:t>
      </w:r>
      <w:r>
        <w:rPr>
          <w:rFonts w:cs="Arial" w:ascii="Arial" w:hAnsi="Arial"/>
          <w:b/>
          <w:color w:val="000000"/>
          <w:sz w:val="22"/>
          <w:szCs w:val="22"/>
        </w:rPr>
        <w:t xml:space="preserve"> </w:t>
      </w:r>
      <w:r>
        <w:rPr>
          <w:rFonts w:cs="Arial" w:ascii="Arial" w:hAnsi="Arial"/>
          <w:color w:val="000000"/>
          <w:sz w:val="22"/>
          <w:szCs w:val="22"/>
        </w:rPr>
        <w:t>Recebido o recurso, a Comissão de Seleção poderá reconsiderar sua decisão no prazo de 5 (cinco) dias úteis, contados do fim do prazo para recebimento das contrarrazões, ou, dentro desse mesmo prazo, no caso de não ocorrer a reconsideração, encaminhar o recurso ao Chefe do Poder Executivo, com as informações necessárias à decisão final.</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color w:val="000000"/>
          <w:sz w:val="22"/>
          <w:szCs w:val="22"/>
        </w:rPr>
        <w:t>5.7.3.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5.7.4.</w:t>
      </w:r>
      <w:r>
        <w:rPr>
          <w:rFonts w:cs="Arial" w:ascii="Arial" w:hAnsi="Arial"/>
          <w:b/>
          <w:color w:val="000000"/>
          <w:sz w:val="22"/>
          <w:szCs w:val="22"/>
        </w:rPr>
        <w:t xml:space="preserve"> </w:t>
      </w:r>
      <w:r>
        <w:rPr>
          <w:rFonts w:cs="Arial" w:ascii="Arial" w:hAnsi="Arial"/>
          <w:color w:val="000000"/>
          <w:sz w:val="22"/>
          <w:szCs w:val="22"/>
        </w:rPr>
        <w:t>Na contagem dos prazos, exclui-se o dia do início e inclui-se o do vencimento. Os prazos se iniciam e expiram exclusivamente em dia útil no âmbito do departamento responsável pela condução do processo de seleção (Seção de Licitações).</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5.7.5.</w:t>
      </w:r>
      <w:r>
        <w:rPr>
          <w:rFonts w:cs="Arial" w:ascii="Arial" w:hAnsi="Arial"/>
          <w:b/>
          <w:color w:val="000000"/>
          <w:sz w:val="22"/>
          <w:szCs w:val="22"/>
        </w:rPr>
        <w:t xml:space="preserve"> </w:t>
      </w:r>
      <w:r>
        <w:rPr>
          <w:rFonts w:cs="Arial" w:ascii="Arial" w:hAnsi="Arial"/>
          <w:color w:val="000000"/>
          <w:sz w:val="22"/>
          <w:szCs w:val="22"/>
        </w:rPr>
        <w:t>O acolhimento de recurso implicará invalidação apenas dos atos insuscetíveis de aproveitamento.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b/>
          <w:color w:val="000000"/>
          <w:sz w:val="22"/>
          <w:szCs w:val="22"/>
        </w:rPr>
        <w:t>5.8.</w:t>
      </w:r>
      <w:r>
        <w:rPr>
          <w:rFonts w:cs="Arial" w:ascii="Arial" w:hAnsi="Arial"/>
          <w:color w:val="000000"/>
          <w:sz w:val="22"/>
          <w:szCs w:val="22"/>
        </w:rPr>
        <w:t xml:space="preserve"> </w:t>
      </w:r>
      <w:r>
        <w:rPr>
          <w:rFonts w:cs="Arial" w:ascii="Arial" w:hAnsi="Arial"/>
          <w:b/>
          <w:color w:val="000000"/>
          <w:sz w:val="22"/>
          <w:szCs w:val="22"/>
        </w:rPr>
        <w:t xml:space="preserve">Etapa 7: Homologação e publicação do resultado definitivo da fase de seleção, com </w:t>
        <w:tab/>
        <w:t>divulgação das decisões recursais proferidas (se houver).</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 xml:space="preserve">5.8.1. Após o julgamento dos recursos ou o transcurso do prazo sem interposição de recurso, o Chefe do Poder Executivo deverá homologar e divulgar as decisões recursais proferidas, se houver, e o resultado definitivo do processo de seleção </w:t>
      </w:r>
      <w:r>
        <w:rPr>
          <w:rFonts w:cs="Arial" w:ascii="Arial" w:hAnsi="Arial"/>
          <w:bCs/>
          <w:color w:val="000000"/>
          <w:sz w:val="22"/>
          <w:szCs w:val="22"/>
        </w:rPr>
        <w:t xml:space="preserve">na </w:t>
      </w:r>
      <w:r>
        <w:rPr>
          <w:rFonts w:cs="Arial" w:ascii="Arial" w:hAnsi="Arial"/>
          <w:color w:val="000000"/>
          <w:sz w:val="22"/>
          <w:szCs w:val="22"/>
        </w:rPr>
        <w:t>página do sítio oficial da Prefeitura do Município de Itatiba (www.itatiba.sp.gov.br), bem como no Diário Oficial do Município de Itatiba.</w:t>
      </w:r>
    </w:p>
    <w:p>
      <w:pPr>
        <w:pStyle w:val="Standard"/>
        <w:suppressAutoHyphens w:val="false"/>
        <w:spacing w:lineRule="auto" w:line="360"/>
        <w:jc w:val="both"/>
        <w:rPr>
          <w:rFonts w:ascii="Arial" w:hAnsi="Arial" w:cs="Arial"/>
          <w:sz w:val="22"/>
          <w:szCs w:val="22"/>
        </w:rPr>
      </w:pPr>
      <w:r>
        <w:rPr>
          <w:rFonts w:cs="Arial" w:ascii="Arial" w:hAnsi="Arial"/>
          <w:color w:val="000000"/>
          <w:sz w:val="22"/>
          <w:szCs w:val="22"/>
        </w:rPr>
        <w:t>5.8.2. A homologação não gera direito subjetivo para a organização da sociedade civil selecionada à celebração da parceria (art. 27, § 6º da Lei nº 13.019/14).</w:t>
      </w:r>
    </w:p>
    <w:p>
      <w:pPr>
        <w:pStyle w:val="Standard"/>
        <w:tabs>
          <w:tab w:val="clear" w:pos="709"/>
          <w:tab w:val="left" w:pos="567" w:leader="none"/>
        </w:tabs>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6 - DA FASE DE CELEBRAÇÃO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bCs/>
          <w:color w:val="000000"/>
          <w:sz w:val="22"/>
          <w:szCs w:val="22"/>
        </w:rPr>
        <w:t>6.1. Do cronograma</w:t>
      </w:r>
    </w:p>
    <w:p>
      <w:pPr>
        <w:pStyle w:val="Standard"/>
        <w:suppressAutoHyphens w:val="false"/>
        <w:spacing w:lineRule="auto" w:line="360"/>
        <w:jc w:val="both"/>
        <w:rPr>
          <w:rFonts w:ascii="Arial" w:hAnsi="Arial" w:cs="Arial"/>
          <w:color w:val="000000"/>
          <w:sz w:val="22"/>
          <w:szCs w:val="22"/>
        </w:rPr>
      </w:pPr>
      <w:r>
        <w:rPr>
          <w:rFonts w:cs="Arial" w:ascii="Arial" w:hAnsi="Arial"/>
          <w:color w:val="000000"/>
          <w:sz w:val="22"/>
          <w:szCs w:val="22"/>
        </w:rPr>
        <w:t xml:space="preserve">6.1.1. A fase de celebração observará as seguintes etapas até a assinatura do instrumento de parceria, conforme </w:t>
      </w:r>
      <w:r>
        <w:rPr>
          <w:rFonts w:cs="Arial" w:ascii="Arial" w:hAnsi="Arial"/>
          <w:b/>
          <w:bCs/>
          <w:color w:val="000000"/>
          <w:sz w:val="22"/>
          <w:szCs w:val="22"/>
          <w:u w:val="single"/>
        </w:rPr>
        <w:t>TABELA 3</w:t>
      </w:r>
      <w:r>
        <w:rPr>
          <w:rFonts w:cs="Arial" w:ascii="Arial" w:hAnsi="Arial"/>
          <w:color w:val="000000"/>
          <w:sz w:val="22"/>
          <w:szCs w:val="22"/>
        </w:rPr>
        <w:t xml:space="preserve"> abaixo:</w:t>
      </w:r>
    </w:p>
    <w:p>
      <w:pPr>
        <w:pStyle w:val="Standard"/>
        <w:suppressAutoHyphens w:val="false"/>
        <w:spacing w:lineRule="auto" w:line="360"/>
        <w:jc w:val="both"/>
        <w:rPr>
          <w:rFonts w:ascii="Arial" w:hAnsi="Arial" w:cs="Arial"/>
          <w:sz w:val="22"/>
          <w:szCs w:val="22"/>
        </w:rPr>
      </w:pPr>
      <w:r>
        <w:rPr>
          <w:rFonts w:cs="Arial" w:ascii="Arial" w:hAnsi="Arial"/>
          <w:sz w:val="22"/>
          <w:szCs w:val="22"/>
        </w:rPr>
      </w:r>
    </w:p>
    <w:tbl>
      <w:tblPr>
        <w:tblW w:w="8780"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028"/>
        <w:gridCol w:w="7751"/>
      </w:tblGrid>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ETAPA</w:t>
            </w:r>
          </w:p>
        </w:tc>
        <w:tc>
          <w:tcPr>
            <w:tcW w:w="7751" w:type="dxa"/>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DESCRIÇÃO DA ETAPA</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1</w:t>
            </w:r>
          </w:p>
        </w:tc>
        <w:tc>
          <w:tcPr>
            <w:tcW w:w="7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360"/>
              <w:jc w:val="both"/>
              <w:rPr>
                <w:rFonts w:ascii="Arial" w:hAnsi="Arial" w:cs="Arial"/>
                <w:sz w:val="18"/>
                <w:szCs w:val="18"/>
              </w:rPr>
            </w:pPr>
            <w:r>
              <w:rPr>
                <w:rFonts w:eastAsia="Calibri" w:cs="Arial" w:ascii="Arial" w:hAnsi="Arial"/>
                <w:color w:val="000000"/>
                <w:sz w:val="18"/>
                <w:szCs w:val="18"/>
                <w:lang w:eastAsia="en-US"/>
              </w:rPr>
              <w:t>Convocação da OSC selecionada para apresentação do plano de trabalho e comprovação do atendimento dos requisitos para celebração da parceria e de que não incorre nos impedimentos (vedações) legais.</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2</w:t>
            </w:r>
          </w:p>
        </w:tc>
        <w:tc>
          <w:tcPr>
            <w:tcW w:w="7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360"/>
              <w:jc w:val="both"/>
              <w:rPr>
                <w:rFonts w:ascii="Arial" w:hAnsi="Arial" w:cs="Arial"/>
                <w:sz w:val="18"/>
                <w:szCs w:val="18"/>
              </w:rPr>
            </w:pPr>
            <w:r>
              <w:rPr>
                <w:rFonts w:eastAsia="Calibri" w:cs="Arial" w:ascii="Arial" w:hAnsi="Arial"/>
                <w:color w:val="000000"/>
                <w:sz w:val="18"/>
                <w:szCs w:val="18"/>
                <w:lang w:eastAsia="en-US"/>
              </w:rPr>
              <w:t xml:space="preserve">Verificação do cumprimento dos requisitos </w:t>
            </w:r>
            <w:r>
              <w:rPr>
                <w:rFonts w:cs="Arial" w:ascii="Arial" w:hAnsi="Arial"/>
                <w:color w:val="000000"/>
                <w:sz w:val="18"/>
                <w:szCs w:val="18"/>
              </w:rPr>
              <w:t>para celebração da parceria e de que não incorre nos impedimentos (vedações) legais e a</w:t>
            </w:r>
            <w:r>
              <w:rPr>
                <w:rFonts w:eastAsia="Calibri" w:cs="Arial" w:ascii="Arial" w:hAnsi="Arial"/>
                <w:color w:val="000000"/>
                <w:sz w:val="18"/>
                <w:szCs w:val="18"/>
                <w:lang w:eastAsia="en-US"/>
              </w:rPr>
              <w:t>nálise do plano de trabalho.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3</w:t>
            </w:r>
          </w:p>
        </w:tc>
        <w:tc>
          <w:tcPr>
            <w:tcW w:w="7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360"/>
              <w:jc w:val="both"/>
              <w:rPr>
                <w:rFonts w:ascii="Arial" w:hAnsi="Arial" w:cs="Arial"/>
                <w:sz w:val="18"/>
                <w:szCs w:val="18"/>
              </w:rPr>
            </w:pPr>
            <w:r>
              <w:rPr>
                <w:rFonts w:eastAsia="Calibri" w:cs="Arial" w:ascii="Arial" w:hAnsi="Arial"/>
                <w:color w:val="000000"/>
                <w:sz w:val="18"/>
                <w:szCs w:val="18"/>
                <w:lang w:eastAsia="en-US"/>
              </w:rPr>
              <w:t>Ajustes no plano de trabalho e regularização de documentação, se necessário.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4</w:t>
            </w:r>
          </w:p>
        </w:tc>
        <w:tc>
          <w:tcPr>
            <w:tcW w:w="7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360"/>
              <w:jc w:val="both"/>
              <w:rPr>
                <w:rFonts w:ascii="Arial" w:hAnsi="Arial" w:cs="Arial"/>
                <w:sz w:val="18"/>
                <w:szCs w:val="18"/>
              </w:rPr>
            </w:pPr>
            <w:r>
              <w:rPr>
                <w:rFonts w:eastAsia="Calibri" w:cs="Arial" w:ascii="Arial" w:hAnsi="Arial"/>
                <w:color w:val="000000"/>
                <w:sz w:val="18"/>
                <w:szCs w:val="18"/>
                <w:lang w:eastAsia="en-US"/>
              </w:rPr>
              <w:t>Parecer de órgão técnico e assinatura do Termo de Colaboração.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360"/>
              <w:jc w:val="center"/>
              <w:rPr>
                <w:rFonts w:ascii="Arial" w:hAnsi="Arial" w:cs="Arial"/>
                <w:sz w:val="18"/>
                <w:szCs w:val="18"/>
              </w:rPr>
            </w:pPr>
            <w:r>
              <w:rPr>
                <w:rFonts w:eastAsia="Calibri" w:cs="Arial" w:ascii="Arial" w:hAnsi="Arial"/>
                <w:b/>
                <w:color w:val="000000"/>
                <w:sz w:val="18"/>
                <w:szCs w:val="18"/>
                <w:lang w:eastAsia="en-US"/>
              </w:rPr>
              <w:t>5</w:t>
            </w:r>
          </w:p>
        </w:tc>
        <w:tc>
          <w:tcPr>
            <w:tcW w:w="7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360"/>
              <w:jc w:val="both"/>
              <w:rPr>
                <w:rFonts w:ascii="Arial" w:hAnsi="Arial" w:cs="Arial"/>
                <w:sz w:val="18"/>
                <w:szCs w:val="18"/>
              </w:rPr>
            </w:pPr>
            <w:r>
              <w:rPr>
                <w:rFonts w:eastAsia="Calibri" w:cs="Arial" w:ascii="Arial" w:hAnsi="Arial"/>
                <w:color w:val="000000"/>
                <w:sz w:val="18"/>
                <w:szCs w:val="18"/>
                <w:lang w:eastAsia="en-US"/>
              </w:rPr>
              <w:t xml:space="preserve">Publicação do extrato do Termo de Colaboração no Diário Oficial do Município e disponibilização no sítio oficial </w:t>
            </w:r>
            <w:r>
              <w:rPr>
                <w:rFonts w:eastAsia="Calibri" w:cs="Arial" w:ascii="Arial" w:hAnsi="Arial"/>
                <w:color w:val="000000"/>
                <w:sz w:val="18"/>
                <w:szCs w:val="18"/>
              </w:rPr>
              <w:t>da Prefeitura do Município de Itatiba (www.itatiba.sp.gov.br)</w:t>
            </w:r>
            <w:r>
              <w:rPr>
                <w:rFonts w:eastAsia="Calibri" w:cs="Arial" w:ascii="Arial" w:hAnsi="Arial"/>
                <w:color w:val="000000"/>
                <w:sz w:val="18"/>
                <w:szCs w:val="18"/>
                <w:lang w:eastAsia="en-US"/>
              </w:rPr>
              <w:t>.</w:t>
            </w:r>
          </w:p>
        </w:tc>
      </w:tr>
    </w:tbl>
    <w:p>
      <w:pPr>
        <w:pStyle w:val="Standard"/>
        <w:tabs>
          <w:tab w:val="clear" w:pos="709"/>
          <w:tab w:val="left" w:pos="567" w:leader="none"/>
        </w:tabs>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6.2 - Etapa 1: Convocação da OSC selecionada para apresentação do plano de trabalho e comprovação do atendimento dos requisitos para celebração da parceria e de que não incorre nos impedimentos (vedações) legais.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6.2.1.</w:t>
      </w:r>
      <w:r>
        <w:rPr>
          <w:rFonts w:cs="Arial" w:ascii="Arial" w:hAnsi="Arial"/>
          <w:b/>
          <w:color w:val="000000"/>
          <w:sz w:val="22"/>
          <w:szCs w:val="22"/>
        </w:rPr>
        <w:t xml:space="preserve"> </w:t>
      </w:r>
      <w:r>
        <w:rPr>
          <w:rFonts w:cs="Arial" w:ascii="Arial" w:hAnsi="Arial"/>
          <w:color w:val="000000"/>
          <w:sz w:val="22"/>
          <w:szCs w:val="22"/>
        </w:rPr>
        <w:t>Para a celebração da parceria, a Administração Pública Municipal convocará a OSC selecionada para, no prazo de 15 (quinze) dias corridos, contados a partir da convocação, apresentar o seu plano de trabalho e a documentação exigida para comprovação dos requisitos para a celebração da parceria e de que não incorre nos impedimentos legais (arts. 28, caput,</w:t>
      </w:r>
      <w:r>
        <w:rPr>
          <w:rFonts w:cs="Arial" w:ascii="Arial" w:hAnsi="Arial"/>
          <w:b/>
          <w:color w:val="000000"/>
          <w:sz w:val="22"/>
          <w:szCs w:val="22"/>
        </w:rPr>
        <w:t xml:space="preserve"> </w:t>
      </w:r>
      <w:r>
        <w:rPr>
          <w:rFonts w:cs="Arial" w:ascii="Arial" w:hAnsi="Arial"/>
          <w:color w:val="000000"/>
          <w:sz w:val="22"/>
          <w:szCs w:val="22"/>
        </w:rPr>
        <w:t>33, 34 e 39 da Lei nº 13.019/14).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6.2.2. Por meio do plano de trabalho, a OSC selecionada deverá apresentar o detalhamento da proposta submetida e aprovada no processo de seleção, com todos os pormenores exigidos pela legislação (em especial o art. 22 da Lei nº 13.019/14), observado o </w:t>
      </w:r>
      <w:r>
        <w:rPr>
          <w:rFonts w:cs="Arial" w:ascii="Arial" w:hAnsi="Arial"/>
          <w:b/>
          <w:bCs/>
          <w:color w:val="000000"/>
          <w:sz w:val="22"/>
          <w:szCs w:val="22"/>
        </w:rPr>
        <w:t>Anexo V – Diretrizes para Elaboração da Proposta e do Plano de Trabalho.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6.2.3. O plano de trabalho deverá conter, no mínimo, os seguintes elementos: a.) a descrição da realidade objeto da parceria, devendo ser demonstrado o nexo com a atividade proposta e com as metas a serem atingidas; b.) a forma de execução das ações; c.) a descrição de metas quantitativas e mensuráveis a serem atingidas; d.) a definição dos indicadores, documentos e outros meios a serem utilizados para a aferição do cumprimento das metas; e.) a previsão de receitas e a estimativa de despesas a serem realizadas na execução das ações, incluindo os encargos sociais e trabalhistas e a discriminação dos custos diretos e indiretos necessários à execução do objeto; f.) os valores a serem repassados mediante cronograma de desembolso; e, g.) as ações que demandarão pagamento em espécie, quando for o caso.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6.2.4. A previsão de receitas e despesas de que trata a alínea “e” do item 6.2.3.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6.2.5. Além da apresentação do plano de trabalho, a OSC selecionada, no mesmo prazo, deverá comprovar o cumprimento dos requisitos previstos no inciso I do caput do art. 2º, nos incisos I a V do caput do art. 33 e nos incisos II a VII do caput do art. 34 da Lei nº 13.019/14, e a não ocorrência de hipóteses que incorram nas vedações de que trata o art. 39 da referida Lei, que serão verificados por meio da apresentação dos seguintes documentos:</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a.) cópia do estatuto registrado e suas alterações, em conformidade com as exigências previstas no art. 33 da Lei nº 13.019/14;</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b.) comprovante de inscrição no Cadastro Nacional da Pessoa Jurídica - CNPJ, emitido no sítio eletrônico oficial da Secretaria da Receita Federal do Brasil, para demonstrar que a OSC existe há, no mínimo, 1 (um) ano, com cadastro ativo;</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c.) comprovantes de experiência prévia na realização do objeto da parceria ou de objeto de natureza semelhante de, no mínimo, um ano de capacidade técnica e operacional, podendo ser admitidos, sem prejuízo de outros: (i) instrumentos de parceria firmados com órgãos e entidades da administração pública, organismos internacionais, empresas ou outras organizações da sociedade civil; (ii) relatórios de atividades com comprovação das ações desenvolvidas; (iii) publicações, pesquisas e outras formas de produção de conhecimento, realizadas pela organização da sociedade civil ou a respeito dela; (iv) currículos profissionais de integrantes da organização da sociedade civil, sejam dirigentes, conselheiros, associados, cooperados, empregados, entre outros; (v)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(vi) prêmios de relevância recebidos no País ou no exterior pela organização da sociedade civil.</w:t>
      </w:r>
    </w:p>
    <w:p>
      <w:pPr>
        <w:pStyle w:val="Standard"/>
        <w:tabs>
          <w:tab w:val="clear" w:pos="709"/>
          <w:tab w:val="left" w:pos="993" w:leader="none"/>
        </w:tabs>
        <w:suppressAutoHyphens w:val="false"/>
        <w:spacing w:lineRule="auto" w:line="360"/>
        <w:ind w:firstLine="567"/>
        <w:jc w:val="both"/>
        <w:rPr>
          <w:rFonts w:ascii="Arial" w:hAnsi="Arial" w:cs="Arial"/>
          <w:sz w:val="22"/>
          <w:szCs w:val="22"/>
        </w:rPr>
      </w:pPr>
      <w:r>
        <w:rPr>
          <w:rFonts w:cs="Arial" w:ascii="Arial" w:hAnsi="Arial"/>
          <w:color w:val="000000"/>
          <w:sz w:val="22"/>
          <w:szCs w:val="22"/>
        </w:rPr>
        <w:t>d.) apresentação das certidões de regularidade fiscal, previdenciária, tributária, de contribuições, de dívida ativa e trabalhista (art. 34, caput, inciso II, da Lei nº 13.019/14), a saber: (i) Certidão de regularidade junto à Fazenda Federal relativa a Tributos Federais administrados pela RFB e PGFN; (ii) Certidão de regularidade relativa ao Fundo de Garantia por Tempo de Serviço (FGTS), por meio da apresentação do CRF – Certificado de Regularidade do FGTS; (iii) Certidão Negativa de Débitos Trabalhistas – CNDT; e, (iv) Certidão negativa de tributos mobiliários para com a Fazenda Municipal. Serão consideradas regulares as certidões positivas com efeito de negativa.</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 xml:space="preserve">e.) relação nominal atualizada dos dirigentes da OSC, conforme o estatuto, com endereço, telefone, endereço de correio eletrônico, número e órgão expedidor da carteira de identidade e número de registro no Cadastro de Pessoas Físicas - CPF de cada um deles, por meio de declaração do dirigente da OSC, conforme </w:t>
      </w:r>
      <w:r>
        <w:rPr>
          <w:rFonts w:cs="Arial" w:ascii="Arial" w:hAnsi="Arial"/>
          <w:b/>
          <w:bCs/>
          <w:color w:val="000000"/>
          <w:sz w:val="22"/>
          <w:szCs w:val="22"/>
        </w:rPr>
        <w:t>Anexo III – Relação dos Dirigentes da Entidade</w:t>
      </w:r>
      <w:r>
        <w:rPr>
          <w:rFonts w:cs="Arial" w:ascii="Arial" w:hAnsi="Arial"/>
          <w:color w:val="000000"/>
          <w:sz w:val="22"/>
          <w:szCs w:val="22"/>
        </w:rPr>
        <w:t>;</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f.) cópia de documento que comprove que a OSC funciona no endereço por ela declarado, tal como, conta de consumo ou contrato de locação;</w:t>
      </w:r>
    </w:p>
    <w:p>
      <w:pPr>
        <w:pStyle w:val="Standard"/>
        <w:tabs>
          <w:tab w:val="clear" w:pos="709"/>
          <w:tab w:val="left" w:pos="993" w:leader="none"/>
          <w:tab w:val="left" w:pos="1276" w:leader="none"/>
        </w:tabs>
        <w:spacing w:lineRule="auto" w:line="360"/>
        <w:ind w:firstLine="709"/>
        <w:jc w:val="both"/>
        <w:rPr>
          <w:rFonts w:ascii="Arial" w:hAnsi="Arial" w:cs="Arial"/>
          <w:sz w:val="22"/>
          <w:szCs w:val="22"/>
        </w:rPr>
      </w:pPr>
      <w:r>
        <w:rPr>
          <w:rFonts w:cs="Arial" w:ascii="Arial" w:hAnsi="Arial"/>
          <w:color w:val="000000"/>
          <w:sz w:val="22"/>
          <w:szCs w:val="22"/>
        </w:rPr>
        <w:t xml:space="preserve">g.) declaração do dirigente da OSC com informação de que a organização e seus dirigentes não incorrem em quaisquer das vedações previstas no art. 39 da Lei nº 13.019/14, as quais deverão estar descritas no documento, conforme modelo no </w:t>
      </w:r>
      <w:r>
        <w:rPr>
          <w:rFonts w:cs="Arial" w:ascii="Arial" w:hAnsi="Arial"/>
          <w:b/>
          <w:bCs/>
          <w:color w:val="000000"/>
          <w:sz w:val="22"/>
          <w:szCs w:val="22"/>
        </w:rPr>
        <w:t>Anexo VI – Declaração da Não Ocorrência de Impedimentos</w:t>
      </w:r>
      <w:r>
        <w:rPr>
          <w:rFonts w:cs="Arial" w:ascii="Arial" w:hAnsi="Arial"/>
          <w:color w:val="000000"/>
          <w:sz w:val="22"/>
          <w:szCs w:val="22"/>
        </w:rPr>
        <w:t>;</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 xml:space="preserve">h.) declaração do dirigente da OSC sobre a existência de instalações e outras condições materiais da organização, bem como de capacidade técnica e operacional para o desenvolvimento do objeto da parceria e o cumprimento das metas estabelecidas, ou sobre a previsão de contratar ou adquirir com recursos da parceria, conforme </w:t>
      </w:r>
      <w:r>
        <w:rPr>
          <w:rFonts w:cs="Arial" w:ascii="Arial" w:hAnsi="Arial"/>
          <w:b/>
          <w:bCs/>
          <w:color w:val="000000"/>
          <w:sz w:val="22"/>
          <w:szCs w:val="22"/>
        </w:rPr>
        <w:t>Anexo II – Declaração sobre Instalações, Condições Materiais e Capacidade Técnica e Operacional</w:t>
      </w:r>
      <w:r>
        <w:rPr>
          <w:rFonts w:cs="Arial" w:ascii="Arial" w:hAnsi="Arial"/>
          <w:color w:val="000000"/>
          <w:sz w:val="22"/>
          <w:szCs w:val="22"/>
        </w:rPr>
        <w:t>;</w:t>
      </w:r>
    </w:p>
    <w:p>
      <w:pPr>
        <w:pStyle w:val="Standard"/>
        <w:tabs>
          <w:tab w:val="clear" w:pos="709"/>
          <w:tab w:val="left" w:pos="1276" w:leader="none"/>
        </w:tabs>
        <w:suppressAutoHyphens w:val="false"/>
        <w:spacing w:lineRule="auto" w:line="360"/>
        <w:ind w:firstLine="709"/>
        <w:jc w:val="both"/>
        <w:rPr>
          <w:rFonts w:ascii="Arial" w:hAnsi="Arial" w:cs="Arial"/>
          <w:sz w:val="22"/>
          <w:szCs w:val="22"/>
        </w:rPr>
      </w:pPr>
      <w:r>
        <w:rPr>
          <w:rFonts w:cs="Arial" w:ascii="Arial" w:hAnsi="Arial"/>
          <w:color w:val="000000"/>
          <w:sz w:val="22"/>
          <w:szCs w:val="22"/>
        </w:rPr>
        <w:t xml:space="preserve">i.) declaração do dirigente da OSC de que a entidade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com exceção das hipóteses previstas no § 5º do art. 39, conforme </w:t>
      </w:r>
      <w:r>
        <w:rPr>
          <w:rFonts w:cs="Arial" w:ascii="Arial" w:hAnsi="Arial"/>
          <w:b/>
          <w:bCs/>
          <w:color w:val="000000"/>
          <w:sz w:val="22"/>
          <w:szCs w:val="22"/>
        </w:rPr>
        <w:t>Anexo IV – Declaração do art. 39, III da Lei nº 13.019/14</w:t>
      </w:r>
      <w:r>
        <w:rPr>
          <w:rFonts w:cs="Arial" w:ascii="Arial" w:hAnsi="Arial"/>
          <w:bCs/>
          <w:color w:val="000000"/>
          <w:sz w:val="22"/>
          <w:szCs w:val="22"/>
        </w:rPr>
        <w:t>.</w:t>
      </w:r>
    </w:p>
    <w:p>
      <w:pPr>
        <w:pStyle w:val="Standard"/>
        <w:tabs>
          <w:tab w:val="clear" w:pos="709"/>
          <w:tab w:val="left" w:pos="284" w:leader="none"/>
        </w:tabs>
        <w:suppressAutoHyphens w:val="false"/>
        <w:spacing w:lineRule="auto" w:line="360"/>
        <w:jc w:val="both"/>
        <w:rPr>
          <w:rFonts w:ascii="Arial" w:hAnsi="Arial" w:cs="Arial"/>
          <w:sz w:val="22"/>
          <w:szCs w:val="22"/>
        </w:rPr>
      </w:pPr>
      <w:r>
        <w:rPr>
          <w:rFonts w:cs="Arial" w:ascii="Arial" w:hAnsi="Arial"/>
          <w:bCs/>
          <w:color w:val="000000"/>
          <w:sz w:val="22"/>
          <w:szCs w:val="22"/>
          <w:lang w:val="pt-PT"/>
        </w:rPr>
        <w:tab/>
        <w:tab/>
        <w:t xml:space="preserve">j.) termo de responsabilidade pessoal assinado pelo responsável pela boa administração e aplicação dos recursos recebidos, nomeado pela </w:t>
      </w:r>
      <w:r>
        <w:rPr>
          <w:rFonts w:cs="Arial" w:ascii="Arial" w:hAnsi="Arial"/>
          <w:b/>
          <w:bCs/>
          <w:color w:val="000000"/>
          <w:sz w:val="22"/>
          <w:szCs w:val="22"/>
          <w:lang w:val="pt-PT"/>
        </w:rPr>
        <w:t>OSC</w:t>
      </w:r>
      <w:r>
        <w:rPr>
          <w:rFonts w:cs="Arial" w:ascii="Arial" w:hAnsi="Arial"/>
          <w:bCs/>
          <w:color w:val="000000"/>
          <w:sz w:val="22"/>
          <w:szCs w:val="22"/>
          <w:lang w:val="pt-PT"/>
        </w:rPr>
        <w:t xml:space="preserve">, cujo nome constará do Termo de Colaboração a ser celebrado, consoante </w:t>
      </w:r>
      <w:r>
        <w:rPr>
          <w:rFonts w:cs="Arial" w:ascii="Arial" w:hAnsi="Arial"/>
          <w:b/>
          <w:bCs/>
          <w:color w:val="000000"/>
          <w:sz w:val="22"/>
          <w:szCs w:val="22"/>
          <w:lang w:val="pt-PT"/>
        </w:rPr>
        <w:t>ANEXO XI – TERMO DE RESPONSABILIDADE PESSOAL.</w:t>
      </w:r>
    </w:p>
    <w:p>
      <w:pPr>
        <w:pStyle w:val="Standard"/>
        <w:tabs>
          <w:tab w:val="clear" w:pos="709"/>
          <w:tab w:val="left" w:pos="1276" w:leader="none"/>
        </w:tabs>
        <w:suppressAutoHyphens w:val="false"/>
        <w:spacing w:lineRule="auto" w:line="360"/>
        <w:jc w:val="both"/>
        <w:rPr>
          <w:rFonts w:ascii="Arial" w:hAnsi="Arial" w:cs="Arial"/>
          <w:sz w:val="22"/>
          <w:szCs w:val="22"/>
        </w:rPr>
      </w:pPr>
      <w:r>
        <w:rPr>
          <w:rFonts w:cs="Arial" w:ascii="Arial" w:hAnsi="Arial"/>
          <w:color w:val="000000"/>
          <w:sz w:val="22"/>
          <w:szCs w:val="22"/>
        </w:rPr>
        <w:t xml:space="preserve">6.2.6. Para facilitar a comunicação entre a Administração Pública Municipal e a Organização da Sociedade Civil selecionada, deverá ser apresentada, conjuntamente com os demais documentos, declaração de endereço eletrônico para futuras comunicações e notificações, conforme </w:t>
      </w:r>
      <w:r>
        <w:rPr>
          <w:rFonts w:cs="Arial" w:ascii="Arial" w:hAnsi="Arial"/>
          <w:b/>
          <w:bCs/>
          <w:color w:val="000000"/>
          <w:sz w:val="22"/>
          <w:szCs w:val="22"/>
        </w:rPr>
        <w:t>Anexo VIII – Declaração de Endereço Eletrônico</w:t>
      </w:r>
      <w:r>
        <w:rPr>
          <w:rFonts w:cs="Arial" w:ascii="Arial" w:hAnsi="Arial"/>
          <w:color w:val="000000"/>
          <w:sz w:val="22"/>
          <w:szCs w:val="22"/>
        </w:rPr>
        <w:t>.</w:t>
      </w:r>
    </w:p>
    <w:p>
      <w:pPr>
        <w:pStyle w:val="Standard"/>
        <w:suppressAutoHyphens w:val="false"/>
        <w:spacing w:lineRule="auto" w:line="360"/>
        <w:jc w:val="both"/>
        <w:rPr>
          <w:rFonts w:ascii="Arial" w:hAnsi="Arial" w:cs="Arial"/>
          <w:sz w:val="22"/>
          <w:szCs w:val="22"/>
        </w:rPr>
      </w:pPr>
      <w:r>
        <w:rPr>
          <w:rFonts w:cs="Arial" w:ascii="Arial" w:hAnsi="Arial"/>
          <w:color w:val="000000"/>
          <w:sz w:val="22"/>
          <w:szCs w:val="22"/>
        </w:rPr>
        <w:t>6.2.7. O plano de trabalho, os documentos comprobatórios do cumprimento dos requisitos impostos nesta Etapa, bem como o endereço eletrônico para futuras comunicações, deverão ser apresentados pela OSC selecionada, por meio de protocolo a ser realizado na Seção de Licitações da Prefeitura do Município de Itatiba, situada à Av. Luciano Consoline, 600, Jd. de Lucca, nesta cidade, das 09 às 17 horas, de segunda a sexta-feira.</w:t>
      </w:r>
    </w:p>
    <w:p>
      <w:pPr>
        <w:pStyle w:val="Standard"/>
        <w:suppressAutoHyphens w:val="false"/>
        <w:spacing w:lineRule="auto" w:line="360"/>
        <w:jc w:val="both"/>
        <w:rPr>
          <w:rFonts w:ascii="Arial" w:hAnsi="Arial" w:cs="Arial"/>
          <w:sz w:val="22"/>
          <w:szCs w:val="22"/>
        </w:rPr>
      </w:pPr>
      <w:r>
        <w:rPr>
          <w:rFonts w:cs="Arial" w:ascii="Arial" w:hAnsi="Arial"/>
          <w:color w:val="000000"/>
          <w:sz w:val="22"/>
          <w:szCs w:val="22"/>
        </w:rPr>
        <w:t>6.2.8. As cópias dos documentos exigidos deverão ser autenticadas.</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b/>
          <w:color w:val="000000"/>
          <w:sz w:val="22"/>
          <w:szCs w:val="22"/>
        </w:rPr>
        <w:t xml:space="preserve">6.3. Etapa 2: </w:t>
      </w:r>
      <w:r>
        <w:rPr>
          <w:rFonts w:eastAsia="Calibri" w:cs="Arial" w:ascii="Arial" w:hAnsi="Arial"/>
          <w:b/>
          <w:color w:val="000000"/>
          <w:sz w:val="22"/>
          <w:szCs w:val="22"/>
          <w:lang w:eastAsia="en-US"/>
        </w:rPr>
        <w:t xml:space="preserve">Verificação do cumprimento dos requisitos </w:t>
      </w:r>
      <w:r>
        <w:rPr>
          <w:rFonts w:cs="Arial" w:ascii="Arial" w:hAnsi="Arial"/>
          <w:b/>
          <w:color w:val="000000"/>
          <w:sz w:val="22"/>
          <w:szCs w:val="22"/>
        </w:rPr>
        <w:t xml:space="preserve">para celebração da parceria e </w:t>
        <w:tab/>
        <w:t xml:space="preserve">de que não incorre nos impedimentos (vedações) legais. </w:t>
      </w:r>
      <w:r>
        <w:rPr>
          <w:rFonts w:eastAsia="Calibri" w:cs="Arial" w:ascii="Arial" w:hAnsi="Arial"/>
          <w:b/>
          <w:color w:val="000000"/>
          <w:sz w:val="22"/>
          <w:szCs w:val="22"/>
          <w:lang w:eastAsia="en-US"/>
        </w:rPr>
        <w:t>Análise do plano de trabalho</w:t>
      </w:r>
      <w:r>
        <w:rPr>
          <w:rFonts w:cs="Arial" w:ascii="Arial" w:hAnsi="Arial"/>
          <w:b/>
          <w:color w:val="000000"/>
          <w:sz w:val="22"/>
          <w:szCs w:val="22"/>
        </w:rPr>
        <w:t>.</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color w:val="000000"/>
          <w:sz w:val="22"/>
          <w:szCs w:val="22"/>
        </w:rPr>
        <w:t>6.3.1.</w:t>
      </w:r>
      <w:r>
        <w:rPr>
          <w:rFonts w:cs="Arial" w:ascii="Arial" w:hAnsi="Arial"/>
          <w:b/>
          <w:color w:val="000000"/>
          <w:sz w:val="22"/>
          <w:szCs w:val="22"/>
        </w:rPr>
        <w:tab/>
      </w:r>
      <w:r>
        <w:rPr>
          <w:rFonts w:cs="Arial" w:ascii="Arial" w:hAnsi="Arial"/>
          <w:color w:val="000000"/>
          <w:sz w:val="22"/>
          <w:szCs w:val="22"/>
        </w:rPr>
        <w:t xml:space="preserve">A </w:t>
      </w:r>
      <w:r>
        <w:rPr>
          <w:rFonts w:cs="Arial" w:ascii="Arial" w:hAnsi="Arial"/>
          <w:b/>
          <w:bCs/>
          <w:color w:val="000000"/>
          <w:sz w:val="22"/>
          <w:szCs w:val="22"/>
          <w:u w:val="single"/>
        </w:rPr>
        <w:t>ETAPA 2</w:t>
      </w:r>
      <w:r>
        <w:rPr>
          <w:rFonts w:cs="Arial" w:ascii="Arial" w:hAnsi="Arial"/>
          <w:color w:val="000000"/>
          <w:sz w:val="22"/>
          <w:szCs w:val="22"/>
        </w:rPr>
        <w:t xml:space="preserve"> consiste no exame formal, a ser realizado pela Administração Pública Municipal, do atendimento dos requisitos para a celebração da parceria pela OSC selecionada, de que esta não incorre nos impedimentos legais, bem como do cumprimento das demais exigências descritas neste Edital e, ainda, a análise do plano de trabalho apresentado.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6.3.2. No momento da verificação do cumprimento dos requisitos para a celebração de parcerias, a Administração Pública Municipal deverá consultar os cadastros disponíveis, tal como do TCE/SP e do TCU, para verificar se há informação sobre ocorrência impeditiva à referida celebração.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6.3.3.</w:t>
      </w:r>
      <w:r>
        <w:rPr>
          <w:rFonts w:cs="Arial" w:ascii="Arial" w:hAnsi="Arial"/>
          <w:b/>
          <w:color w:val="000000"/>
          <w:sz w:val="22"/>
          <w:szCs w:val="22"/>
        </w:rPr>
        <w:t xml:space="preserve"> </w:t>
      </w:r>
      <w:r>
        <w:rPr>
          <w:rFonts w:cs="Arial" w:ascii="Arial" w:hAnsi="Arial"/>
          <w:color w:val="000000"/>
          <w:sz w:val="22"/>
          <w:szCs w:val="22"/>
        </w:rPr>
        <w:t>A</w:t>
      </w:r>
      <w:r>
        <w:rPr>
          <w:rFonts w:cs="Arial" w:ascii="Arial" w:hAnsi="Arial"/>
          <w:bCs/>
          <w:color w:val="000000"/>
          <w:sz w:val="22"/>
          <w:szCs w:val="22"/>
        </w:rPr>
        <w:t xml:space="preserve"> Administração Pública Municipal examinará o plano de trabalho apresentado pela OSC selecionada.</w:t>
      </w:r>
      <w:r>
        <w:rPr>
          <w:rFonts w:cs="Arial" w:ascii="Arial" w:hAnsi="Arial"/>
          <w:color w:val="000000"/>
          <w:sz w:val="22"/>
          <w:szCs w:val="22"/>
        </w:rPr>
        <w:t xml:space="preserve"> Somente será aprovado o plano de trabalho que estiver de acordo com as informações apresentadas na proposta apresentada pela OSC, observados os termos e as condições constantes neste Edital e em seus anexos. Para tanto, a Administração Pública Municipal poderá solicitar a realização de ajustes no plano de trabalho.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6.3.4.</w:t>
      </w:r>
      <w:r>
        <w:rPr>
          <w:rFonts w:cs="Arial" w:ascii="Arial" w:hAnsi="Arial"/>
          <w:b/>
          <w:color w:val="000000"/>
          <w:sz w:val="22"/>
          <w:szCs w:val="22"/>
        </w:rPr>
        <w:t xml:space="preserve"> </w:t>
      </w:r>
      <w:r>
        <w:rPr>
          <w:rFonts w:cs="Arial" w:ascii="Arial" w:hAnsi="Arial"/>
          <w:color w:val="000000"/>
          <w:sz w:val="22"/>
          <w:szCs w:val="22"/>
        </w:rPr>
        <w:t>Na hipótese da OSC selecionada não atender aos requisitos previstos neste Edital e em seus anexos, aquela imediatamente mais bem classificada poderá ser convidada a aceitar a celebração de parceria nos termos da proposta por ela apresentada (art. 28, § 1º da Lei nº 13.019/14).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6.3.5. Caso a OSC convidada aceite celebrar a parceria, esta será convocada na forma da </w:t>
      </w:r>
      <w:r>
        <w:rPr>
          <w:rFonts w:cs="Arial" w:ascii="Arial" w:hAnsi="Arial"/>
          <w:b/>
          <w:bCs/>
          <w:color w:val="000000"/>
          <w:sz w:val="22"/>
          <w:szCs w:val="22"/>
          <w:u w:val="single"/>
        </w:rPr>
        <w:t>ETAPA 1</w:t>
      </w:r>
      <w:r>
        <w:rPr>
          <w:rFonts w:cs="Arial" w:ascii="Arial" w:hAnsi="Arial"/>
          <w:color w:val="000000"/>
          <w:sz w:val="22"/>
          <w:szCs w:val="22"/>
        </w:rPr>
        <w:t xml:space="preserve"> da fase de celebração e, em seguida, proceder-se-á à verificação dos documentos na forma desta </w:t>
      </w:r>
      <w:r>
        <w:rPr>
          <w:rFonts w:cs="Arial" w:ascii="Arial" w:hAnsi="Arial"/>
          <w:b/>
          <w:bCs/>
          <w:color w:val="000000"/>
          <w:sz w:val="22"/>
          <w:szCs w:val="22"/>
          <w:u w:val="single"/>
        </w:rPr>
        <w:t>ETAPA 2</w:t>
      </w:r>
      <w:r>
        <w:rPr>
          <w:rFonts w:cs="Arial" w:ascii="Arial" w:hAnsi="Arial"/>
          <w:color w:val="000000"/>
          <w:sz w:val="22"/>
          <w:szCs w:val="22"/>
        </w:rPr>
        <w:t xml:space="preserve"> (art. 28, § 2º da Lei nº 13.019/14). Esse procedimento poderá ser repetido, sucessivamente, obedecida a ordem de classificação.</w:t>
      </w:r>
    </w:p>
    <w:p>
      <w:pPr>
        <w:pStyle w:val="Standard"/>
        <w:tabs>
          <w:tab w:val="clear" w:pos="709"/>
          <w:tab w:val="left" w:pos="0" w:leader="none"/>
        </w:tabs>
        <w:spacing w:lineRule="auto" w:line="360"/>
        <w:jc w:val="both"/>
        <w:rPr>
          <w:rFonts w:ascii="Arial" w:hAnsi="Arial" w:cs="Arial"/>
          <w:sz w:val="22"/>
          <w:szCs w:val="22"/>
        </w:rPr>
      </w:pPr>
      <w:r>
        <w:rPr>
          <w:rFonts w:cs="Arial" w:ascii="Arial" w:hAnsi="Arial"/>
          <w:b/>
          <w:color w:val="000000"/>
          <w:sz w:val="22"/>
          <w:szCs w:val="22"/>
        </w:rPr>
        <w:t>6.4. Etapa 3: Ajustes no plano de trabalho e regularização de documentação, se necessário.</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6.4.1. Caso se verifique irregularidade formal nos documentos apresentados ou constatado evento que impeça a celebração, a OSC será comunicada do fato e instada a regularizar sua situação, no prazo de 5 (cinco) dias corridos, a contar da comunicação, sob pena de não celebração da parceria.</w:t>
      </w:r>
    </w:p>
    <w:p>
      <w:pPr>
        <w:pStyle w:val="Standard"/>
        <w:spacing w:lineRule="auto" w:line="360"/>
        <w:jc w:val="both"/>
        <w:rPr>
          <w:rFonts w:ascii="Arial" w:hAnsi="Arial" w:cs="Arial"/>
          <w:sz w:val="22"/>
          <w:szCs w:val="22"/>
        </w:rPr>
      </w:pPr>
      <w:r>
        <w:rPr>
          <w:rFonts w:eastAsia="Times New Roman" w:cs="Arial" w:ascii="Arial" w:hAnsi="Arial"/>
          <w:color w:val="000000"/>
          <w:sz w:val="22"/>
          <w:szCs w:val="22"/>
        </w:rPr>
        <w:t xml:space="preserve"> </w:t>
      </w:r>
      <w:r>
        <w:rPr>
          <w:rFonts w:cs="Arial" w:ascii="Arial" w:hAnsi="Arial"/>
          <w:color w:val="000000"/>
          <w:sz w:val="22"/>
          <w:szCs w:val="22"/>
        </w:rPr>
        <w:t>6.4.2.</w:t>
      </w:r>
      <w:r>
        <w:rPr>
          <w:rFonts w:cs="Arial" w:ascii="Arial" w:hAnsi="Arial"/>
          <w:b/>
          <w:color w:val="000000"/>
          <w:sz w:val="22"/>
          <w:szCs w:val="22"/>
        </w:rPr>
        <w:t xml:space="preserve"> </w:t>
      </w:r>
      <w:r>
        <w:rPr>
          <w:rFonts w:cs="Arial" w:ascii="Arial" w:hAnsi="Arial"/>
          <w:color w:val="000000"/>
          <w:sz w:val="22"/>
          <w:szCs w:val="22"/>
        </w:rPr>
        <w:t>Caso seja constatada necessidade de adequação no plano de trabalho enviado pela OSC, a Administração Pública Municipal solicitará a realização de ajustes e a OSC deverá fazê-lo, no prazo de 5 (cinco) dias corridos, contados da data de recebimento da solicitação apresentada, sob pena de não celebração da parceria.</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6.4.3.</w:t>
      </w:r>
      <w:r>
        <w:rPr>
          <w:rFonts w:cs="Arial" w:ascii="Arial" w:hAnsi="Arial"/>
          <w:b/>
          <w:color w:val="000000"/>
          <w:sz w:val="22"/>
          <w:szCs w:val="22"/>
        </w:rPr>
        <w:t xml:space="preserve"> </w:t>
      </w:r>
      <w:r>
        <w:rPr>
          <w:rFonts w:cs="Arial" w:ascii="Arial" w:hAnsi="Arial"/>
          <w:color w:val="000000"/>
          <w:sz w:val="22"/>
          <w:szCs w:val="22"/>
        </w:rPr>
        <w:t>A aprovação do plano de trabalho não gerará direito subjetivo à celebração da parceria.</w:t>
      </w:r>
    </w:p>
    <w:p>
      <w:pPr>
        <w:pStyle w:val="Standard"/>
        <w:tabs>
          <w:tab w:val="left" w:pos="709" w:leader="none"/>
        </w:tabs>
        <w:spacing w:lineRule="auto" w:line="360"/>
        <w:jc w:val="both"/>
        <w:rPr>
          <w:rFonts w:ascii="Arial" w:hAnsi="Arial" w:cs="Arial"/>
          <w:sz w:val="22"/>
          <w:szCs w:val="22"/>
        </w:rPr>
      </w:pPr>
      <w:r>
        <w:rPr>
          <w:rFonts w:cs="Arial" w:ascii="Arial" w:hAnsi="Arial"/>
          <w:b/>
          <w:color w:val="000000"/>
          <w:sz w:val="22"/>
          <w:szCs w:val="22"/>
        </w:rPr>
        <w:t>6.5. Etapa 4: Parecer de órgão técnico e assinatura do termo de colaboração</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6.5.1.</w:t>
      </w:r>
      <w:r>
        <w:rPr>
          <w:rFonts w:cs="Arial" w:ascii="Arial" w:hAnsi="Arial"/>
          <w:b/>
          <w:color w:val="000000"/>
          <w:sz w:val="22"/>
          <w:szCs w:val="22"/>
        </w:rPr>
        <w:t xml:space="preserve"> </w:t>
      </w:r>
      <w:r>
        <w:rPr>
          <w:rFonts w:cs="Arial" w:ascii="Arial" w:hAnsi="Arial"/>
          <w:color w:val="000000"/>
          <w:sz w:val="22"/>
          <w:szCs w:val="22"/>
        </w:rPr>
        <w:t>Além da realização do chamamento público, a celebração e a formalização do Termo de Colaboração dependerá da adoção das seguintes providências impostas pela legislação regente (art. 35 da Lei nº 13.019/14): a.) prévia dotação orçamentária para execução da parceria, b.) demonstração de que os objetivos e finalidades institucionais e a capacidade técnica e operacional da OSC foram avaliados e são compatíveis com o objeto, c.) aprovação do plano de trabalho, d.) emissão de parecer jurídico acerca da possibilidade da celebração da parceria, e.) emissão do parecer do órgão técnico, que deverá pronunciar-se, de forma expressa, a respeito do mérito da proposta, da identidade e da reciprocidade de interesse das partes na realização, em mútua cooperação, da parceria, da viabilidade de sua execução, da verificação do cronograma de desembolso, da descrição de quais serão os meios disponíveis a serem utilizados para a fiscalização da execução da parceria, assim como dos procedimentos que deverão ser adotados para avaliação da execução física e financeira, no cumprimento das metas e objetivos, da designação do gestor da parceria e da comissão de monitoramento e avaliação.</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 xml:space="preserve">6.5.2. Estando o processo administrativo devidamente instruído, será lavrado o Termo de Colaboração respectivo pela Secretaria dos Negócios Jurídicos, o qual deverá conter, no mínimo, as cláusulas essenciais previstas no art. 42 da Lei nº 13.019/14, consoante </w:t>
      </w:r>
      <w:r>
        <w:rPr>
          <w:rFonts w:cs="Arial" w:ascii="Arial" w:hAnsi="Arial"/>
          <w:b/>
          <w:bCs/>
          <w:color w:val="000000"/>
          <w:sz w:val="22"/>
          <w:szCs w:val="22"/>
        </w:rPr>
        <w:t>Anexo IX – Minuta do Termo de Colaboração.</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6.5.3.</w:t>
      </w:r>
      <w:r>
        <w:rPr>
          <w:rFonts w:cs="Arial" w:ascii="Arial" w:hAnsi="Arial"/>
          <w:b/>
          <w:color w:val="000000"/>
          <w:sz w:val="22"/>
          <w:szCs w:val="22"/>
        </w:rPr>
        <w:tab/>
      </w:r>
      <w:r>
        <w:rPr>
          <w:rFonts w:cs="Arial" w:ascii="Arial" w:hAnsi="Arial"/>
          <w:color w:val="000000"/>
          <w:sz w:val="22"/>
          <w:szCs w:val="22"/>
        </w:rPr>
        <w:t xml:space="preserve">No período entre a apresentação da documentação prevista na </w:t>
      </w:r>
      <w:r>
        <w:rPr>
          <w:rFonts w:cs="Arial" w:ascii="Arial" w:hAnsi="Arial"/>
          <w:b/>
          <w:bCs/>
          <w:color w:val="000000"/>
          <w:sz w:val="22"/>
          <w:szCs w:val="22"/>
          <w:u w:val="single"/>
        </w:rPr>
        <w:t>ETAPA 1</w:t>
      </w:r>
      <w:r>
        <w:rPr>
          <w:rFonts w:cs="Arial" w:ascii="Arial" w:hAnsi="Arial"/>
          <w:color w:val="000000"/>
          <w:sz w:val="22"/>
          <w:szCs w:val="22"/>
        </w:rPr>
        <w:t xml:space="preserve"> da fase de celebração e a assinatura do instrumento da parceria, a OSC fica obrigada a informar qualquer evento superveniente que possa prejudicar a regular celebração da parceria, sobretudo quanto ao cumprimento dos requisitos e exigências previstos para celebração.</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6.5.4. A OSC deverá comunicar alterações em seus atos societários e no quadro de dirigentes, quando houver.</w:t>
      </w:r>
    </w:p>
    <w:p>
      <w:pPr>
        <w:pStyle w:val="Standard"/>
        <w:tabs>
          <w:tab w:val="left" w:pos="709" w:leader="none"/>
        </w:tabs>
        <w:spacing w:lineRule="auto" w:line="360"/>
        <w:jc w:val="both"/>
        <w:rPr>
          <w:rFonts w:ascii="Arial" w:hAnsi="Arial" w:cs="Arial"/>
          <w:sz w:val="22"/>
          <w:szCs w:val="22"/>
        </w:rPr>
      </w:pPr>
      <w:r>
        <w:rPr>
          <w:rFonts w:cs="Arial" w:ascii="Arial" w:hAnsi="Arial"/>
          <w:b/>
          <w:bCs/>
          <w:color w:val="000000"/>
          <w:sz w:val="22"/>
          <w:szCs w:val="22"/>
        </w:rPr>
        <w:t xml:space="preserve">6.6. Etapa 5: </w:t>
      </w:r>
      <w:r>
        <w:rPr>
          <w:rFonts w:eastAsia="Calibri" w:cs="Arial" w:ascii="Arial" w:hAnsi="Arial"/>
          <w:b/>
          <w:bCs/>
          <w:color w:val="000000"/>
          <w:sz w:val="22"/>
          <w:szCs w:val="22"/>
          <w:lang w:eastAsia="en-US"/>
        </w:rPr>
        <w:t>Publicação do extrato do termo de colaboração no Diário Oficial do Município</w:t>
      </w:r>
    </w:p>
    <w:p>
      <w:pPr>
        <w:pStyle w:val="Standard"/>
        <w:tabs>
          <w:tab w:val="left" w:pos="709" w:leader="none"/>
        </w:tabs>
        <w:spacing w:lineRule="auto" w:line="360"/>
        <w:jc w:val="both"/>
        <w:rPr>
          <w:rFonts w:ascii="Arial" w:hAnsi="Arial" w:cs="Arial"/>
          <w:sz w:val="22"/>
          <w:szCs w:val="22"/>
        </w:rPr>
      </w:pPr>
      <w:r>
        <w:rPr>
          <w:rFonts w:eastAsia="Calibri" w:cs="Arial" w:ascii="Arial" w:hAnsi="Arial"/>
          <w:color w:val="000000"/>
          <w:sz w:val="22"/>
          <w:szCs w:val="22"/>
          <w:lang w:eastAsia="en-US"/>
        </w:rPr>
        <w:t>6.6.1. O Termo de Colaboração somente produzirá efeitos jurídicos após a publicação do respectivo extrato no meio oficial de publicidade da Administração Pública Municipal (art. 38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6.6.2. A Administração Pública Municipal deverá manter, em seu sítio oficial (</w:t>
      </w:r>
      <w:hyperlink r:id="rId2">
        <w:r>
          <w:rPr>
            <w:rStyle w:val="Hyperlink"/>
            <w:rFonts w:cs="Arial" w:ascii="Arial" w:hAnsi="Arial"/>
            <w:color w:val="000000"/>
            <w:sz w:val="22"/>
            <w:szCs w:val="22"/>
          </w:rPr>
          <w:t>www.itatiba.sp.gov.br</w:t>
        </w:r>
      </w:hyperlink>
      <w:r>
        <w:rPr>
          <w:rFonts w:cs="Arial" w:ascii="Arial" w:hAnsi="Arial"/>
          <w:color w:val="000000"/>
          <w:sz w:val="22"/>
          <w:szCs w:val="22"/>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na parceria (art. 12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6.6.3. A OSC deverá divulgar na internet, em seu sítio oficial, e em locais visíveis de suas sedes sociais e dos estabelecimentos em que exerça suas ações a parceria celebrada com a Administração Pública Municipal, sendo que as informações deverão incluir, no mínimo:</w:t>
      </w:r>
      <w:bookmarkStart w:id="2" w:name="m_4136101817286224392_art11pi"/>
      <w:bookmarkEnd w:id="2"/>
      <w:r>
        <w:rPr>
          <w:rFonts w:cs="Arial" w:ascii="Arial" w:hAnsi="Arial"/>
          <w:color w:val="000000"/>
          <w:sz w:val="22"/>
          <w:szCs w:val="22"/>
        </w:rPr>
        <w:t xml:space="preserve"> I - data de assinatura e identificação do instrumento de parceria e do órgão da administração pública responsável;</w:t>
      </w:r>
      <w:bookmarkStart w:id="3" w:name="m_4136101817286224392_art11pii"/>
      <w:bookmarkEnd w:id="3"/>
      <w:r>
        <w:rPr>
          <w:rFonts w:cs="Arial" w:ascii="Arial" w:hAnsi="Arial"/>
          <w:color w:val="000000"/>
          <w:sz w:val="22"/>
          <w:szCs w:val="22"/>
        </w:rPr>
        <w:t xml:space="preserve"> II - nome da organização da sociedade civil e seu número de inscrição no Cadastro Nacional da Pessoa Jurídica - CNPJ da Secretaria da Receita Federal do Brasil – RFB;</w:t>
      </w:r>
      <w:bookmarkStart w:id="4" w:name="m_4136101817286224392_art11piii"/>
      <w:bookmarkEnd w:id="4"/>
      <w:r>
        <w:rPr>
          <w:rFonts w:cs="Arial" w:ascii="Arial" w:hAnsi="Arial"/>
          <w:color w:val="000000"/>
          <w:sz w:val="22"/>
          <w:szCs w:val="22"/>
        </w:rPr>
        <w:t xml:space="preserve"> III - descrição do objeto da parceria;</w:t>
      </w:r>
      <w:bookmarkStart w:id="5" w:name="m_4136101817286224392_art11piv."/>
      <w:bookmarkStart w:id="6" w:name="m_4136101817286224392_art11piv"/>
      <w:bookmarkEnd w:id="5"/>
      <w:bookmarkEnd w:id="6"/>
      <w:r>
        <w:rPr>
          <w:rFonts w:cs="Arial" w:ascii="Arial" w:hAnsi="Arial"/>
          <w:color w:val="000000"/>
          <w:sz w:val="22"/>
          <w:szCs w:val="22"/>
        </w:rPr>
        <w:t xml:space="preserve"> IV - valor total da parceria e valores liberados, quando for o caso;</w:t>
      </w:r>
      <w:bookmarkStart w:id="7" w:name="m_4136101817286224392_art11pv"/>
      <w:bookmarkEnd w:id="7"/>
      <w:r>
        <w:rPr>
          <w:rFonts w:cs="Arial" w:ascii="Arial" w:hAnsi="Arial"/>
          <w:color w:val="000000"/>
          <w:sz w:val="22"/>
          <w:szCs w:val="22"/>
        </w:rPr>
        <w:t xml:space="preserve"> V - situação da prestação de contas da parceria, que deverá informar a data prevista para a sua apresentação, a data em que foi apresentada, o prazo para a sua análise e o resultado conclusivo</w:t>
      </w:r>
      <w:bookmarkStart w:id="8" w:name="m_4136101817286224392_art11pvi"/>
      <w:bookmarkEnd w:id="8"/>
      <w:r>
        <w:rPr>
          <w:rFonts w:cs="Arial" w:ascii="Arial" w:hAnsi="Arial"/>
          <w:color w:val="000000"/>
          <w:sz w:val="22"/>
          <w:szCs w:val="22"/>
        </w:rPr>
        <w:t>; e, 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0" w:leader="none"/>
        </w:tabs>
        <w:spacing w:lineRule="auto" w:line="360"/>
        <w:jc w:val="both"/>
        <w:rPr>
          <w:rFonts w:ascii="Arial" w:hAnsi="Arial" w:cs="Arial"/>
          <w:sz w:val="22"/>
          <w:szCs w:val="22"/>
        </w:rPr>
      </w:pPr>
      <w:r>
        <w:rPr>
          <w:rFonts w:cs="Arial" w:ascii="Arial" w:hAnsi="Arial"/>
          <w:b/>
          <w:color w:val="000000"/>
          <w:sz w:val="22"/>
          <w:szCs w:val="22"/>
        </w:rPr>
        <w:t>7 - PROGRAMAÇÃO ORÇAMENTÁRIA E VALOR PREVISTO PARA A REALIZAÇÃO DO OBJETO (ART. 24, § 1º, INCISO I, LEI Nº 13.019/2014).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sz w:val="22"/>
          <w:szCs w:val="22"/>
        </w:rPr>
        <w:t>7.1. Os créditos orçamentários necessários ao custeio de despesas relativas ao presente Edital são provenientes da dotação orçamentária classificada 3.3.50.39.00 – Outros Serviços de Terceiros-Pessoa Jurídica; 10.302.0007.2.028 – Manutenção da Secretaria de Saúde/Fundo Municipal de Saúde/Assistência Hospitalar e Ambulatorial.</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sz w:val="22"/>
          <w:szCs w:val="22"/>
        </w:rPr>
        <w:t xml:space="preserve">7.2. O valor total de recursos disponibilizados para a celebração da parceria será de </w:t>
      </w:r>
      <w:r>
        <w:rPr>
          <w:rFonts w:cs="Arial" w:ascii="Arial" w:hAnsi="Arial"/>
          <w:b/>
          <w:bCs/>
          <w:sz w:val="22"/>
          <w:szCs w:val="22"/>
          <w:u w:val="single"/>
        </w:rPr>
        <w:t>R$ 416.117,16 (quatrocentos e dezesseis mil cento e dezessete reais e dezesseis centavos).</w:t>
      </w:r>
      <w:r>
        <w:rPr>
          <w:rFonts w:cs="Arial" w:ascii="Arial" w:hAnsi="Arial"/>
          <w:sz w:val="22"/>
          <w:szCs w:val="22"/>
        </w:rPr>
        <w:t xml:space="preserve"> Contudo</w:t>
      </w:r>
      <w:r>
        <w:rPr>
          <w:rFonts w:cs="Arial" w:ascii="Arial" w:hAnsi="Arial"/>
          <w:color w:val="000000"/>
          <w:sz w:val="22"/>
          <w:szCs w:val="22"/>
        </w:rPr>
        <w:t>, o exato valor a ser repassado será definido no Termo de Colaboração, observada a proposta apresentada pela OSC selecionada.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7.3.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7.4. A Administração Pública Municipal deverá viabilizar o acompanhamento pelo seu sítio oficial (</w:t>
      </w:r>
      <w:hyperlink r:id="rId3">
        <w:r>
          <w:rPr>
            <w:rStyle w:val="Hyperlink"/>
            <w:rFonts w:cs="Arial" w:ascii="Arial" w:hAnsi="Arial"/>
            <w:color w:val="000000"/>
            <w:sz w:val="22"/>
            <w:szCs w:val="22"/>
          </w:rPr>
          <w:t>www.itatiba.sp.gov.br</w:t>
        </w:r>
      </w:hyperlink>
      <w:r>
        <w:rPr>
          <w:rFonts w:cs="Arial" w:ascii="Arial" w:hAnsi="Arial"/>
          <w:color w:val="000000"/>
          <w:sz w:val="22"/>
          <w:szCs w:val="22"/>
        </w:rPr>
        <w:t>) do processo de liberação de recursos referente à parceria celebrada (art. 50 da Lei nº 13.019/14).</w:t>
      </w:r>
    </w:p>
    <w:p>
      <w:pPr>
        <w:pStyle w:val="Textbody"/>
        <w:spacing w:lineRule="auto" w:line="360" w:before="0" w:after="0"/>
        <w:jc w:val="both"/>
        <w:rPr>
          <w:rFonts w:ascii="Arial" w:hAnsi="Arial" w:cs="Arial"/>
        </w:rPr>
      </w:pPr>
      <w:r>
        <w:rPr>
          <w:rFonts w:cs="Arial" w:ascii="Arial" w:hAnsi="Arial"/>
          <w:color w:val="000000"/>
        </w:rPr>
        <w:t>7.5. Os recursos recebidos em decorrência desta parceria serão depositados em conta-corrente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360" w:before="0" w:after="0"/>
        <w:jc w:val="both"/>
        <w:rPr>
          <w:rFonts w:ascii="Arial" w:hAnsi="Arial" w:cs="Arial"/>
        </w:rPr>
      </w:pPr>
      <w:bookmarkStart w:id="9" w:name="m_4136101817286224392_art52"/>
      <w:bookmarkStart w:id="10" w:name="m_4136101817286224392_art52."/>
      <w:bookmarkEnd w:id="9"/>
      <w:bookmarkEnd w:id="10"/>
      <w:r>
        <w:rPr>
          <w:rFonts w:cs="Arial" w:ascii="Arial" w:hAnsi="Arial"/>
          <w:color w:val="000000"/>
        </w:rPr>
        <w:t>7.6.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360" w:before="0" w:after="0"/>
        <w:jc w:val="both"/>
        <w:rPr>
          <w:rFonts w:ascii="Arial" w:hAnsi="Arial" w:cs="Arial"/>
        </w:rPr>
      </w:pPr>
      <w:r>
        <w:rPr>
          <w:rFonts w:cs="Arial" w:ascii="Arial" w:hAnsi="Arial"/>
          <w:color w:val="000000"/>
        </w:rPr>
        <w:t xml:space="preserve">7.6.1.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cs="Arial" w:ascii="Arial" w:hAnsi="Arial"/>
          <w:b/>
          <w:bCs/>
          <w:color w:val="000000"/>
        </w:rPr>
        <w:t>ANEXO X - Declaração de Promessa de Transferência</w:t>
      </w:r>
      <w:r>
        <w:rPr>
          <w:rFonts w:cs="Arial" w:ascii="Arial" w:hAnsi="Arial"/>
          <w:color w:val="000000"/>
        </w:rPr>
        <w:t>.</w:t>
      </w:r>
    </w:p>
    <w:p>
      <w:pPr>
        <w:pStyle w:val="Textbody"/>
        <w:spacing w:lineRule="auto" w:line="360" w:before="0" w:after="0"/>
        <w:jc w:val="both"/>
        <w:rPr>
          <w:rFonts w:ascii="Arial" w:hAnsi="Arial" w:cs="Arial"/>
        </w:rPr>
      </w:pPr>
      <w:r>
        <w:rPr>
          <w:rFonts w:cs="Arial" w:ascii="Arial" w:hAnsi="Arial"/>
          <w:color w:val="000000"/>
        </w:rPr>
        <w:t>7.6.2.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360" w:before="0" w:after="0"/>
        <w:jc w:val="both"/>
        <w:rPr>
          <w:rFonts w:ascii="Arial" w:hAnsi="Arial" w:cs="Arial"/>
        </w:rPr>
      </w:pPr>
      <w:bookmarkStart w:id="11" w:name="m_4136101817286224392_art53"/>
      <w:bookmarkEnd w:id="11"/>
      <w:r>
        <w:rPr>
          <w:rFonts w:cs="Arial" w:ascii="Arial" w:hAnsi="Arial"/>
          <w:color w:val="000000"/>
        </w:rPr>
        <w:t>7.7.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360" w:before="0" w:after="0"/>
        <w:jc w:val="both"/>
        <w:rPr>
          <w:rFonts w:ascii="Arial" w:hAnsi="Arial" w:cs="Arial"/>
        </w:rPr>
      </w:pPr>
      <w:r>
        <w:rPr>
          <w:rFonts w:cs="Arial" w:ascii="Arial" w:hAnsi="Arial"/>
          <w:color w:val="000000"/>
        </w:rPr>
        <w:t>7.8. As despesas relacionadas à execução da parceria serão executadas nos termos dos incisos XIX e XX do art. 42 da Lei nº 13.019/14, sendo vedado: I - utilizar recursos para finalidade alheia ao objeto da parceria;</w:t>
      </w:r>
      <w:bookmarkStart w:id="12" w:name="m_4136101817286224392_art45ii"/>
      <w:bookmarkEnd w:id="12"/>
      <w:r>
        <w:rPr>
          <w:rFonts w:cs="Arial" w:ascii="Arial" w:hAnsi="Arial"/>
          <w:color w:val="000000"/>
        </w:rPr>
        <w:t xml:space="preserve"> II - remunerar, a qualquer título, servidor ou empregado público, </w:t>
      </w:r>
      <w:r>
        <w:rPr>
          <w:rFonts w:cs="Arial" w:ascii="Arial" w:hAnsi="Arial"/>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Arial" w:ascii="Arial" w:hAnsi="Arial"/>
          <w:color w:val="000000"/>
        </w:rPr>
        <w:t xml:space="preserve"> com recursos vinculados à parceria, salvo nas hipóteses previstas em lei específica e na lei de diretrizes orçamentárias (art. 45 da Lei nº 13.019/14).</w:t>
      </w:r>
    </w:p>
    <w:p>
      <w:pPr>
        <w:pStyle w:val="Textbody"/>
        <w:spacing w:lineRule="auto" w:line="360" w:before="0" w:after="0"/>
        <w:jc w:val="both"/>
        <w:rPr>
          <w:rFonts w:ascii="Arial" w:hAnsi="Arial" w:cs="Arial"/>
        </w:rPr>
      </w:pPr>
      <w:bookmarkStart w:id="13" w:name="m_4136101817286224392_art45iii"/>
      <w:bookmarkStart w:id="14" w:name="m_4136101817286224392_art46."/>
      <w:bookmarkEnd w:id="13"/>
      <w:bookmarkEnd w:id="14"/>
      <w:r>
        <w:rPr>
          <w:rFonts w:cs="Arial" w:ascii="Arial" w:hAnsi="Arial"/>
          <w:color w:val="000000"/>
        </w:rPr>
        <w:t>7.9.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15" w:name="m_4136101817286224392_art46iv"/>
      <w:bookmarkEnd w:id="15"/>
      <w:r>
        <w:rPr>
          <w:rFonts w:cs="Arial" w:ascii="Arial" w:hAnsi="Arial"/>
          <w:color w:val="000000"/>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360" w:before="0" w:after="0"/>
        <w:jc w:val="both"/>
        <w:rPr>
          <w:rFonts w:ascii="Arial" w:hAnsi="Arial" w:cs="Arial"/>
        </w:rPr>
      </w:pPr>
      <w:r>
        <w:rPr>
          <w:rFonts w:cs="Arial" w:ascii="Arial" w:hAnsi="Arial"/>
          <w:color w:val="000000"/>
        </w:rPr>
        <w:t>7.10. A inadimplência da Administração Pública Municipal não transfere à organização da sociedade civil a responsabilidade pelo pagamento de obrigações vinculadas à parceria com recursos próprios (art. 46, § 1º da Lei nº 13.019/14).</w:t>
      </w:r>
    </w:p>
    <w:p>
      <w:pPr>
        <w:pStyle w:val="Textbody"/>
        <w:spacing w:lineRule="auto" w:line="360" w:before="0" w:after="0"/>
        <w:jc w:val="both"/>
        <w:rPr>
          <w:rFonts w:ascii="Arial" w:hAnsi="Arial" w:cs="Arial"/>
        </w:rPr>
      </w:pPr>
      <w:r>
        <w:rPr>
          <w:rFonts w:cs="Arial" w:ascii="Arial" w:hAnsi="Arial"/>
          <w:color w:val="000000"/>
        </w:rPr>
        <w:t>7.11. A inadimplência da organização da sociedade civil em decorrência de atrasos na liberação de repasses relacionados à parceria não poderá acarretar restrições à liberação de parcelas subsequentes (art. 46, § 2º da Lei nº 13.019/14).</w:t>
      </w:r>
    </w:p>
    <w:p>
      <w:pPr>
        <w:pStyle w:val="Textbody"/>
        <w:spacing w:lineRule="auto" w:line="360" w:before="0" w:after="0"/>
        <w:jc w:val="both"/>
        <w:rPr>
          <w:rFonts w:ascii="Arial" w:hAnsi="Arial" w:cs="Arial"/>
        </w:rPr>
      </w:pPr>
      <w:r>
        <w:rPr>
          <w:rFonts w:cs="Arial" w:ascii="Arial" w:hAnsi="Arial"/>
          <w:color w:val="000000"/>
        </w:rPr>
        <w:t>7.12. O pagamento de remuneração da equipe contratada pela organização da sociedade civil com recursos da parceria não gera vínculo trabalhista com o poder público (art. 46, § 3º da Lei nº 13.019/14).</w:t>
      </w:r>
    </w:p>
    <w:p>
      <w:pPr>
        <w:pStyle w:val="Textbody"/>
        <w:spacing w:lineRule="auto" w:line="360" w:before="0" w:after="0"/>
        <w:jc w:val="both"/>
        <w:rPr>
          <w:rFonts w:ascii="Arial" w:hAnsi="Arial" w:cs="Arial"/>
        </w:rPr>
      </w:pPr>
      <w:r>
        <w:rPr>
          <w:rFonts w:cs="Arial" w:ascii="Arial" w:hAnsi="Arial"/>
          <w:color w:val="000000"/>
        </w:rPr>
        <w:t>7.13.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360" w:before="0" w:after="0"/>
        <w:jc w:val="both"/>
        <w:rPr>
          <w:rFonts w:ascii="Arial" w:hAnsi="Arial" w:cs="Arial"/>
        </w:rPr>
      </w:pPr>
      <w:bookmarkStart w:id="16" w:name="m_4136101817286224392_art42xx"/>
      <w:bookmarkStart w:id="17" w:name="m_4136101817286224392_art42xx."/>
      <w:bookmarkEnd w:id="16"/>
      <w:bookmarkEnd w:id="17"/>
      <w:r>
        <w:rPr>
          <w:rFonts w:cs="Arial" w:ascii="Arial" w:hAnsi="Arial"/>
          <w:color w:val="000000"/>
        </w:rPr>
        <w:t>7.14.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7.15.</w:t>
      </w:r>
      <w:r>
        <w:rPr>
          <w:rFonts w:cs="Arial" w:ascii="Arial" w:hAnsi="Arial"/>
          <w:bCs/>
          <w:color w:val="000000"/>
          <w:sz w:val="22"/>
          <w:szCs w:val="22"/>
        </w:rPr>
        <w:t xml:space="preserve">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8 - CONTRAPARTIDA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8.1. </w:t>
      </w:r>
      <w:r>
        <w:rPr>
          <w:rFonts w:cs="Arial" w:ascii="Arial" w:hAnsi="Arial"/>
          <w:bCs/>
          <w:color w:val="000000"/>
          <w:sz w:val="22"/>
          <w:szCs w:val="22"/>
        </w:rPr>
        <w:t>Não será exigida qualquer contrapartida da OSC selecionada.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bCs/>
          <w:color w:val="000000"/>
          <w:sz w:val="22"/>
          <w:szCs w:val="22"/>
        </w:rPr>
        <w:tab/>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bCs/>
          <w:color w:val="000000"/>
          <w:sz w:val="22"/>
          <w:szCs w:val="22"/>
        </w:rPr>
        <w:t>9 - DO MONITORAMENTO E AVALIAÇÃO DO TERMO DE COLABORAÇÃO</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9.1. A Administração Pública Municipal promoverá o monitoramento e a avaliação do cumprimento do objeto da parceria (art. 58, caput, da Lei nº 13.019/14).</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9.2. Para tanto, deverá ser promovida a nomeação da Comissão de Monitoramento e Avaliação, a que alude o art. 35, inc. V, al. “h” da Lei nº 13.019/14, um órgão colegiado destinado a monitorar e avaliar a parceria celebrada com a OSC selecionada, mediante Termo de Colaboração, constituído por ato publicado em meio oficial de comunicação, assegurada a participação de, pelo menos, um servidor ocupante de cargo efetivo, e do Gestor da Parceria, a que alude o art. 35, inc. V, al. “g” da Lei nº 13.019/14, que será um agente público responsável pela gestão da parceria firmada, também designado por ato publicado em meio oficial de comunicação, com poderes de controle e fiscalização.</w:t>
      </w:r>
    </w:p>
    <w:p>
      <w:pPr>
        <w:pStyle w:val="Textbody"/>
        <w:spacing w:lineRule="auto" w:line="360" w:before="0" w:after="0"/>
        <w:jc w:val="both"/>
        <w:rPr>
          <w:rFonts w:ascii="Arial" w:hAnsi="Arial" w:cs="Arial"/>
        </w:rPr>
      </w:pPr>
      <w:r>
        <w:rPr>
          <w:rFonts w:cs="Arial" w:ascii="Arial" w:hAnsi="Arial"/>
          <w:color w:val="000000"/>
        </w:rPr>
        <w:t>9.3. Será impedido de participar como Gestor da Parceria ou como membro da Comissão de Monitoramento e Avaliação pessoa que, nos últimos 5 (cinco) anos, tenha mantido relação jurídica com, ao menos, 1 (uma) das Organizações da Sociedade Civil partícipes (art. 35, § 6º da Lei nº 13.019/14).</w:t>
      </w:r>
    </w:p>
    <w:p>
      <w:pPr>
        <w:pStyle w:val="Textbody"/>
        <w:widowControl w:val="false"/>
        <w:tabs>
          <w:tab w:val="left" w:pos="709" w:leader="none"/>
        </w:tabs>
        <w:spacing w:lineRule="auto" w:line="360" w:before="0" w:after="0"/>
        <w:jc w:val="both"/>
        <w:rPr>
          <w:rFonts w:ascii="Arial" w:hAnsi="Arial" w:cs="Arial"/>
        </w:rPr>
      </w:pPr>
      <w:bookmarkStart w:id="18" w:name="m_4136101817286224392_art35%252525252525"/>
      <w:bookmarkEnd w:id="18"/>
      <w:r>
        <w:rPr>
          <w:rFonts w:cs="Arial" w:ascii="Arial" w:hAnsi="Arial"/>
          <w:color w:val="000000"/>
        </w:rPr>
        <w:t>9.4. Configurado o impedimento, deverá ser designado gestor ou membro substituto que possua qualificação técnica equivalente à do substituído (art. 35, § 7º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9.5. A Administração Pública Municipal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Organização da Sociedade Civil (art. 59,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9.6. O relatório técnico de monitoramento e avaliação da parceria, a ser elaborado pela Administração Pública Municipal, sem prejuízo de outros elementos, deverá conter: a.) descrição sumária das atividades e metas estabelecidas, b.) análise das atividades realizadas, do cumprimento das metas e do impacto do benefício social obtido em razão da execução do objeto até o período, com base nos indicadores estabelecidos e aprovados no plano de trabalho, c.) valores efetivamente transferidos pela administração pública, d.) análise dos documentos comprobatórios das despesas apresentados pela organização da sociedade civil na prestação de contas, quando não for comprovado o alcance das metas e resultados estabelecidos no respectivo termo de colaboração, 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9.7. São obrigações do Gestor da Parceria: a.) acompanhar e fiscalizar a execução da parceria, 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c.) emitir parecer técnico conclusivo de análise da prestação de contas final, levando em consideração o conteúdo do relatório técnico de monitoramento e avaliação de que tratam os itens 9.5 e 9.6 deste Edital, d.) disponibilizar materiais e equipamentos tecnológicos necessários às atividades de monitoramento e avaliação (art. 61, caput, I a V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9.8.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9.9. Na hipótese de inexecução da parceria, por culpa exclusiva da Organização da Sociedade Civil, a Administração Pública Municipal poderá, exclusivamente para assegurar o atendimento de serviços essenciais à população, por ato próprio e independentemente de autorização judicial, a fim de realizar ou manter a execução das metas ou atividades pactuadas: I - retomar os bens públicos em poder da Organização da Sociedade Civil parceira, qualquer que tenha sido a modalidade ou título que concedeu direitos de uso de tais bens (se houver); 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Pública assumiu essas responsabilidades, sendo que tais situações devem ser comunicadas pelo gestor ao Chefe do Poder Executivo (art. 62, caput, incs. I e II, parágrafo único,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ab/>
      </w:r>
      <w:r>
        <w:rPr>
          <w:rFonts w:cs="Arial" w:ascii="Arial" w:hAnsi="Arial"/>
          <w:color w:val="000000"/>
          <w:sz w:val="22"/>
          <w:szCs w:val="22"/>
          <w:lang w:val="pt-PT"/>
        </w:rPr>
        <w:t xml:space="preserve">9.10. A Organização da Sociedade Civil também deverá nomear um responsável pela boa administração e aplicação dos recursos recebidos, cujo nome constará do Termo de Colaboração a ser celebrado, mediante a lavratura de Termo de Responsabilidade Pessoal, consoante </w:t>
      </w:r>
      <w:r>
        <w:rPr>
          <w:rFonts w:cs="Arial" w:ascii="Arial" w:hAnsi="Arial"/>
          <w:b/>
          <w:bCs/>
          <w:color w:val="000000"/>
          <w:sz w:val="22"/>
          <w:szCs w:val="22"/>
          <w:lang w:val="pt-PT"/>
        </w:rPr>
        <w:t>ANEXO XI – TERMO DE RESPONSABILIDADE PESSOAL.</w:t>
      </w:r>
    </w:p>
    <w:p>
      <w:pPr>
        <w:pStyle w:val="Standard"/>
        <w:tabs>
          <w:tab w:val="clear" w:pos="709"/>
          <w:tab w:val="left" w:pos="284" w:leader="none"/>
        </w:tabs>
        <w:spacing w:lineRule="auto" w:line="360"/>
        <w:jc w:val="both"/>
        <w:rPr>
          <w:rFonts w:ascii="Arial" w:hAnsi="Arial" w:cs="Arial"/>
          <w:color w:val="000000"/>
          <w:sz w:val="22"/>
          <w:szCs w:val="22"/>
          <w:lang w:val="pt-PT"/>
        </w:rPr>
      </w:pPr>
      <w:r>
        <w:rPr>
          <w:rFonts w:cs="Arial" w:ascii="Arial" w:hAnsi="Arial"/>
          <w:color w:val="000000"/>
          <w:sz w:val="22"/>
          <w:szCs w:val="22"/>
          <w:lang w:val="pt-PT"/>
        </w:rPr>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b/>
          <w:bCs/>
          <w:color w:val="000000"/>
          <w:sz w:val="22"/>
          <w:szCs w:val="22"/>
        </w:rPr>
        <w:t>10 - DA PRESTAÇÃO DE CONTAS</w:t>
      </w:r>
    </w:p>
    <w:p>
      <w:pPr>
        <w:pStyle w:val="Textbody"/>
        <w:spacing w:lineRule="auto" w:line="360" w:before="0" w:after="0"/>
        <w:jc w:val="both"/>
        <w:rPr>
          <w:rFonts w:ascii="Arial" w:hAnsi="Arial" w:cs="Arial"/>
        </w:rPr>
      </w:pPr>
      <w:r>
        <w:rPr>
          <w:rFonts w:cs="Arial" w:ascii="Arial" w:hAnsi="Arial"/>
          <w:color w:val="000000"/>
        </w:rPr>
        <w:t>10.1. A prestação de contas é o procedimento em que se analisa e se avalia a execução da parceria, pelo qual seja possível verificar o cumprimento do objeto da parceria e o alcance das metas e dos resultados previstos, compreendendo duas fases:</w:t>
      </w:r>
      <w:bookmarkStart w:id="19" w:name="m_4136101817286224392_art2xiva"/>
      <w:bookmarkEnd w:id="19"/>
      <w:r>
        <w:rPr>
          <w:rFonts w:cs="Arial" w:ascii="Arial" w:hAnsi="Arial"/>
          <w:color w:val="000000"/>
        </w:rPr>
        <w:t xml:space="preserve"> a) apresentação das contas, de responsabilidade da Organização da Sociedade Civil;</w:t>
      </w:r>
      <w:bookmarkStart w:id="20" w:name="m_4136101817286224392_art2xivb"/>
      <w:bookmarkEnd w:id="20"/>
      <w:r>
        <w:rPr>
          <w:rFonts w:cs="Arial" w:ascii="Arial" w:hAnsi="Arial"/>
          <w:color w:val="000000"/>
        </w:rPr>
        <w:t xml:space="preserve"> b) análise e manifestação conclusiva das contas, de responsabilidade da Administração Pública Municipal, sem prejuízo da atuação dos órgãos de controle (art. 2º, XIV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10.3. Serão glosados valores relacionados a metas e resultados descumpridos sem justificativa suficiente (art. 64,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10.5. A prestação de contas pela Organização da Sociedade Civil e todos os atos que dela decorram dar-se-ão em plataforma eletrônica, permitindo a visualização por qualquer interessado (art. 65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 xml:space="preserve">10.6. A Organização da Sociedade Civil deverá apresentar prestação de contas da boa e regular aplicação dos recursos recebidos no prazo de </w:t>
      </w:r>
      <w:r>
        <w:rPr>
          <w:rFonts w:cs="Arial" w:ascii="Arial" w:hAnsi="Arial"/>
          <w:b/>
          <w:bCs/>
          <w:color w:val="000000"/>
          <w:sz w:val="22"/>
          <w:szCs w:val="22"/>
          <w:u w:val="single"/>
        </w:rPr>
        <w:t>até 90 (noventa) dias corridos</w:t>
      </w:r>
      <w:r>
        <w:rPr>
          <w:rFonts w:cs="Arial" w:ascii="Arial" w:hAnsi="Arial"/>
          <w:color w:val="000000"/>
          <w:sz w:val="22"/>
          <w:szCs w:val="22"/>
        </w:rPr>
        <w:t xml:space="preserve">, a partir do término da vigência da parceria, ou </w:t>
      </w:r>
      <w:r>
        <w:rPr>
          <w:rFonts w:cs="Arial" w:ascii="Arial" w:hAnsi="Arial"/>
          <w:b/>
          <w:bCs/>
          <w:color w:val="000000"/>
          <w:sz w:val="22"/>
          <w:szCs w:val="22"/>
          <w:u w:val="single"/>
        </w:rPr>
        <w:t>no final de cada exercício</w:t>
      </w:r>
      <w:r>
        <w:rPr>
          <w:rFonts w:cs="Arial" w:ascii="Arial" w:hAnsi="Arial"/>
          <w:color w:val="000000"/>
          <w:sz w:val="22"/>
          <w:szCs w:val="22"/>
        </w:rPr>
        <w:t>, se a duração da parceria exceder um ano (arts. 67, § 2º e 69,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10.6.1. A prestação de contas dar-se-á mediante os seguintes relatórios, a serem elaborados e apresentados pela Organização da Sociedade Civil, no prazo previsto no item 10.7. Deste Edital: a.) relatório de execução do objeto, contendo as atividades desenvolvidas para o cumprimento do objeto e o comparativo de metas propostas com os resultados alcançados; e, 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 xml:space="preserve">10.6.2. O prazo poderá ser prorrogado por </w:t>
      </w:r>
      <w:r>
        <w:rPr>
          <w:rFonts w:cs="Arial" w:ascii="Arial" w:hAnsi="Arial"/>
          <w:b/>
          <w:bCs/>
          <w:color w:val="000000"/>
          <w:sz w:val="22"/>
          <w:szCs w:val="22"/>
          <w:u w:val="single"/>
        </w:rPr>
        <w:t>até 30 (trinta) dias</w:t>
      </w:r>
      <w:r>
        <w:rPr>
          <w:rFonts w:cs="Arial" w:ascii="Arial" w:hAnsi="Arial"/>
          <w:color w:val="000000"/>
          <w:sz w:val="22"/>
          <w:szCs w:val="22"/>
        </w:rPr>
        <w:t>, a requerimento da Organização da Sociedade Civil, desde que devidamente justificado (art. 69, § 4º,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10.7. A prestação de contas não impede que a Administração Pública Municipal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 xml:space="preserve">10.8. O Gestor da Parceria emitirá parecer técnico conclusivo acerca da prestação de contas apresentada pela Organização da Sociedade Civil, no prazo de </w:t>
      </w:r>
      <w:r>
        <w:rPr>
          <w:rFonts w:cs="Arial" w:ascii="Arial" w:hAnsi="Arial"/>
          <w:b/>
          <w:bCs/>
          <w:color w:val="000000"/>
          <w:sz w:val="22"/>
          <w:szCs w:val="22"/>
          <w:u w:val="single"/>
        </w:rPr>
        <w:t>até 30 (trinta) dias corridos</w:t>
      </w:r>
      <w:r>
        <w:rPr>
          <w:rFonts w:cs="Arial" w:ascii="Arial" w:hAnsi="Arial"/>
          <w:color w:val="000000"/>
          <w:sz w:val="22"/>
          <w:szCs w:val="22"/>
        </w:rPr>
        <w:t>, a contar da apresentação da prestação de contas, para fins de avaliação do cumprimento do objeto da parceria (art. 67, caput e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10.8.1. Para fins de avaliação quanto à eficácia e efetividade das ações em execução ou que já foram realizadas, o parecer técnico elaborado pelo Gestor da Parceria deverá, obrigatoriamente, mencionar: I - os resultados já alcançados e seus benefícios; II - os impactos econômicos ou sociais; III - o grau de satisfação do público-alvo; IV - a possibilidade de sustentabilidade das ações após a conclusão do objeto pactuado (art. 67, § 4º, I a IV,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10.8.2. O parecer técnico deverá concluir, alternativamente, pela: I - aprovação da prestação de contas; II - aprovação da prestação de contas com ressalvas; ou, III - rejeição da prestação de contas e determinação de imediata instauração de tomada de contas especial (art. 69, § 5º, I a III,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 xml:space="preserve">10.9. Constatada, pelo Gestor da Parceria, irregularidade ou omissão na prestação de contas, que impeça a emissão do parecer conclusivo de sua responsabilidade, será concedido prazo de </w:t>
      </w:r>
      <w:r>
        <w:rPr>
          <w:rFonts w:cs="Arial" w:ascii="Arial" w:hAnsi="Arial"/>
          <w:b/>
          <w:bCs/>
          <w:color w:val="000000"/>
          <w:sz w:val="22"/>
          <w:szCs w:val="22"/>
          <w:u w:val="single"/>
        </w:rPr>
        <w:t>até 15 (quinze) dias corridos</w:t>
      </w:r>
      <w:r>
        <w:rPr>
          <w:rFonts w:cs="Arial" w:ascii="Arial" w:hAnsi="Arial"/>
          <w:color w:val="000000"/>
          <w:sz w:val="22"/>
          <w:szCs w:val="22"/>
        </w:rPr>
        <w:t>, a contar da notificação, para a Organização da Sociedade Civil sanar a irregularidade, omissão ou cumprir a obrigação (art. 70,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 xml:space="preserve">10.10. Com o laudo conclusivo do Gestor da Parceria, a Administração Pública Municipal apreciará a prestação de contas apresentada, no prazo de </w:t>
      </w:r>
      <w:r>
        <w:rPr>
          <w:rFonts w:cs="Arial" w:ascii="Arial" w:hAnsi="Arial"/>
          <w:b/>
          <w:bCs/>
          <w:color w:val="000000"/>
          <w:sz w:val="22"/>
          <w:szCs w:val="22"/>
          <w:u w:val="single"/>
        </w:rPr>
        <w:t>até 150 (cento e cinquenta) dias corridos</w:t>
      </w:r>
      <w:r>
        <w:rPr>
          <w:rFonts w:cs="Arial" w:ascii="Arial" w:hAnsi="Arial"/>
          <w:color w:val="000000"/>
          <w:sz w:val="22"/>
          <w:szCs w:val="22"/>
        </w:rPr>
        <w:t>, contado da data de seu recebimento ou do cumprimento de diligência por ela determinada, prorrogável justificadamente, por igual período (art. 71,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10.11. A Administração Pública Municipal deverá considerar em sua análise os seguintes relatórios elaborados internamente, quando houver: a.) relatório de visita técnica in loco eventualmente realizada durante a execução da parceria; e, 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10.12. A prestação de contas será avaliada: I - regular, quando expressar, de forma clara e objetiva, o cumprimento dos objetivos e metas estabelecidos no plano de trabalho; II - regular com ressalva, quando evidenciar impropriedade ou qualquer outra falta de natureza formal que não resulte em dano ao erário; III - irregular, quando comprovada qualquer das seguintes circunstâncias: a) omissão no dever de prestar contas; b) descumprimento injustificado dos objetivos e metas estabelecidos no plano de trabalho; c) dano ao erário decorrente de ato de gestão ilegítimo ou antieconômico; d) desfalque ou desvio de dinheiro, bens ou valores públicos (art. 72, caput, I a II, a, b, c e d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10.13. Da decisão que julgar a prestação de contas, caberá recurso ao Chefe do Poder Executivo, no prazo de 5 (cinco) dias úteis, a contar da comunicação da decisão à organização da sociedade civil.</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color w:val="000000"/>
          <w:sz w:val="22"/>
          <w:szCs w:val="22"/>
        </w:rPr>
        <w:t>10.14.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color w:val="000000"/>
          <w:sz w:val="22"/>
          <w:szCs w:val="22"/>
        </w:rPr>
        <w:t>10.15. O transcurso do prazo definido no item 10.10 deste Edital, sem que as contas tenham sido apreciadas: I - não significa impossibilidade de apreciação em data posterior ou vedação a que se adotem medidas saneadoras, punitivas ou destinadas a ressarcir danos que possam ter sido causados aos cofres públicos; 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10.16.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(art. 72,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10.17.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10.18. As impropriedades que deram causa à rejeição da prestação de contas serão registradas em plataforma eletrônica de acesso público, devendo ser levadas em consideração por ocasião da assinatura de futuras parcerias com a administração pública (art. 69, § 6º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10.19. Deverão ser observados, no que couber, os dispositivos da IN 02/2016 do TCE/SP e alterações.</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Textbody"/>
        <w:widowControl w:val="false"/>
        <w:tabs>
          <w:tab w:val="clear" w:pos="709"/>
          <w:tab w:val="left" w:pos="284" w:leader="none"/>
        </w:tabs>
        <w:spacing w:lineRule="auto" w:line="360" w:before="0" w:after="0"/>
        <w:jc w:val="both"/>
        <w:rPr>
          <w:rFonts w:ascii="Arial" w:hAnsi="Arial" w:cs="Arial"/>
        </w:rPr>
      </w:pPr>
      <w:r>
        <w:rPr>
          <w:rFonts w:cs="Arial" w:ascii="Arial" w:hAnsi="Arial"/>
          <w:b/>
          <w:bCs/>
          <w:color w:val="000000"/>
        </w:rPr>
        <w:t xml:space="preserve">11 - DAS SANÇÕES ADMINISTRATIVAS À ORGANIZAÇÃO DA SOCIEDADE CIVIL </w:t>
      </w:r>
    </w:p>
    <w:p>
      <w:pPr>
        <w:pStyle w:val="Textbody"/>
        <w:spacing w:lineRule="auto" w:line="360" w:before="0" w:after="0"/>
        <w:jc w:val="both"/>
        <w:rPr>
          <w:rFonts w:ascii="Arial" w:hAnsi="Arial" w:cs="Arial"/>
        </w:rPr>
      </w:pPr>
      <w:r>
        <w:rPr>
          <w:rFonts w:cs="Arial" w:ascii="Arial" w:hAnsi="Arial"/>
          <w:color w:val="000000"/>
        </w:rPr>
        <w:t xml:space="preserve">11.1. Pela execução da parceria em desacordo com o plano de trabalho, com a legislação específica e com as previsões deste Edital e seus anexos, a Administração Pública Municipal poderá, garantida a prévia defesa da entidade no respectivo processo, no prazo de 10 (dez) dias da abertura de vista, aplicar à Organização da Sociedade Civil as seguintes sanções: </w:t>
      </w:r>
      <w:bookmarkStart w:id="21" w:name="m_3666514495724632519_art73i"/>
      <w:bookmarkEnd w:id="21"/>
      <w:r>
        <w:rPr>
          <w:rFonts w:cs="Arial" w:ascii="Arial" w:hAnsi="Arial"/>
          <w:color w:val="000000"/>
        </w:rPr>
        <w:t>I – advertência;</w:t>
      </w:r>
      <w:bookmarkStart w:id="22" w:name="m_3666514495724632519_art73ii"/>
      <w:bookmarkStart w:id="23" w:name="m_3666514495724632519_art73ii."/>
      <w:bookmarkEnd w:id="22"/>
      <w:bookmarkEnd w:id="23"/>
      <w:r>
        <w:rPr>
          <w:rFonts w:cs="Arial" w:ascii="Arial" w:hAnsi="Arial"/>
          <w:color w:val="000000"/>
        </w:rPr>
        <w:t xml:space="preserve"> II - suspensão temporária da participação em Chamamento Público e impedimento de celebrar parceria ou contrato com órgãos e entidades da Administração Pública Municipal, por prazo não superior a dois anos;</w:t>
      </w:r>
      <w:bookmarkStart w:id="24" w:name="m_3666514495724632519_art73iii"/>
      <w:bookmarkEnd w:id="24"/>
      <w:r>
        <w:rPr>
          <w:rFonts w:cs="Arial" w:ascii="Arial" w:hAnsi="Arial"/>
          <w:color w:val="000000"/>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Standard"/>
        <w:spacing w:lineRule="auto" w:line="360"/>
        <w:jc w:val="both"/>
        <w:rPr>
          <w:rFonts w:ascii="Arial" w:hAnsi="Arial" w:eastAsia="Times New Roman" w:cs="Arial"/>
          <w:color w:val="000000"/>
          <w:sz w:val="22"/>
          <w:szCs w:val="22"/>
          <w:lang w:eastAsia="pt-BR" w:bidi="ar-SA"/>
        </w:rPr>
      </w:pPr>
      <w:r>
        <w:rPr>
          <w:rFonts w:eastAsia="Times New Roman" w:cs="Arial" w:ascii="Arial" w:hAnsi="Arial"/>
          <w:color w:val="000000"/>
          <w:sz w:val="22"/>
          <w:szCs w:val="22"/>
          <w:lang w:eastAsia="pt-BR" w:bidi="ar-SA"/>
        </w:rPr>
      </w:r>
    </w:p>
    <w:p>
      <w:pPr>
        <w:pStyle w:val="Standard"/>
        <w:spacing w:lineRule="auto" w:line="360"/>
        <w:jc w:val="both"/>
        <w:rPr>
          <w:rFonts w:ascii="Arial" w:hAnsi="Arial" w:cs="Arial"/>
          <w:sz w:val="22"/>
          <w:szCs w:val="22"/>
        </w:rPr>
      </w:pPr>
      <w:r>
        <w:rPr>
          <w:rFonts w:eastAsia="Times New Roman" w:cs="Arial" w:ascii="Arial" w:hAnsi="Arial"/>
          <w:b/>
          <w:color w:val="000000"/>
          <w:sz w:val="22"/>
          <w:szCs w:val="22"/>
          <w:lang w:eastAsia="pt-BR" w:bidi="ar-SA"/>
        </w:rPr>
        <w:t xml:space="preserve">12 - </w:t>
      </w:r>
      <w:r>
        <w:rPr>
          <w:rFonts w:cs="Arial" w:ascii="Arial" w:hAnsi="Arial"/>
          <w:b/>
          <w:bCs/>
          <w:color w:val="000000"/>
          <w:sz w:val="22"/>
          <w:szCs w:val="22"/>
        </w:rPr>
        <w:t>DO PRAZO DA PARCERIA E DA ALTERAÇÃO DO PLANO DE TRABALHO</w:t>
      </w:r>
    </w:p>
    <w:p>
      <w:pPr>
        <w:pStyle w:val="Standard"/>
        <w:spacing w:lineRule="auto" w:line="360"/>
        <w:jc w:val="both"/>
        <w:rPr>
          <w:rFonts w:ascii="Arial" w:hAnsi="Arial" w:cs="Arial"/>
          <w:sz w:val="22"/>
          <w:szCs w:val="22"/>
        </w:rPr>
      </w:pPr>
      <w:r>
        <w:rPr>
          <w:rFonts w:cs="Arial" w:ascii="Arial" w:hAnsi="Arial"/>
          <w:color w:val="000000"/>
          <w:sz w:val="22"/>
          <w:szCs w:val="22"/>
        </w:rPr>
        <w:t>12.1. O prazo inicial da parceria será de 12 (doze) meses, a contar da assinatura do Termo de Colaboração, podendo ser renovada por iguais e sucessivos períodos, a critério da Administração Pública Municipal e em concordância da Organização da Sociedade Civil, até o prazo máximo de 60 (sessenta) meses.</w:t>
      </w:r>
    </w:p>
    <w:p>
      <w:pPr>
        <w:pStyle w:val="Standard"/>
        <w:spacing w:lineRule="auto" w:line="360"/>
        <w:ind w:left="567"/>
        <w:jc w:val="both"/>
        <w:rPr>
          <w:rFonts w:ascii="Arial" w:hAnsi="Arial" w:cs="Arial"/>
          <w:sz w:val="22"/>
          <w:szCs w:val="22"/>
        </w:rPr>
      </w:pPr>
      <w:r>
        <w:rPr>
          <w:rFonts w:cs="Arial" w:ascii="Arial" w:hAnsi="Arial"/>
          <w:color w:val="000000"/>
          <w:sz w:val="22"/>
          <w:szCs w:val="22"/>
        </w:rPr>
        <w:t xml:space="preserve">12.1.1 – </w:t>
      </w:r>
      <w:r>
        <w:rPr>
          <w:rFonts w:cs="Arial" w:ascii="Arial" w:hAnsi="Arial"/>
          <w:sz w:val="22"/>
          <w:szCs w:val="22"/>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360"/>
        <w:jc w:val="both"/>
        <w:rPr>
          <w:rFonts w:ascii="Arial" w:hAnsi="Arial" w:cs="Arial"/>
          <w:sz w:val="22"/>
          <w:szCs w:val="22"/>
        </w:rPr>
      </w:pPr>
      <w:r>
        <w:rPr>
          <w:rFonts w:cs="Arial" w:ascii="Arial" w:hAnsi="Arial"/>
          <w:color w:val="000000"/>
          <w:sz w:val="22"/>
          <w:szCs w:val="22"/>
        </w:rPr>
        <w:t>12.2. A vigência da parceria poderá ser alterada mediante solicitação da Organização da Sociedade Civil, devidamente formalizada e justificada, a ser apresentada à Administração Pública Municipal em, no mínimo, 30 (trinta) dias antes do termo inicialmente previsto, sendo que a prorrogação de ofício da vigência do Termo de Colaboração deve ser feita pela Administração Pública Municipal quando ela der causa a atraso na liberação de recursos financeiros, limitada ao exato período do atraso verificado (art. 55, caput e parágrafo único, da Lei nº 13.019/14).</w:t>
      </w:r>
    </w:p>
    <w:p>
      <w:pPr>
        <w:pStyle w:val="Textbody"/>
        <w:spacing w:lineRule="auto" w:line="360" w:before="0" w:after="0"/>
        <w:jc w:val="both"/>
        <w:rPr>
          <w:rFonts w:ascii="Arial" w:hAnsi="Arial" w:cs="Arial"/>
        </w:rPr>
      </w:pPr>
      <w:r>
        <w:rPr>
          <w:rFonts w:cs="Arial" w:ascii="Arial" w:hAnsi="Arial"/>
          <w:color w:val="000000"/>
        </w:rPr>
        <w:t>12.3. O plano de trabalho da parceria poderá ser revisto para alteração de valores ou de metas, mediante termo aditivo ou por apostila ao plano de trabalho original (art. 57 da Lei nº 13.019/14).</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13 - DAS DISPOSIÇÕES FINAIS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13.1.</w:t>
      </w:r>
      <w:r>
        <w:rPr>
          <w:rFonts w:cs="Arial" w:ascii="Arial" w:hAnsi="Arial"/>
          <w:b/>
          <w:color w:val="000000"/>
          <w:sz w:val="22"/>
          <w:szCs w:val="22"/>
        </w:rPr>
        <w:t xml:space="preserve"> </w:t>
      </w:r>
      <w:r>
        <w:rPr>
          <w:rFonts w:cs="Arial" w:ascii="Arial" w:hAnsi="Arial"/>
          <w:color w:val="000000"/>
          <w:sz w:val="22"/>
          <w:szCs w:val="22"/>
        </w:rPr>
        <w:t>O presente Edital será divulgado em página do sítio eletrônico oficial da Prefeitura do Município de Itatiba (www.itatiba.sp.gov.br) e o extrato do Edital será publicado no Diário Oficial do Município de Itatiba, com prazo mínimo de 30 (trinta) dias para a apresentação das propostas, contado da data de publicação do extrato do Edital no Diário Oficial do Município de Itatiba.</w:t>
      </w:r>
    </w:p>
    <w:p>
      <w:pPr>
        <w:pStyle w:val="Standard"/>
        <w:spacing w:lineRule="auto" w:line="360"/>
        <w:jc w:val="both"/>
        <w:rPr>
          <w:rFonts w:ascii="Arial" w:hAnsi="Arial" w:cs="Arial"/>
          <w:sz w:val="22"/>
          <w:szCs w:val="22"/>
        </w:rPr>
      </w:pPr>
      <w:r>
        <w:rPr>
          <w:rFonts w:cs="Arial" w:ascii="Arial" w:hAnsi="Arial"/>
          <w:color w:val="000000"/>
          <w:sz w:val="22"/>
          <w:szCs w:val="22"/>
        </w:rPr>
        <w:t>13.2.</w:t>
      </w:r>
      <w:r>
        <w:rPr>
          <w:rFonts w:cs="Arial" w:ascii="Arial" w:hAnsi="Arial"/>
          <w:b/>
          <w:bCs/>
          <w:color w:val="000000"/>
          <w:sz w:val="22"/>
          <w:szCs w:val="22"/>
        </w:rPr>
        <w:t xml:space="preserve"> </w:t>
      </w:r>
      <w:r>
        <w:rPr>
          <w:rFonts w:cs="Arial" w:ascii="Arial" w:hAnsi="Arial"/>
          <w:bCs/>
          <w:color w:val="000000"/>
          <w:sz w:val="22"/>
          <w:szCs w:val="22"/>
        </w:rPr>
        <w:t xml:space="preserve">Qualquer pessoa poderá impugnar o presente Edital, com antecedência mínima de 10 (dias) dias da data final para envio das propostas, sendo que a impugnação deverá ser </w:t>
      </w:r>
      <w:r>
        <w:rPr>
          <w:rFonts w:cs="Arial" w:ascii="Arial" w:hAnsi="Arial"/>
          <w:color w:val="000000"/>
          <w:sz w:val="22"/>
          <w:szCs w:val="22"/>
        </w:rPr>
        <w:t>apresentada por escrito, em uma única via, e protocolada na Seção de Licitações da Prefeitura do Município de Itatiba, situada à Avenida Luciano Consoline, 600, Jd. de Lucca, nesta cidade, das 09 às 17 horas, de segunda a sexta-feira.</w:t>
      </w:r>
    </w:p>
    <w:p>
      <w:pPr>
        <w:pStyle w:val="Standard"/>
        <w:spacing w:lineRule="auto" w:line="360"/>
        <w:jc w:val="both"/>
        <w:rPr>
          <w:rFonts w:ascii="Arial" w:hAnsi="Arial" w:cs="Arial"/>
          <w:sz w:val="22"/>
          <w:szCs w:val="22"/>
        </w:rPr>
      </w:pPr>
      <w:r>
        <w:rPr>
          <w:rFonts w:cs="Arial" w:ascii="Arial" w:hAnsi="Arial"/>
          <w:bCs/>
          <w:color w:val="000000"/>
          <w:sz w:val="22"/>
          <w:szCs w:val="22"/>
        </w:rPr>
        <w:t>13.3. A resposta às impugnações caberá à Seção de Licitações.</w:t>
      </w:r>
    </w:p>
    <w:p>
      <w:pPr>
        <w:pStyle w:val="Standard"/>
        <w:spacing w:lineRule="auto" w:line="360"/>
        <w:jc w:val="both"/>
        <w:rPr>
          <w:rFonts w:ascii="Arial" w:hAnsi="Arial" w:cs="Arial"/>
          <w:sz w:val="22"/>
          <w:szCs w:val="22"/>
        </w:rPr>
      </w:pPr>
      <w:r>
        <w:rPr>
          <w:rFonts w:cs="Arial" w:ascii="Arial" w:hAnsi="Arial"/>
          <w:color w:val="000000"/>
          <w:sz w:val="22"/>
          <w:szCs w:val="22"/>
        </w:rPr>
        <w:t>13.4.</w:t>
      </w:r>
      <w:r>
        <w:rPr>
          <w:rFonts w:cs="Arial" w:ascii="Arial" w:hAnsi="Arial"/>
          <w:bCs/>
          <w:color w:val="000000"/>
          <w:sz w:val="22"/>
          <w:szCs w:val="22"/>
        </w:rPr>
        <w:t xml:space="preserve"> Os pedidos de esclarecimentos, decorrentes de dúvidas na interpretação deste Edital e de seus anexos, deverão ser encaminhados com antecedência mínima de 10 (dias) dias da data final para envio da proposta, exclusivamente de forma eletrônica, pelo endereço eletrônico: </w:t>
      </w:r>
      <w:hyperlink r:id="rId4">
        <w:r>
          <w:rPr>
            <w:rStyle w:val="Hyperlink"/>
            <w:rFonts w:cs="Arial" w:ascii="Arial" w:hAnsi="Arial"/>
            <w:bCs/>
            <w:color w:val="000000"/>
            <w:sz w:val="22"/>
            <w:szCs w:val="22"/>
          </w:rPr>
          <w:t>licitacoes@licitacoes.itatiba.sp.gov.br</w:t>
        </w:r>
      </w:hyperlink>
      <w:r>
        <w:rPr>
          <w:rFonts w:cs="Arial" w:ascii="Arial" w:hAnsi="Arial"/>
          <w:bCs/>
          <w:color w:val="000000"/>
          <w:sz w:val="22"/>
          <w:szCs w:val="22"/>
        </w:rPr>
        <w:t>, sendo que os esclarecimentos serão prestados pela Seção de Licitações.</w:t>
      </w:r>
    </w:p>
    <w:p>
      <w:pPr>
        <w:pStyle w:val="Standard"/>
        <w:spacing w:lineRule="auto" w:line="360"/>
        <w:jc w:val="both"/>
        <w:rPr>
          <w:rFonts w:ascii="Arial" w:hAnsi="Arial" w:cs="Arial"/>
          <w:sz w:val="22"/>
          <w:szCs w:val="22"/>
        </w:rPr>
      </w:pPr>
      <w:r>
        <w:rPr>
          <w:rFonts w:cs="Arial" w:ascii="Arial" w:hAnsi="Arial"/>
          <w:color w:val="000000"/>
          <w:sz w:val="22"/>
          <w:szCs w:val="22"/>
        </w:rPr>
        <w:t>13.5.</w:t>
      </w:r>
      <w:r>
        <w:rPr>
          <w:rFonts w:cs="Arial" w:ascii="Arial" w:hAnsi="Arial"/>
          <w:b/>
          <w:bCs/>
          <w:color w:val="000000"/>
          <w:sz w:val="22"/>
          <w:szCs w:val="22"/>
        </w:rPr>
        <w:t xml:space="preserve"> </w:t>
      </w:r>
      <w:r>
        <w:rPr>
          <w:rFonts w:cs="Arial" w:ascii="Arial" w:hAnsi="Arial"/>
          <w:color w:val="000000"/>
          <w:sz w:val="22"/>
          <w:szCs w:val="22"/>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pPr>
        <w:pStyle w:val="Standard"/>
        <w:spacing w:lineRule="auto" w:line="360"/>
        <w:jc w:val="both"/>
        <w:rPr>
          <w:rFonts w:ascii="Arial" w:hAnsi="Arial" w:cs="Arial"/>
          <w:sz w:val="22"/>
          <w:szCs w:val="22"/>
        </w:rPr>
      </w:pPr>
      <w:r>
        <w:rPr>
          <w:rFonts w:cs="Arial" w:ascii="Arial" w:hAnsi="Arial"/>
          <w:color w:val="000000"/>
          <w:sz w:val="22"/>
          <w:szCs w:val="22"/>
        </w:rPr>
        <w:t>13.6. Eventual modificação no Edital, decorrente das impugnações ou dos pedidos de esclarecimentos, ensejará divulgação pela mesma forma que se deu o texto original, alterando</w:t>
      </w:r>
      <w:r>
        <w:rPr>
          <w:rFonts w:cs="Cambria Math" w:ascii="Cambria Math" w:hAnsi="Cambria Math"/>
          <w:color w:val="000000"/>
          <w:sz w:val="22"/>
          <w:szCs w:val="22"/>
        </w:rPr>
        <w:t>‐</w:t>
      </w:r>
      <w:r>
        <w:rPr>
          <w:rFonts w:cs="Arial" w:ascii="Arial" w:hAnsi="Arial"/>
          <w:color w:val="000000"/>
          <w:sz w:val="22"/>
          <w:szCs w:val="22"/>
        </w:rPr>
        <w:t>se o prazo inicialmente estabelecido somente quando a alteração afetar a formulação das propostas ou o princípio da isonomia.</w:t>
      </w:r>
    </w:p>
    <w:p>
      <w:pPr>
        <w:pStyle w:val="Standard"/>
        <w:tabs>
          <w:tab w:val="clear" w:pos="709"/>
          <w:tab w:val="left" w:pos="567" w:leader="none"/>
          <w:tab w:val="left" w:pos="992" w:leader="none"/>
        </w:tabs>
        <w:spacing w:lineRule="auto" w:line="360"/>
        <w:jc w:val="both"/>
        <w:rPr>
          <w:rFonts w:ascii="Arial" w:hAnsi="Arial" w:cs="Arial"/>
          <w:sz w:val="22"/>
          <w:szCs w:val="22"/>
        </w:rPr>
      </w:pPr>
      <w:r>
        <w:rPr>
          <w:rFonts w:cs="Arial" w:ascii="Arial" w:hAnsi="Arial"/>
          <w:color w:val="000000"/>
          <w:sz w:val="22"/>
          <w:szCs w:val="22"/>
        </w:rPr>
        <w:t>13.7.</w:t>
      </w:r>
      <w:r>
        <w:rPr>
          <w:rFonts w:cs="Arial" w:ascii="Arial" w:hAnsi="Arial"/>
          <w:bCs/>
          <w:color w:val="000000"/>
          <w:sz w:val="22"/>
          <w:szCs w:val="22"/>
        </w:rPr>
        <w:t xml:space="preserve"> A Seção de Licitações resolverá os casos omissos e as situações não previstas no presente Edital</w:t>
      </w:r>
      <w:r>
        <w:rPr>
          <w:rFonts w:cs="Arial" w:ascii="Arial" w:hAnsi="Arial"/>
          <w:color w:val="000000"/>
          <w:sz w:val="22"/>
          <w:szCs w:val="22"/>
        </w:rPr>
        <w:t>, observadas as disposições legais e os princípios que regem a administração pública.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13.8. </w:t>
      </w:r>
      <w:r>
        <w:rPr>
          <w:rFonts w:cs="Arial" w:ascii="Arial" w:hAnsi="Arial"/>
          <w:bCs/>
          <w:color w:val="000000"/>
          <w:sz w:val="22"/>
          <w:szCs w:val="22"/>
        </w:rPr>
        <w:t>A qualquer tempo, o presente Edital poderá ser revogado por interesse público ou anulado, no todo ou em parte, por vício insanável, sem que isso implique direito a indenização ou reclamação de qualquer natureza.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13.9. </w:t>
      </w:r>
      <w:r>
        <w:rPr>
          <w:rFonts w:cs="Arial" w:ascii="Arial" w:hAnsi="Arial"/>
          <w:bCs/>
          <w:color w:val="000000"/>
          <w:sz w:val="22"/>
          <w:szCs w:val="22"/>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13.10. A Administração Pública Municipal não cobrará das entidades qualquer taxa para participar deste Chamamento Público.</w:t>
      </w:r>
    </w:p>
    <w:p>
      <w:pPr>
        <w:pStyle w:val="Standard"/>
        <w:tabs>
          <w:tab w:val="clear" w:pos="709"/>
          <w:tab w:val="left" w:pos="567" w:leader="none"/>
          <w:tab w:val="left" w:pos="992" w:leader="none"/>
        </w:tabs>
        <w:spacing w:lineRule="auto" w:line="360"/>
        <w:jc w:val="both"/>
        <w:rPr>
          <w:rFonts w:ascii="Arial" w:hAnsi="Arial" w:cs="Arial"/>
          <w:sz w:val="22"/>
          <w:szCs w:val="22"/>
        </w:rPr>
      </w:pPr>
      <w:r>
        <w:rPr>
          <w:rFonts w:cs="Arial" w:ascii="Arial" w:hAnsi="Arial"/>
          <w:color w:val="000000"/>
          <w:sz w:val="22"/>
          <w:szCs w:val="22"/>
        </w:rPr>
        <w:t>13.11.</w:t>
      </w:r>
      <w:r>
        <w:rPr>
          <w:rFonts w:cs="Arial" w:ascii="Arial" w:hAnsi="Arial"/>
          <w:b/>
          <w:color w:val="000000"/>
          <w:sz w:val="22"/>
          <w:szCs w:val="22"/>
        </w:rPr>
        <w:t xml:space="preserve"> </w:t>
      </w:r>
      <w:r>
        <w:rPr>
          <w:rFonts w:cs="Arial" w:ascii="Arial" w:hAnsi="Arial"/>
          <w:color w:val="000000"/>
          <w:sz w:val="22"/>
          <w:szCs w:val="22"/>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pPr>
        <w:pStyle w:val="Standard"/>
        <w:tabs>
          <w:tab w:val="clear" w:pos="709"/>
          <w:tab w:val="left" w:pos="567" w:leader="none"/>
          <w:tab w:val="left" w:pos="992" w:leader="none"/>
        </w:tabs>
        <w:spacing w:lineRule="auto" w:line="360"/>
        <w:jc w:val="both"/>
        <w:rPr>
          <w:rFonts w:ascii="Arial" w:hAnsi="Arial" w:cs="Arial"/>
          <w:sz w:val="22"/>
          <w:szCs w:val="22"/>
        </w:rPr>
      </w:pPr>
      <w:r>
        <w:rPr>
          <w:rFonts w:cs="Arial" w:ascii="Arial" w:hAnsi="Arial"/>
          <w:color w:val="000000"/>
          <w:sz w:val="22"/>
          <w:szCs w:val="22"/>
        </w:rPr>
        <w:t>13.12. Constituem anexos do presente Edital, dele fazendo parte integrante:</w:t>
      </w:r>
    </w:p>
    <w:p>
      <w:pPr>
        <w:pStyle w:val="Standard"/>
        <w:suppressAutoHyphens w:val="false"/>
        <w:spacing w:lineRule="auto" w:line="360"/>
        <w:jc w:val="both"/>
        <w:rPr>
          <w:rFonts w:ascii="Arial" w:hAnsi="Arial" w:cs="Arial"/>
          <w:sz w:val="22"/>
          <w:szCs w:val="22"/>
        </w:rPr>
      </w:pPr>
      <w:r>
        <w:rPr>
          <w:rFonts w:cs="Arial" w:ascii="Arial" w:hAnsi="Arial"/>
          <w:bCs/>
          <w:color w:val="000000"/>
          <w:sz w:val="22"/>
          <w:szCs w:val="22"/>
        </w:rPr>
        <w:t>Anexo I – Declaração de Ciência e Concordância;</w:t>
      </w:r>
    </w:p>
    <w:p>
      <w:pPr>
        <w:pStyle w:val="Standard"/>
        <w:suppressAutoHyphens w:val="false"/>
        <w:spacing w:lineRule="auto" w:line="360"/>
        <w:jc w:val="both"/>
        <w:rPr>
          <w:rFonts w:ascii="Arial" w:hAnsi="Arial" w:cs="Arial"/>
          <w:sz w:val="22"/>
          <w:szCs w:val="22"/>
        </w:rPr>
      </w:pPr>
      <w:r>
        <w:rPr>
          <w:rFonts w:cs="Arial" w:ascii="Arial" w:hAnsi="Arial"/>
          <w:bCs/>
          <w:color w:val="000000"/>
          <w:sz w:val="22"/>
          <w:szCs w:val="22"/>
        </w:rPr>
        <w:t>Anexo II – Declaração sobre Instalações, Condições Materiais e Capacidade Técnica e Operacional;</w:t>
      </w:r>
    </w:p>
    <w:p>
      <w:pPr>
        <w:pStyle w:val="Standard"/>
        <w:suppressAutoHyphens w:val="false"/>
        <w:spacing w:lineRule="auto" w:line="360"/>
        <w:jc w:val="both"/>
        <w:rPr>
          <w:rFonts w:ascii="Arial" w:hAnsi="Arial" w:cs="Arial"/>
          <w:sz w:val="22"/>
          <w:szCs w:val="22"/>
        </w:rPr>
      </w:pPr>
      <w:r>
        <w:rPr>
          <w:rFonts w:cs="Arial" w:ascii="Arial" w:hAnsi="Arial"/>
          <w:bCs/>
          <w:color w:val="000000"/>
          <w:sz w:val="22"/>
          <w:szCs w:val="22"/>
        </w:rPr>
        <w:t>Anexo III – Relação dos Dirigentes da Entidade;</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Anexo IV – Declaração do art. 39, III da Lei nº 13.019/14;</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Anexo V – Diretrizes para Elaboração da Proposta e do Plano de Trabalho;</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Anexo VI – Ficha para Atribuição de Notas pela Comissão de Seleção;</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Anexo VII – Declaração da Não Ocorrência de Impedimentos;</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Anexo VIII - Declaração de Endereço Eletrônico;</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 xml:space="preserve">Anexo IX – Minuta do Termo de </w:t>
      </w:r>
      <w:r>
        <w:rPr>
          <w:rFonts w:cs="Arial" w:ascii="Arial" w:hAnsi="Arial"/>
          <w:color w:val="000000"/>
          <w:sz w:val="22"/>
          <w:szCs w:val="22"/>
        </w:rPr>
        <w:t>Colaboração</w:t>
      </w:r>
      <w:r>
        <w:rPr>
          <w:rFonts w:cs="Arial" w:ascii="Arial" w:hAnsi="Arial"/>
          <w:bCs/>
          <w:color w:val="000000"/>
          <w:sz w:val="22"/>
          <w:szCs w:val="22"/>
        </w:rPr>
        <w:t>;</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 xml:space="preserve">Anexo X – Declaração de Promessa de Transferência (art. 35, § 5º da Lei nº </w:t>
        <w:tab/>
        <w:t>13.019/14); e,</w:t>
      </w:r>
    </w:p>
    <w:p>
      <w:pPr>
        <w:pStyle w:val="Footer"/>
        <w:suppressAutoHyphens w:val="false"/>
        <w:spacing w:lineRule="auto" w:line="360"/>
        <w:jc w:val="both"/>
        <w:rPr>
          <w:rFonts w:ascii="Arial" w:hAnsi="Arial" w:cs="Arial"/>
          <w:sz w:val="22"/>
          <w:szCs w:val="22"/>
        </w:rPr>
      </w:pPr>
      <w:r>
        <w:rPr>
          <w:rFonts w:cs="Arial" w:ascii="Arial" w:hAnsi="Arial"/>
          <w:bCs/>
          <w:color w:val="000000"/>
          <w:sz w:val="22"/>
          <w:szCs w:val="22"/>
        </w:rPr>
        <w:t>Anexo XI – Termo de Responsabilidade Pessoal.</w:t>
      </w:r>
    </w:p>
    <w:p>
      <w:pPr>
        <w:pStyle w:val="Standard"/>
        <w:spacing w:lineRule="auto" w:line="360"/>
        <w:ind w:firstLine="708"/>
        <w:jc w:val="both"/>
        <w:rPr>
          <w:rFonts w:ascii="Arial" w:hAnsi="Arial" w:cs="Arial"/>
          <w:bCs/>
          <w:color w:val="000000"/>
          <w:sz w:val="22"/>
          <w:szCs w:val="22"/>
          <w:lang w:val="x-none"/>
        </w:rPr>
      </w:pPr>
      <w:r>
        <w:rPr>
          <w:rFonts w:cs="Arial" w:ascii="Arial" w:hAnsi="Arial"/>
          <w:bCs/>
          <w:color w:val="000000"/>
          <w:sz w:val="22"/>
          <w:szCs w:val="22"/>
          <w:lang w:val="x-none"/>
        </w:rPr>
      </w:r>
    </w:p>
    <w:p>
      <w:pPr>
        <w:pStyle w:val="Standard"/>
        <w:spacing w:lineRule="auto" w:line="360"/>
        <w:jc w:val="both"/>
        <w:rPr>
          <w:rFonts w:ascii="Arial" w:hAnsi="Arial" w:cs="Arial"/>
          <w:sz w:val="22"/>
          <w:szCs w:val="22"/>
        </w:rPr>
      </w:pPr>
      <w:r>
        <w:rPr>
          <w:rFonts w:cs="Arial" w:ascii="Arial" w:hAnsi="Arial"/>
          <w:color w:val="000000"/>
          <w:sz w:val="22"/>
          <w:szCs w:val="22"/>
        </w:rPr>
        <w:t xml:space="preserve">Itatiba, </w:t>
      </w:r>
      <w:r>
        <w:rPr>
          <w:rFonts w:cs="Arial" w:ascii="Arial" w:hAnsi="Arial"/>
          <w:color w:val="000000"/>
          <w:sz w:val="22"/>
          <w:szCs w:val="22"/>
        </w:rPr>
        <w:t>27</w:t>
      </w:r>
      <w:r>
        <w:rPr>
          <w:rFonts w:cs="Arial" w:ascii="Arial" w:hAnsi="Arial"/>
          <w:color w:val="000000"/>
          <w:sz w:val="22"/>
          <w:szCs w:val="22"/>
        </w:rPr>
        <w:t xml:space="preserve"> de </w:t>
      </w:r>
      <w:r>
        <w:rPr>
          <w:rFonts w:cs="Arial" w:ascii="Arial" w:hAnsi="Arial"/>
          <w:color w:val="000000"/>
          <w:sz w:val="22"/>
          <w:szCs w:val="22"/>
        </w:rPr>
        <w:t>abril</w:t>
      </w:r>
      <w:r>
        <w:rPr>
          <w:rFonts w:cs="Arial" w:ascii="Arial" w:hAnsi="Arial"/>
          <w:color w:val="000000"/>
          <w:sz w:val="22"/>
          <w:szCs w:val="22"/>
        </w:rPr>
        <w:t xml:space="preserve"> de 2026.</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CLAUDIA REGINA SWENSON</w:t>
      </w:r>
    </w:p>
    <w:p>
      <w:pPr>
        <w:pStyle w:val="Standard"/>
        <w:spacing w:lineRule="auto" w:line="360"/>
        <w:jc w:val="center"/>
        <w:rPr>
          <w:rFonts w:ascii="Arial" w:hAnsi="Arial" w:cs="Arial"/>
          <w:sz w:val="22"/>
          <w:szCs w:val="22"/>
        </w:rPr>
      </w:pPr>
      <w:r>
        <w:rPr>
          <w:rFonts w:cs="Arial" w:ascii="Arial" w:hAnsi="Arial"/>
          <w:b/>
          <w:bCs/>
          <w:color w:val="000000"/>
          <w:sz w:val="22"/>
          <w:szCs w:val="22"/>
        </w:rPr>
        <w:t>Secretária Municipal de Saúde</w:t>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(MODELO)</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I</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color w:val="000000"/>
          <w:sz w:val="22"/>
          <w:szCs w:val="22"/>
        </w:rPr>
        <w:t>DECLARAÇÃO DE CIÊNCIA E CONCORDÂNCIA</w:t>
      </w:r>
    </w:p>
    <w:p>
      <w:pPr>
        <w:pStyle w:val="Standard"/>
        <w:spacing w:lineRule="auto" w:line="360"/>
        <w:jc w:val="center"/>
        <w:rPr>
          <w:rFonts w:ascii="Arial" w:hAnsi="Arial" w:cs="Arial"/>
          <w:b/>
          <w:color w:val="000000"/>
          <w:sz w:val="22"/>
          <w:szCs w:val="22"/>
        </w:rPr>
      </w:pPr>
      <w:r>
        <w:rPr>
          <w:rFonts w:cs="Arial" w:ascii="Arial" w:hAnsi="Arial"/>
          <w:b/>
          <w:color w:val="000000"/>
          <w:sz w:val="22"/>
          <w:szCs w:val="22"/>
        </w:rPr>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 xml:space="preserve">Declaro, para os devidos fins e efeitos de direito, que a [identificação da organização da sociedade civil – OSC] está ciente e concorda com as disposições previstas no Edital de Chamamento Público nº </w:t>
      </w:r>
      <w:r>
        <w:rPr>
          <w:rFonts w:cs="Arial" w:ascii="Arial" w:hAnsi="Arial"/>
          <w:color w:val="000000"/>
          <w:sz w:val="22"/>
          <w:szCs w:val="22"/>
        </w:rPr>
        <w:t>03</w:t>
      </w:r>
      <w:r>
        <w:rPr>
          <w:rFonts w:cs="Arial" w:ascii="Arial" w:hAnsi="Arial"/>
          <w:color w:val="000000"/>
          <w:sz w:val="22"/>
          <w:szCs w:val="22"/>
        </w:rPr>
        <w:t>/2026 e em seus anexos, bem como que se responsabiliza, sob as penas da Lei, pela veracidade e legitimidade das informações e documentos apresentados durante o processo de seleção.</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Local, ___________________________</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rPr>
        <w:t>(NOME DO DIRIGENTE DA OSC)</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(MODELO)</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center"/>
        <w:rPr>
          <w:rFonts w:ascii="Arial" w:hAnsi="Arial" w:cs="Arial"/>
          <w:sz w:val="22"/>
          <w:szCs w:val="22"/>
        </w:rPr>
      </w:pPr>
      <w:r>
        <w:rPr>
          <w:rFonts w:cs="Arial" w:ascii="Arial" w:hAnsi="Arial"/>
          <w:b/>
          <w:bCs/>
          <w:color w:val="000000"/>
          <w:sz w:val="22"/>
          <w:szCs w:val="22"/>
          <w:u w:val="single"/>
        </w:rPr>
        <w:t>ANEXO II</w:t>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sz w:val="22"/>
          <w:szCs w:val="22"/>
        </w:rPr>
      </w:pPr>
      <w:r>
        <w:rPr>
          <w:rFonts w:cs="Arial" w:ascii="Arial" w:hAnsi="Arial"/>
          <w:b/>
          <w:bCs/>
          <w:color w:val="000000"/>
          <w:sz w:val="22"/>
          <w:szCs w:val="22"/>
        </w:rPr>
        <w:t>DECLARAÇÃO SOBRE INSTALAÇÕES, CONDIÇÕES MATERIAIS E CAPACIDADE TÉCNICA E OPERACIONAL</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Declaro, para os devidos fins e efeitos de direito, em conformidade com o art. 33, caput, inciso V, alínea “c”, da Lei nº 13.019, de 2014, que a [identificação da organização da sociedade civil – OSC]:</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widowControl/>
        <w:numPr>
          <w:ilvl w:val="0"/>
          <w:numId w:val="3"/>
        </w:numPr>
        <w:tabs>
          <w:tab w:val="clear" w:pos="709"/>
          <w:tab w:val="left" w:pos="567" w:leader="none"/>
        </w:tabs>
        <w:spacing w:lineRule="auto" w:line="360"/>
        <w:ind w:hanging="0" w:left="0"/>
        <w:jc w:val="both"/>
        <w:rPr>
          <w:rFonts w:ascii="Arial" w:hAnsi="Arial" w:cs="Arial"/>
          <w:sz w:val="22"/>
          <w:szCs w:val="22"/>
        </w:rPr>
      </w:pPr>
      <w:r>
        <w:rPr>
          <w:rFonts w:eastAsia="Times New Roman" w:cs="Arial" w:ascii="Arial" w:hAnsi="Arial"/>
          <w:color w:val="000000"/>
          <w:sz w:val="22"/>
          <w:szCs w:val="22"/>
        </w:rPr>
        <w:t xml:space="preserve"> </w:t>
      </w:r>
      <w:r>
        <w:rPr>
          <w:rFonts w:cs="Arial" w:ascii="Arial" w:hAnsi="Arial"/>
          <w:color w:val="000000"/>
          <w:sz w:val="22"/>
          <w:szCs w:val="22"/>
        </w:rPr>
        <w:tab/>
        <w:t>dispõe de instalações e outras condições materiais da organização, bem como de capacidade técnica e operacional para o desenvolvimento do objeto da parceria e o cumprimento das metas estabelecidas.</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r>
      <w:r>
        <w:rPr>
          <w:rFonts w:cs="Arial" w:ascii="Arial" w:hAnsi="Arial"/>
          <w:b/>
          <w:bCs/>
          <w:color w:val="000000"/>
          <w:sz w:val="22"/>
          <w:szCs w:val="22"/>
          <w:u w:val="single"/>
        </w:rPr>
        <w:t>OU</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Normal"/>
        <w:numPr>
          <w:ilvl w:val="0"/>
          <w:numId w:val="4"/>
        </w:numPr>
        <w:shd w:val="clear" w:color="auto" w:fill="FFFFFF"/>
        <w:suppressAutoHyphens w:val="false"/>
        <w:spacing w:lineRule="auto" w:line="360" w:before="0" w:after="280"/>
        <w:jc w:val="both"/>
        <w:rPr>
          <w:rFonts w:ascii="Arial" w:hAnsi="Arial" w:cs="Arial"/>
          <w:sz w:val="22"/>
          <w:szCs w:val="22"/>
        </w:rPr>
      </w:pPr>
      <w:r>
        <w:rPr>
          <w:rFonts w:cs="Arial" w:ascii="Arial" w:hAnsi="Arial"/>
          <w:color w:val="000000"/>
          <w:sz w:val="22"/>
          <w:szCs w:val="22"/>
        </w:rPr>
        <w:t>pretende contratar ou adquirir materiais para o desenvolvimento das atividades ou projetos previstos na parceria e o cumprimento das metas estabelecidas</w:t>
      </w:r>
    </w:p>
    <w:p>
      <w:pPr>
        <w:pStyle w:val="PargrafodaLista1"/>
        <w:tabs>
          <w:tab w:val="clear" w:pos="709"/>
          <w:tab w:val="left" w:pos="1418" w:leader="none"/>
        </w:tabs>
        <w:spacing w:lineRule="auto" w:line="360"/>
        <w:ind w:left="567"/>
        <w:jc w:val="both"/>
        <w:rPr>
          <w:rFonts w:ascii="Arial" w:hAnsi="Arial" w:cs="Arial"/>
          <w:color w:val="000000"/>
        </w:rPr>
      </w:pPr>
      <w:r>
        <w:rPr>
          <w:rFonts w:cs="Arial" w:ascii="Arial" w:hAnsi="Arial"/>
          <w:color w:val="000000"/>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ab/>
        <w:t>Local, ___________________________</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rPr>
        <w:t>(NOME DO DIRIGENTE DA OSC)</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(MODELO)</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III</w:t>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sz w:val="22"/>
          <w:szCs w:val="22"/>
        </w:rPr>
      </w:pPr>
      <w:r>
        <w:rPr>
          <w:rFonts w:cs="Arial" w:ascii="Arial" w:hAnsi="Arial"/>
          <w:b/>
          <w:color w:val="000000"/>
          <w:sz w:val="22"/>
          <w:szCs w:val="22"/>
        </w:rPr>
        <w:t>RELAÇÃO DOS DIRIGENTES DA ENTIDADE</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bCs/>
          <w:color w:val="000000"/>
          <w:sz w:val="22"/>
          <w:szCs w:val="22"/>
          <w:u w:val="single"/>
        </w:rPr>
        <w:t>Declaro para os devidos fins e efeitos de direito, em nome da [identificação da organização da sociedade civil – OSC], a relação nominal atualizada dos dirigentes da entidade:</w:t>
      </w:r>
    </w:p>
    <w:p>
      <w:pPr>
        <w:pStyle w:val="Standard"/>
        <w:tabs>
          <w:tab w:val="clear" w:pos="709"/>
          <w:tab w:val="left" w:pos="567" w:leader="none"/>
        </w:tabs>
        <w:spacing w:lineRule="auto" w:line="360"/>
        <w:jc w:val="both"/>
        <w:rPr>
          <w:rFonts w:ascii="Arial" w:hAnsi="Arial" w:cs="Arial"/>
          <w:b/>
          <w:bCs/>
          <w:color w:val="000000"/>
          <w:sz w:val="22"/>
          <w:szCs w:val="22"/>
          <w:u w:val="single"/>
        </w:rPr>
      </w:pPr>
      <w:r>
        <w:rPr>
          <w:rFonts w:cs="Arial" w:ascii="Arial" w:hAnsi="Arial"/>
          <w:b/>
          <w:bCs/>
          <w:color w:val="000000"/>
          <w:sz w:val="22"/>
          <w:szCs w:val="22"/>
          <w:u w:val="single"/>
        </w:rPr>
      </w:r>
    </w:p>
    <w:tbl>
      <w:tblPr>
        <w:tblW w:w="9132"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832"/>
        <w:gridCol w:w="3261"/>
        <w:gridCol w:w="3039"/>
      </w:tblGrid>
      <w:tr>
        <w:trPr>
          <w:trHeight w:val="930" w:hRule="atLeast"/>
        </w:trPr>
        <w:tc>
          <w:tcPr>
            <w:tcW w:w="9132" w:type="dxa"/>
            <w:gridSpan w:val="3"/>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PargrafodaLista1"/>
              <w:tabs>
                <w:tab w:val="clear" w:pos="709"/>
                <w:tab w:val="left" w:pos="993" w:leader="none"/>
              </w:tabs>
              <w:suppressAutoHyphens w:val="false"/>
              <w:spacing w:lineRule="auto" w:line="240" w:before="0" w:after="200"/>
              <w:ind w:left="0"/>
              <w:jc w:val="center"/>
              <w:rPr>
                <w:rFonts w:ascii="Arial" w:hAnsi="Arial" w:cs="Arial"/>
                <w:b/>
                <w:color w:val="000000"/>
                <w:sz w:val="18"/>
                <w:szCs w:val="18"/>
              </w:rPr>
            </w:pPr>
            <w:r>
              <w:rPr>
                <w:rFonts w:cs="Arial" w:ascii="Arial" w:hAnsi="Arial"/>
                <w:b/>
                <w:color w:val="000000"/>
                <w:sz w:val="18"/>
                <w:szCs w:val="18"/>
              </w:rPr>
              <w:t>RELAÇÃO NOMINAL ATUALIZADA DOS DIRIGENTES DA ENTIDADE</w:t>
            </w:r>
          </w:p>
        </w:tc>
      </w:tr>
      <w:tr>
        <w:trPr/>
        <w:tc>
          <w:tcPr>
            <w:tcW w:w="2832"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spacing w:lineRule="auto" w:line="240"/>
              <w:ind w:left="0"/>
              <w:jc w:val="center"/>
              <w:rPr>
                <w:rFonts w:ascii="Arial" w:hAnsi="Arial" w:cs="Arial"/>
                <w:b/>
                <w:color w:val="000000"/>
                <w:sz w:val="18"/>
                <w:szCs w:val="18"/>
              </w:rPr>
            </w:pPr>
            <w:r>
              <w:rPr>
                <w:rFonts w:cs="Arial" w:ascii="Arial" w:hAnsi="Arial"/>
                <w:b/>
                <w:color w:val="000000"/>
                <w:sz w:val="18"/>
                <w:szCs w:val="18"/>
              </w:rPr>
            </w:r>
          </w:p>
          <w:p>
            <w:pPr>
              <w:pStyle w:val="PargrafodaLista1"/>
              <w:tabs>
                <w:tab w:val="clear" w:pos="709"/>
                <w:tab w:val="left" w:pos="993" w:leader="none"/>
              </w:tabs>
              <w:suppressAutoHyphens w:val="false"/>
              <w:spacing w:lineRule="auto" w:line="240"/>
              <w:ind w:left="0"/>
              <w:jc w:val="center"/>
              <w:rPr>
                <w:rFonts w:ascii="Arial" w:hAnsi="Arial" w:cs="Arial"/>
                <w:sz w:val="18"/>
                <w:szCs w:val="18"/>
              </w:rPr>
            </w:pPr>
            <w:r>
              <w:rPr>
                <w:rFonts w:cs="Arial" w:ascii="Arial" w:hAnsi="Arial"/>
                <w:b/>
                <w:color w:val="000000"/>
                <w:sz w:val="18"/>
                <w:szCs w:val="18"/>
              </w:rPr>
              <w:t>NOME DO DIRIGENTE E</w:t>
            </w:r>
          </w:p>
          <w:p>
            <w:pPr>
              <w:pStyle w:val="PargrafodaLista1"/>
              <w:tabs>
                <w:tab w:val="clear" w:pos="709"/>
                <w:tab w:val="left" w:pos="993" w:leader="none"/>
              </w:tabs>
              <w:suppressAutoHyphens w:val="false"/>
              <w:spacing w:lineRule="auto" w:line="240"/>
              <w:ind w:left="0"/>
              <w:jc w:val="center"/>
              <w:rPr>
                <w:rFonts w:ascii="Arial" w:hAnsi="Arial" w:cs="Arial"/>
                <w:sz w:val="18"/>
                <w:szCs w:val="18"/>
              </w:rPr>
            </w:pPr>
            <w:r>
              <w:rPr>
                <w:rFonts w:cs="Arial" w:ascii="Arial" w:hAnsi="Arial"/>
                <w:b/>
                <w:color w:val="000000"/>
                <w:sz w:val="18"/>
                <w:szCs w:val="18"/>
              </w:rPr>
              <w:t>CARGO QUE OCUPA</w:t>
            </w:r>
          </w:p>
          <w:p>
            <w:pPr>
              <w:pStyle w:val="PargrafodaLista1"/>
              <w:tabs>
                <w:tab w:val="clear" w:pos="709"/>
                <w:tab w:val="left" w:pos="993" w:leader="none"/>
              </w:tabs>
              <w:suppressAutoHyphens w:val="false"/>
              <w:spacing w:lineRule="auto" w:line="240" w:before="0" w:after="200"/>
              <w:ind w:left="0"/>
              <w:jc w:val="center"/>
              <w:rPr>
                <w:rFonts w:ascii="Arial" w:hAnsi="Arial" w:cs="Arial"/>
                <w:b/>
                <w:color w:val="000000"/>
                <w:sz w:val="18"/>
                <w:szCs w:val="18"/>
              </w:rPr>
            </w:pPr>
            <w:r>
              <w:rPr>
                <w:rFonts w:cs="Arial" w:ascii="Arial" w:hAnsi="Arial"/>
                <w:b/>
                <w:color w:val="000000"/>
                <w:sz w:val="18"/>
                <w:szCs w:val="18"/>
              </w:rPr>
            </w:r>
          </w:p>
        </w:tc>
        <w:tc>
          <w:tcPr>
            <w:tcW w:w="3261"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spacing w:lineRule="auto" w:line="240"/>
              <w:ind w:left="0"/>
              <w:jc w:val="center"/>
              <w:rPr>
                <w:rFonts w:ascii="Arial" w:hAnsi="Arial" w:cs="Arial"/>
                <w:b/>
                <w:color w:val="000000"/>
                <w:sz w:val="18"/>
                <w:szCs w:val="18"/>
              </w:rPr>
            </w:pPr>
            <w:r>
              <w:rPr>
                <w:rFonts w:cs="Arial" w:ascii="Arial" w:hAnsi="Arial"/>
                <w:b/>
                <w:color w:val="000000"/>
                <w:sz w:val="18"/>
                <w:szCs w:val="18"/>
              </w:rPr>
            </w:r>
          </w:p>
          <w:p>
            <w:pPr>
              <w:pStyle w:val="PargrafodaLista1"/>
              <w:tabs>
                <w:tab w:val="clear" w:pos="709"/>
                <w:tab w:val="left" w:pos="993" w:leader="none"/>
              </w:tabs>
              <w:suppressAutoHyphens w:val="false"/>
              <w:spacing w:lineRule="auto" w:line="240" w:before="0" w:after="200"/>
              <w:ind w:left="0"/>
              <w:jc w:val="center"/>
              <w:rPr>
                <w:rFonts w:ascii="Arial" w:hAnsi="Arial" w:cs="Arial"/>
                <w:sz w:val="18"/>
                <w:szCs w:val="18"/>
              </w:rPr>
            </w:pPr>
            <w:r>
              <w:rPr>
                <w:rFonts w:cs="Arial" w:ascii="Arial" w:hAnsi="Arial"/>
                <w:b/>
                <w:color w:val="000000"/>
                <w:sz w:val="18"/>
                <w:szCs w:val="18"/>
              </w:rPr>
              <w:t>DOCUMENTO DE IDENTIDADE, ÓRGÃO EXPEDIDOR E CPF</w:t>
            </w:r>
          </w:p>
        </w:tc>
        <w:tc>
          <w:tcPr>
            <w:tcW w:w="3039" w:type="dxa"/>
            <w:tcBorders>
              <w:top w:val="single" w:sz="4" w:space="0" w:color="00000A"/>
              <w:left w:val="single" w:sz="4" w:space="0" w:color="00000A"/>
              <w:bottom w:val="single" w:sz="4" w:space="0" w:color="00000A"/>
              <w:right w:val="single" w:sz="4" w:space="0" w:color="00000A"/>
            </w:tcBorders>
            <w:shd w:color="auto" w:fill="CCCCCC" w:val="clear"/>
          </w:tcPr>
          <w:p>
            <w:pPr>
              <w:pStyle w:val="PargrafodaLista1"/>
              <w:tabs>
                <w:tab w:val="clear" w:pos="709"/>
                <w:tab w:val="left" w:pos="993" w:leader="none"/>
              </w:tabs>
              <w:suppressAutoHyphens w:val="false"/>
              <w:snapToGrid w:val="false"/>
              <w:spacing w:lineRule="auto" w:line="240"/>
              <w:ind w:left="0"/>
              <w:jc w:val="center"/>
              <w:rPr>
                <w:rFonts w:ascii="Arial" w:hAnsi="Arial" w:cs="Arial"/>
                <w:b/>
                <w:color w:val="000000"/>
                <w:sz w:val="18"/>
                <w:szCs w:val="18"/>
              </w:rPr>
            </w:pPr>
            <w:r>
              <w:rPr>
                <w:rFonts w:cs="Arial" w:ascii="Arial" w:hAnsi="Arial"/>
                <w:b/>
                <w:color w:val="000000"/>
                <w:sz w:val="18"/>
                <w:szCs w:val="18"/>
              </w:rPr>
            </w:r>
          </w:p>
          <w:p>
            <w:pPr>
              <w:pStyle w:val="PargrafodaLista1"/>
              <w:tabs>
                <w:tab w:val="clear" w:pos="709"/>
                <w:tab w:val="left" w:pos="993" w:leader="none"/>
              </w:tabs>
              <w:suppressAutoHyphens w:val="false"/>
              <w:spacing w:lineRule="auto" w:line="240"/>
              <w:ind w:left="0"/>
              <w:jc w:val="center"/>
              <w:rPr>
                <w:rFonts w:ascii="Arial" w:hAnsi="Arial" w:cs="Arial"/>
                <w:sz w:val="18"/>
                <w:szCs w:val="18"/>
              </w:rPr>
            </w:pPr>
            <w:r>
              <w:rPr>
                <w:rFonts w:cs="Arial" w:ascii="Arial" w:hAnsi="Arial"/>
                <w:b/>
                <w:color w:val="000000"/>
                <w:sz w:val="18"/>
                <w:szCs w:val="18"/>
              </w:rPr>
              <w:t>ENDEREÇO RESIDENCIAL,</w:t>
            </w:r>
          </w:p>
          <w:p>
            <w:pPr>
              <w:pStyle w:val="PargrafodaLista1"/>
              <w:tabs>
                <w:tab w:val="clear" w:pos="709"/>
                <w:tab w:val="left" w:pos="993" w:leader="none"/>
              </w:tabs>
              <w:suppressAutoHyphens w:val="false"/>
              <w:spacing w:lineRule="auto" w:line="240" w:before="0" w:after="200"/>
              <w:ind w:left="0"/>
              <w:jc w:val="center"/>
              <w:rPr>
                <w:rFonts w:ascii="Arial" w:hAnsi="Arial" w:cs="Arial"/>
                <w:sz w:val="18"/>
                <w:szCs w:val="18"/>
              </w:rPr>
            </w:pPr>
            <w:r>
              <w:rPr>
                <w:rFonts w:cs="Arial" w:ascii="Arial" w:hAnsi="Arial"/>
                <w:b/>
                <w:color w:val="000000"/>
                <w:sz w:val="18"/>
                <w:szCs w:val="18"/>
              </w:rPr>
              <w:t>TELEFONE E E-MAIL</w:t>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lineRule="auto" w:line="240" w:before="0" w:after="200"/>
              <w:ind w:left="0"/>
              <w:jc w:val="both"/>
              <w:rPr>
                <w:rFonts w:ascii="Arial" w:hAnsi="Arial" w:cs="Arial"/>
                <w:color w:val="000000"/>
                <w:sz w:val="18"/>
                <w:szCs w:val="18"/>
              </w:rPr>
            </w:pPr>
            <w:r>
              <w:rPr>
                <w:rFonts w:cs="Arial" w:ascii="Arial" w:hAnsi="Arial"/>
                <w:color w:val="000000"/>
                <w:sz w:val="18"/>
                <w:szCs w:val="18"/>
              </w:rPr>
            </w:r>
          </w:p>
        </w:tc>
      </w:tr>
    </w:tbl>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Local, ___________________________</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(NOME DO DIRIGENTE DA OSC)</w:t>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(MODELO)</w:t>
      </w:r>
    </w:p>
    <w:p>
      <w:pPr>
        <w:pStyle w:val="Normal"/>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IV</w:t>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rPr>
        <w:t>DECLARAÇÃO DO ART. 39, III DA LEI Nº 13.019/14</w:t>
      </w:r>
    </w:p>
    <w:p>
      <w:pPr>
        <w:pStyle w:val="Standard"/>
        <w:tabs>
          <w:tab w:val="clear" w:pos="709"/>
          <w:tab w:val="left" w:pos="567" w:leader="none"/>
        </w:tab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ind w:firstLine="567"/>
        <w:jc w:val="both"/>
        <w:rPr>
          <w:rFonts w:ascii="Arial" w:hAnsi="Arial" w:cs="Arial"/>
          <w:sz w:val="22"/>
          <w:szCs w:val="22"/>
        </w:rPr>
      </w:pPr>
      <w:r>
        <w:rPr>
          <w:rFonts w:cs="Arial" w:ascii="Arial" w:hAnsi="Arial"/>
          <w:color w:val="000000"/>
          <w:sz w:val="22"/>
          <w:szCs w:val="22"/>
        </w:rPr>
        <w:t>Declaro para os devidos fins e efeitos de direito, em nome da [identificação da organização da sociedade civil – OSC], que não há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w:t>
      </w:r>
    </w:p>
    <w:p>
      <w:pPr>
        <w:pStyle w:val="Standard"/>
        <w:tabs>
          <w:tab w:val="clear" w:pos="709"/>
          <w:tab w:val="left" w:pos="567" w:leader="none"/>
        </w:tabs>
        <w:spacing w:lineRule="auto" w:line="360"/>
        <w:ind w:firstLine="567"/>
        <w:jc w:val="both"/>
        <w:rPr>
          <w:rFonts w:ascii="Arial" w:hAnsi="Arial" w:cs="Arial"/>
          <w:sz w:val="22"/>
          <w:szCs w:val="22"/>
        </w:rPr>
      </w:pPr>
      <w:r>
        <w:rPr>
          <w:rFonts w:eastAsia="Times New Roman" w:cs="Arial" w:ascii="Arial" w:hAnsi="Arial"/>
          <w:color w:val="000000"/>
          <w:sz w:val="22"/>
          <w:szCs w:val="22"/>
        </w:rPr>
        <w:t xml:space="preserve"> </w:t>
      </w:r>
    </w:p>
    <w:p>
      <w:pPr>
        <w:pStyle w:val="Standard"/>
        <w:tabs>
          <w:tab w:val="clear" w:pos="709"/>
          <w:tab w:val="left" w:pos="567" w:leader="none"/>
        </w:tabs>
        <w:spacing w:lineRule="auto" w:line="360"/>
        <w:ind w:firstLine="567"/>
        <w:jc w:val="both"/>
        <w:rPr>
          <w:rFonts w:ascii="Arial" w:hAnsi="Arial" w:eastAsia="Times New Roman" w:cs="Arial"/>
          <w:color w:val="000000"/>
          <w:sz w:val="22"/>
          <w:szCs w:val="22"/>
        </w:rPr>
      </w:pPr>
      <w:r>
        <w:rPr>
          <w:rFonts w:eastAsia="Times New Roman" w:cs="Arial" w:ascii="Arial" w:hAnsi="Arial"/>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ab/>
        <w:t>Local, ___________________________</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(NOME DO DIRIGENTE DA OSC)</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V</w:t>
      </w:r>
    </w:p>
    <w:p>
      <w:pPr>
        <w:pStyle w:val="Standard"/>
        <w:spacing w:lineRule="auto" w:line="360"/>
        <w:jc w:val="both"/>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TERMO DE REFERÊNCIA</w:t>
      </w:r>
    </w:p>
    <w:p>
      <w:pPr>
        <w:pStyle w:val="Standard1"/>
        <w:spacing w:lineRule="auto" w:line="360"/>
        <w:jc w:val="both"/>
        <w:rPr>
          <w:rFonts w:ascii="Arial" w:hAnsi="Arial" w:cs="Arial"/>
          <w:b/>
          <w:bCs/>
          <w:color w:val="000000"/>
          <w:sz w:val="22"/>
          <w:szCs w:val="22"/>
          <w:u w:val="single"/>
        </w:rPr>
      </w:pPr>
      <w:r>
        <w:rPr>
          <w:rFonts w:cs="Arial" w:ascii="Arial" w:hAnsi="Arial"/>
          <w:b/>
          <w:bCs/>
          <w:color w:val="000000"/>
          <w:sz w:val="22"/>
          <w:szCs w:val="22"/>
          <w:u w:val="single"/>
        </w:rPr>
      </w:r>
    </w:p>
    <w:p>
      <w:pPr>
        <w:pStyle w:val="Standard1"/>
        <w:spacing w:lineRule="auto" w:line="360"/>
        <w:jc w:val="both"/>
        <w:rPr>
          <w:rFonts w:ascii="Arial" w:hAnsi="Arial" w:cs="Arial"/>
          <w:sz w:val="22"/>
          <w:szCs w:val="22"/>
        </w:rPr>
      </w:pPr>
      <w:r>
        <w:rPr>
          <w:rFonts w:cs="Arial" w:ascii="Arial" w:hAnsi="Arial"/>
          <w:b/>
          <w:bCs/>
          <w:color w:val="000000"/>
          <w:sz w:val="22"/>
          <w:szCs w:val="22"/>
          <w:u w:val="single"/>
        </w:rPr>
        <w:t>1. OBJETO:</w:t>
      </w:r>
    </w:p>
    <w:p>
      <w:pPr>
        <w:pStyle w:val="Normal"/>
        <w:spacing w:lineRule="auto" w:line="360"/>
        <w:jc w:val="both"/>
        <w:rPr>
          <w:rFonts w:ascii="Arial" w:hAnsi="Arial" w:cs="Arial"/>
          <w:sz w:val="22"/>
          <w:szCs w:val="22"/>
        </w:rPr>
      </w:pPr>
      <w:r>
        <w:rPr>
          <w:rFonts w:cs="Arial" w:ascii="Arial" w:hAnsi="Arial"/>
          <w:color w:val="000000"/>
          <w:sz w:val="22"/>
          <w:szCs w:val="22"/>
        </w:rPr>
        <w:tab/>
      </w:r>
      <w:r>
        <w:rPr>
          <w:rFonts w:cs="Arial" w:ascii="Arial" w:hAnsi="Arial"/>
          <w:sz w:val="22"/>
          <w:szCs w:val="22"/>
        </w:rPr>
        <w:t xml:space="preserve">Estabelecer parceria entre a Prefeitura do Município de Itatiba através da Secretaria de Saúde, e OSC - Organização da Sociedade Civil, para oferta de até </w:t>
      </w:r>
      <w:r>
        <w:rPr>
          <w:rFonts w:cs="Arial" w:ascii="Arial" w:hAnsi="Arial"/>
          <w:b/>
          <w:bCs/>
          <w:sz w:val="22"/>
          <w:szCs w:val="22"/>
        </w:rPr>
        <w:t>10 (dez) vagas, para o serviço de acolhimento de pessoas, em caráter voluntário, com problemas associados ao uso nocivo ou dependência de substância psicoativa, caracterizadas como COMUNIDADES TERAPÊUTICAS.</w:t>
      </w:r>
    </w:p>
    <w:p>
      <w:pPr>
        <w:pStyle w:val="Standard"/>
        <w:widowControl/>
        <w:spacing w:lineRule="auto" w:line="360"/>
        <w:jc w:val="both"/>
        <w:rPr>
          <w:rFonts w:ascii="Arial" w:hAnsi="Arial" w:cs="Arial"/>
          <w:b/>
          <w:bCs/>
          <w:sz w:val="22"/>
          <w:szCs w:val="22"/>
          <w:u w:val="single"/>
        </w:rPr>
      </w:pPr>
      <w:r>
        <w:rPr>
          <w:rFonts w:cs="Arial" w:ascii="Arial" w:hAnsi="Arial"/>
          <w:b/>
          <w:bCs/>
          <w:sz w:val="22"/>
          <w:szCs w:val="22"/>
          <w:u w:val="single"/>
        </w:rPr>
      </w:r>
    </w:p>
    <w:p>
      <w:pPr>
        <w:pStyle w:val="Standard1"/>
        <w:spacing w:lineRule="auto" w:line="360"/>
        <w:jc w:val="both"/>
        <w:rPr>
          <w:rFonts w:ascii="Arial" w:hAnsi="Arial" w:cs="Arial"/>
          <w:sz w:val="22"/>
          <w:szCs w:val="22"/>
        </w:rPr>
      </w:pPr>
      <w:r>
        <w:rPr>
          <w:rFonts w:cs="Arial" w:ascii="Arial" w:hAnsi="Arial"/>
          <w:b/>
          <w:bCs/>
          <w:sz w:val="22"/>
          <w:szCs w:val="22"/>
          <w:u w:val="single"/>
        </w:rPr>
        <w:t>2. JUSTIFICATIVA:</w:t>
      </w:r>
    </w:p>
    <w:p>
      <w:pPr>
        <w:pStyle w:val="Standard2"/>
        <w:spacing w:lineRule="auto" w:line="360"/>
        <w:jc w:val="both"/>
        <w:rPr>
          <w:rFonts w:ascii="Arial" w:hAnsi="Arial" w:cs="Arial"/>
          <w:sz w:val="22"/>
          <w:szCs w:val="22"/>
        </w:rPr>
      </w:pPr>
      <w:r>
        <w:rPr>
          <w:rFonts w:cs="Arial" w:ascii="Arial" w:hAnsi="Arial"/>
          <w:sz w:val="22"/>
          <w:szCs w:val="22"/>
        </w:rPr>
        <w:t>Atenção a pessoas com necessidades decorrentes do uso de álcool, crack e outras drogas, na modalidade de Serviços de Atenção em Regime Residencial Transitório, como parte do Projeto Terapêutico Singular articulado com serviços de saúde e assistência Social de referência para os usuários</w:t>
      </w:r>
    </w:p>
    <w:p>
      <w:pPr>
        <w:pStyle w:val="Standard2"/>
        <w:spacing w:lineRule="auto" w:line="360"/>
        <w:jc w:val="both"/>
        <w:rPr>
          <w:rFonts w:ascii="Arial" w:hAnsi="Arial" w:cs="Arial"/>
          <w:sz w:val="22"/>
          <w:szCs w:val="22"/>
        </w:rPr>
      </w:pPr>
      <w:r>
        <w:rPr>
          <w:rFonts w:cs="Arial" w:ascii="Arial" w:hAnsi="Arial"/>
          <w:sz w:val="22"/>
          <w:szCs w:val="22"/>
        </w:rPr>
        <w:t>O serviço a ser parceirizado é referenciado no CAPS AD – Centro de Atenção Psicossocial – Álcool e Drogas, para monitoramento e acompanhamento das ações previstas neste Edital.</w:t>
      </w:r>
    </w:p>
    <w:p>
      <w:pPr>
        <w:pStyle w:val="Standard2"/>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Style w:val="StrongEmphasis"/>
          <w:rFonts w:cs="Arial" w:ascii="Arial" w:hAnsi="Arial"/>
          <w:sz w:val="22"/>
          <w:szCs w:val="22"/>
        </w:rPr>
        <w:t>3. – ESPECIFICAÇÃO DA CONTRATAÇÃO</w:t>
      </w:r>
    </w:p>
    <w:p>
      <w:pPr>
        <w:pStyle w:val="Standard"/>
        <w:spacing w:lineRule="auto" w:line="360"/>
        <w:jc w:val="both"/>
        <w:rPr>
          <w:rFonts w:ascii="Arial" w:hAnsi="Arial" w:cs="Arial"/>
          <w:sz w:val="22"/>
          <w:szCs w:val="22"/>
        </w:rPr>
      </w:pPr>
      <w:r>
        <w:rPr>
          <w:rStyle w:val="StrongEmphasis"/>
          <w:rFonts w:cs="Arial" w:ascii="Arial" w:hAnsi="Arial"/>
          <w:b w:val="false"/>
          <w:bCs w:val="false"/>
          <w:sz w:val="22"/>
          <w:szCs w:val="22"/>
        </w:rPr>
        <w:t>SERVIÇO ESPECIALIZADO EM SAÚDE MENTAL: Entidades que realizam o acolhimento de pessoas, em caráter voluntário, com problemas associados ao uso nocivo ou dependência de substância psicoativa, caracterizadas como comunidades terapêuticas.</w:t>
      </w:r>
    </w:p>
    <w:p>
      <w:pPr>
        <w:pStyle w:val="Standard"/>
        <w:widowControl/>
        <w:numPr>
          <w:ilvl w:val="0"/>
          <w:numId w:val="6"/>
        </w:numPr>
        <w:spacing w:lineRule="auto" w:line="360"/>
        <w:jc w:val="both"/>
        <w:rPr>
          <w:rFonts w:ascii="Arial" w:hAnsi="Arial" w:cs="Arial"/>
          <w:sz w:val="22"/>
          <w:szCs w:val="22"/>
        </w:rPr>
      </w:pPr>
      <w:r>
        <w:rPr>
          <w:rFonts w:cs="Arial" w:ascii="Arial" w:hAnsi="Arial"/>
          <w:sz w:val="22"/>
          <w:szCs w:val="22"/>
          <w:u w:val="single"/>
        </w:rPr>
        <w:t>Público Alvo:</w:t>
      </w:r>
      <w:r>
        <w:rPr>
          <w:rFonts w:cs="Arial" w:ascii="Arial" w:hAnsi="Arial"/>
          <w:sz w:val="22"/>
          <w:szCs w:val="22"/>
        </w:rPr>
        <w:t xml:space="preserve"> Pessoas do sexo masculino, a partir de 18 anos que apresentem transtornos mentais em decorrência do consumo abusivo de álcool e outras drogas.</w:t>
      </w:r>
    </w:p>
    <w:p>
      <w:pPr>
        <w:pStyle w:val="Standard"/>
        <w:widowControl/>
        <w:numPr>
          <w:ilvl w:val="0"/>
          <w:numId w:val="6"/>
        </w:numPr>
        <w:spacing w:lineRule="auto" w:line="360"/>
        <w:jc w:val="both"/>
        <w:rPr>
          <w:rFonts w:ascii="Arial" w:hAnsi="Arial" w:cs="Arial"/>
          <w:sz w:val="22"/>
          <w:szCs w:val="22"/>
        </w:rPr>
      </w:pPr>
      <w:r>
        <w:rPr>
          <w:rFonts w:cs="Arial" w:ascii="Arial" w:hAnsi="Arial"/>
          <w:sz w:val="22"/>
          <w:szCs w:val="22"/>
          <w:u w:val="single"/>
        </w:rPr>
        <w:t>Finalidade:</w:t>
      </w:r>
      <w:r>
        <w:rPr>
          <w:rFonts w:cs="Arial" w:ascii="Arial" w:hAnsi="Arial"/>
          <w:sz w:val="22"/>
          <w:szCs w:val="22"/>
        </w:rPr>
        <w:t xml:space="preserve"> proporcionar possibilidades aos participantes do programa terapêutico a viverem integralmente na sociedade, aplicando princípios éticos nos relacionamentos familiares, na profissão escolhida e na comunidade; que se tornem mentalmente sadios, emocionalmente equilibrados, socialmente ajustados, fisicamente bem.</w:t>
      </w:r>
    </w:p>
    <w:p>
      <w:pPr>
        <w:pStyle w:val="Standard"/>
        <w:widowControl/>
        <w:numPr>
          <w:ilvl w:val="0"/>
          <w:numId w:val="6"/>
        </w:numPr>
        <w:spacing w:lineRule="auto" w:line="360"/>
        <w:jc w:val="both"/>
        <w:rPr>
          <w:rFonts w:ascii="Arial" w:hAnsi="Arial" w:cs="Arial"/>
          <w:sz w:val="22"/>
          <w:szCs w:val="22"/>
        </w:rPr>
      </w:pPr>
      <w:r>
        <w:rPr>
          <w:rFonts w:cs="Arial" w:ascii="Arial" w:hAnsi="Arial"/>
          <w:sz w:val="22"/>
          <w:szCs w:val="22"/>
          <w:u w:val="single"/>
        </w:rPr>
        <w:t>Objetivos específicos:</w:t>
      </w:r>
      <w:r>
        <w:rPr>
          <w:rFonts w:cs="Arial" w:ascii="Arial" w:hAnsi="Arial"/>
          <w:sz w:val="22"/>
          <w:szCs w:val="22"/>
        </w:rPr>
        <w:t xml:space="preserve"> possibilitar acolhida na rede socioassistencial, contribuir para a construção de novos projetos de vida, restaurar e preservar a integridade e a autonomia da população, promover ações para reinserção familiar e/ou comunitária.</w:t>
      </w:r>
    </w:p>
    <w:p>
      <w:pPr>
        <w:pStyle w:val="Standard"/>
        <w:widowControl/>
        <w:numPr>
          <w:ilvl w:val="0"/>
          <w:numId w:val="6"/>
        </w:numPr>
        <w:spacing w:lineRule="auto" w:line="360"/>
        <w:jc w:val="both"/>
        <w:rPr>
          <w:rFonts w:ascii="Arial" w:hAnsi="Arial" w:cs="Arial"/>
          <w:sz w:val="22"/>
          <w:szCs w:val="22"/>
        </w:rPr>
      </w:pPr>
      <w:r>
        <w:rPr>
          <w:rFonts w:cs="Arial" w:ascii="Arial" w:hAnsi="Arial"/>
          <w:sz w:val="22"/>
          <w:szCs w:val="22"/>
          <w:u w:val="single"/>
        </w:rPr>
        <w:t>Período de Internação:</w:t>
      </w:r>
      <w:r>
        <w:rPr>
          <w:rFonts w:cs="Arial" w:ascii="Arial" w:hAnsi="Arial"/>
          <w:sz w:val="22"/>
          <w:szCs w:val="22"/>
        </w:rPr>
        <w:t xml:space="preserve"> máximo de 180 (cento e oitenta) dias, com possibilidade de prorrogação por mais 90 (noventa) dias, sob justificativa conjunta das equipes técnicas da entidade e do CAPS de referência, em relatório circunstanciado. </w:t>
      </w:r>
      <w:r>
        <w:rPr>
          <w:rFonts w:cs="Arial" w:ascii="Arial" w:hAnsi="Arial"/>
          <w:color w:val="000000"/>
          <w:sz w:val="22"/>
          <w:szCs w:val="22"/>
        </w:rPr>
        <w:t>É importante ressaltar que a delimitação do período de internação é parte da construção do PTS ou PAS, que deve ser realizado em conjunto com o usuário e com o serviço de saúde referência para o caso (geralmente, o CAPS AD), e com a equipe técnica da prestadora de serviço.</w:t>
      </w:r>
    </w:p>
    <w:p>
      <w:pPr>
        <w:pStyle w:val="Standard"/>
        <w:widowControl/>
        <w:numPr>
          <w:ilvl w:val="0"/>
          <w:numId w:val="6"/>
        </w:numPr>
        <w:spacing w:lineRule="auto" w:line="360"/>
        <w:jc w:val="both"/>
        <w:rPr>
          <w:rFonts w:ascii="Arial" w:hAnsi="Arial" w:cs="Arial"/>
          <w:sz w:val="22"/>
          <w:szCs w:val="22"/>
        </w:rPr>
      </w:pPr>
      <w:r>
        <w:rPr>
          <w:rFonts w:cs="Arial" w:ascii="Arial" w:hAnsi="Arial"/>
          <w:sz w:val="22"/>
          <w:szCs w:val="22"/>
          <w:u w:val="single"/>
        </w:rPr>
        <w:t>Formas de acesso:</w:t>
      </w:r>
      <w:r>
        <w:rPr>
          <w:rFonts w:cs="Arial" w:ascii="Arial" w:hAnsi="Arial"/>
          <w:sz w:val="22"/>
          <w:szCs w:val="22"/>
        </w:rPr>
        <w:t xml:space="preserve"> </w:t>
      </w:r>
      <w:r>
        <w:rPr>
          <w:rFonts w:cs="Arial" w:ascii="Arial" w:hAnsi="Arial"/>
          <w:color w:val="000000"/>
          <w:sz w:val="22"/>
          <w:szCs w:val="22"/>
        </w:rPr>
        <w:t>o ingresso de residentes no serviço será condicionado ao consentimento expresso do usuário e dependerá de avaliação prévia pelo CAPS de referência. A entrada de novos usuários poderá ser indicada por Equipe de Atenção Básica, em avaliação conjunta com o CAPS de referência.</w:t>
      </w:r>
    </w:p>
    <w:p>
      <w:pPr>
        <w:pStyle w:val="Textbody"/>
        <w:numPr>
          <w:ilvl w:val="0"/>
          <w:numId w:val="6"/>
        </w:numPr>
        <w:spacing w:lineRule="auto" w:line="360"/>
        <w:jc w:val="both"/>
        <w:rPr>
          <w:rFonts w:ascii="Arial" w:hAnsi="Arial" w:cs="Arial"/>
          <w:color w:val="000000"/>
        </w:rPr>
      </w:pPr>
      <w:r>
        <w:rPr>
          <w:rFonts w:cs="Arial" w:ascii="Arial" w:hAnsi="Arial"/>
          <w:color w:val="000000"/>
        </w:rPr>
        <w:t>A avaliação para ingresso no serviço de atenção em regime residencial será realizada por equipe multidisciplinar e incluirá atendimento individual do usuário e, se possível, de sua família.</w:t>
      </w:r>
    </w:p>
    <w:p>
      <w:pPr>
        <w:pStyle w:val="Textbody"/>
        <w:numPr>
          <w:ilvl w:val="0"/>
          <w:numId w:val="6"/>
        </w:numPr>
        <w:spacing w:lineRule="auto" w:line="360"/>
        <w:jc w:val="both"/>
        <w:rPr>
          <w:rFonts w:ascii="Arial" w:hAnsi="Arial" w:cs="Arial"/>
          <w:color w:val="000000"/>
        </w:rPr>
      </w:pPr>
      <w:r>
        <w:rPr>
          <w:rFonts w:cs="Arial" w:ascii="Arial" w:hAnsi="Arial"/>
          <w:color w:val="000000"/>
        </w:rPr>
        <w:t>A avaliação deverá levar em consideração: o esclarecimento do usuário sobre o modo de funcionamento do serviço de atenção em regime residencial; os objetivos da utilização do serviço de atenção em regime residencial em seu tratamento; avaliação do risco de complicações clínicas diretas e indiretas do uso de álcool, crack e outras drogas, ou de outras condições de saúde do usuário que necessitem de cuidado especializado e intensivo de saúde que não esteja disponível em um serviço de saúde de atenção residencial transitória; proporcionar ao usuário, sempre que possível, uma visita prévia à entidade prestadora do serviço de atenção em regime residencial, para demonstração prática da proposta de trabalho.</w:t>
      </w:r>
    </w:p>
    <w:p>
      <w:pPr>
        <w:pStyle w:val="Textbody"/>
        <w:numPr>
          <w:ilvl w:val="0"/>
          <w:numId w:val="6"/>
        </w:numPr>
        <w:spacing w:lineRule="auto" w:line="360"/>
        <w:jc w:val="both"/>
        <w:rPr>
          <w:rFonts w:ascii="Arial" w:hAnsi="Arial" w:cs="Arial"/>
          <w:color w:val="000000"/>
        </w:rPr>
      </w:pPr>
      <w:r>
        <w:rPr>
          <w:rFonts w:cs="Arial" w:ascii="Arial" w:hAnsi="Arial"/>
          <w:color w:val="000000"/>
        </w:rPr>
        <w:t>A avaliação deverá servir de base para a elaboração do Projeto Terapêutico Singular, a ser registrado em prontuário do CAPS e/ou da Equipe de Atenção Básica.</w:t>
      </w:r>
    </w:p>
    <w:p>
      <w:pPr>
        <w:pStyle w:val="Textbody"/>
        <w:numPr>
          <w:ilvl w:val="0"/>
          <w:numId w:val="6"/>
        </w:numPr>
        <w:spacing w:lineRule="auto" w:line="360"/>
        <w:jc w:val="both"/>
        <w:rPr>
          <w:rFonts w:ascii="Arial" w:hAnsi="Arial" w:cs="Arial"/>
          <w:color w:val="000000"/>
        </w:rPr>
      </w:pPr>
      <w:r>
        <w:rPr>
          <w:rFonts w:cs="Arial" w:ascii="Arial" w:hAnsi="Arial"/>
          <w:color w:val="000000"/>
        </w:rPr>
        <w:t>A Comunidade terapêutica contratada será responsável pelo transporte dos pacientes e familiares na internação e durante o tratamento, sempre que necessário.</w:t>
      </w:r>
    </w:p>
    <w:p>
      <w:pPr>
        <w:pStyle w:val="Textbody"/>
        <w:numPr>
          <w:ilvl w:val="0"/>
          <w:numId w:val="6"/>
        </w:numPr>
        <w:spacing w:lineRule="auto" w:line="360"/>
        <w:jc w:val="both"/>
        <w:rPr>
          <w:rFonts w:ascii="Arial" w:hAnsi="Arial" w:cs="Arial"/>
          <w:b/>
          <w:bCs/>
          <w:color w:val="000000"/>
        </w:rPr>
      </w:pPr>
      <w:r>
        <w:rPr>
          <w:rFonts w:cs="Arial" w:ascii="Arial" w:hAnsi="Arial"/>
          <w:b/>
          <w:bCs/>
          <w:color w:val="000000"/>
        </w:rPr>
        <w:t>Quantidade: 10 (dez) vagas.</w:t>
      </w:r>
    </w:p>
    <w:p>
      <w:pPr>
        <w:pStyle w:val="Textbody"/>
        <w:spacing w:lineRule="auto" w:line="360"/>
        <w:jc w:val="both"/>
        <w:rPr>
          <w:rFonts w:ascii="Arial" w:hAnsi="Arial" w:cs="Arial"/>
          <w:color w:val="000000"/>
        </w:rPr>
      </w:pPr>
      <w:r>
        <w:rPr>
          <w:rFonts w:cs="Arial" w:ascii="Arial" w:hAnsi="Arial"/>
          <w:color w:val="000000"/>
        </w:rPr>
      </w:r>
    </w:p>
    <w:p>
      <w:pPr>
        <w:pStyle w:val="Textbody"/>
        <w:spacing w:lineRule="auto" w:line="360"/>
        <w:jc w:val="both"/>
        <w:rPr>
          <w:rFonts w:ascii="Arial" w:hAnsi="Arial" w:cs="Arial"/>
          <w:b/>
          <w:bCs/>
          <w:color w:val="000000"/>
        </w:rPr>
      </w:pPr>
      <w:r>
        <w:rPr>
          <w:rFonts w:cs="Arial" w:ascii="Arial" w:hAnsi="Arial"/>
          <w:b/>
          <w:bCs/>
          <w:color w:val="000000"/>
        </w:rPr>
        <w:t>3.1 – DESCRIÇÃO DO SERVIÇO:</w:t>
      </w:r>
    </w:p>
    <w:p>
      <w:pPr>
        <w:pStyle w:val="Standard"/>
        <w:widowControl/>
        <w:numPr>
          <w:ilvl w:val="0"/>
          <w:numId w:val="13"/>
        </w:numPr>
        <w:spacing w:lineRule="auto" w:line="360"/>
        <w:jc w:val="both"/>
        <w:rPr>
          <w:rFonts w:ascii="Arial" w:hAnsi="Arial" w:cs="Arial"/>
          <w:sz w:val="22"/>
          <w:szCs w:val="22"/>
        </w:rPr>
      </w:pPr>
      <w:r>
        <w:rPr>
          <w:rFonts w:cs="Arial" w:ascii="Arial" w:hAnsi="Arial"/>
          <w:sz w:val="22"/>
          <w:szCs w:val="22"/>
        </w:rPr>
        <w:t>Acolher pessoas com transtornos decorrentes do uso, abuso ou dependência de substâncias psicoativas;</w:t>
      </w:r>
    </w:p>
    <w:p>
      <w:pPr>
        <w:pStyle w:val="Standard"/>
        <w:widowControl/>
        <w:numPr>
          <w:ilvl w:val="0"/>
          <w:numId w:val="24"/>
        </w:numPr>
        <w:spacing w:lineRule="auto" w:line="360"/>
        <w:jc w:val="both"/>
        <w:rPr>
          <w:rFonts w:ascii="Arial" w:hAnsi="Arial" w:cs="Arial"/>
          <w:sz w:val="22"/>
          <w:szCs w:val="22"/>
        </w:rPr>
      </w:pPr>
      <w:r>
        <w:rPr>
          <w:rFonts w:cs="Arial" w:ascii="Arial" w:hAnsi="Arial"/>
          <w:sz w:val="22"/>
          <w:szCs w:val="22"/>
        </w:rPr>
        <w:t>Prestar serviços na área de saúde, definida para todos os fins como Comunidade Terapêutica;</w:t>
      </w:r>
    </w:p>
    <w:p>
      <w:pPr>
        <w:pStyle w:val="Standard"/>
        <w:widowControl/>
        <w:numPr>
          <w:ilvl w:val="0"/>
          <w:numId w:val="25"/>
        </w:numPr>
        <w:spacing w:lineRule="auto" w:line="360"/>
        <w:jc w:val="both"/>
        <w:rPr>
          <w:rFonts w:ascii="Arial" w:hAnsi="Arial" w:cs="Arial"/>
          <w:sz w:val="22"/>
          <w:szCs w:val="22"/>
        </w:rPr>
      </w:pPr>
      <w:r>
        <w:rPr>
          <w:rFonts w:cs="Arial" w:ascii="Arial" w:hAnsi="Arial"/>
          <w:sz w:val="22"/>
          <w:szCs w:val="22"/>
        </w:rPr>
        <w:t>Possuir e cumprir seu programa de acolhimento, que também deverá conter as normas e rotinas da entidade;</w:t>
      </w:r>
    </w:p>
    <w:p>
      <w:pPr>
        <w:pStyle w:val="Standard"/>
        <w:widowControl/>
        <w:numPr>
          <w:ilvl w:val="0"/>
          <w:numId w:val="26"/>
        </w:numPr>
        <w:spacing w:lineRule="auto" w:line="360"/>
        <w:jc w:val="both"/>
        <w:rPr>
          <w:rFonts w:ascii="Arial" w:hAnsi="Arial" w:cs="Arial"/>
          <w:sz w:val="22"/>
          <w:szCs w:val="22"/>
        </w:rPr>
      </w:pPr>
      <w:r>
        <w:rPr>
          <w:rFonts w:cs="Arial" w:ascii="Arial" w:hAnsi="Arial"/>
          <w:sz w:val="22"/>
          <w:szCs w:val="22"/>
        </w:rPr>
        <w:t>Somente acolher pessoas mediante avaliação diagnóstica prévia, emitida pela rede de saúde ou por profissional habilitado, que as considere aptas para o acolhimento, em consonância com o disposto no art. 3º da Resolução CONAD Nº 01/2015;</w:t>
      </w:r>
    </w:p>
    <w:p>
      <w:pPr>
        <w:pStyle w:val="Standard"/>
        <w:widowControl/>
        <w:numPr>
          <w:ilvl w:val="0"/>
          <w:numId w:val="27"/>
        </w:numPr>
        <w:spacing w:lineRule="auto" w:line="360"/>
        <w:jc w:val="both"/>
        <w:rPr>
          <w:rFonts w:ascii="Arial" w:hAnsi="Arial" w:cs="Arial"/>
          <w:color w:val="000000"/>
          <w:sz w:val="22"/>
          <w:szCs w:val="22"/>
        </w:rPr>
      </w:pPr>
      <w:r>
        <w:rPr>
          <w:rFonts w:cs="Arial" w:ascii="Arial" w:hAnsi="Arial"/>
          <w:color w:val="000000"/>
          <w:sz w:val="22"/>
          <w:szCs w:val="22"/>
        </w:rPr>
        <w:t>Atender as pessoas dependentes de álcool e drogas em sistema residencial transitório proporcionando-lhes apoio na sua recuperação e reintegração ao meio social;</w:t>
      </w:r>
    </w:p>
    <w:p>
      <w:pPr>
        <w:pStyle w:val="Standard"/>
        <w:widowControl/>
        <w:numPr>
          <w:ilvl w:val="0"/>
          <w:numId w:val="28"/>
        </w:numPr>
        <w:spacing w:lineRule="auto" w:line="360"/>
        <w:jc w:val="both"/>
        <w:rPr>
          <w:rFonts w:ascii="Arial" w:hAnsi="Arial" w:cs="Arial"/>
          <w:sz w:val="22"/>
          <w:szCs w:val="22"/>
        </w:rPr>
      </w:pPr>
      <w:r>
        <w:rPr>
          <w:rFonts w:cs="Arial" w:ascii="Arial" w:hAnsi="Arial"/>
          <w:sz w:val="22"/>
          <w:szCs w:val="22"/>
        </w:rPr>
        <w:t>Proporcionar à família integração ao processo de recuperação através de atividades específicas para esse fim, conscientizando-a de sua co-dependência;</w:t>
      </w:r>
    </w:p>
    <w:p>
      <w:pPr>
        <w:pStyle w:val="Standard"/>
        <w:widowControl/>
        <w:numPr>
          <w:ilvl w:val="0"/>
          <w:numId w:val="29"/>
        </w:numPr>
        <w:spacing w:lineRule="auto" w:line="360"/>
        <w:jc w:val="both"/>
        <w:rPr>
          <w:rFonts w:ascii="Arial" w:hAnsi="Arial" w:cs="Arial"/>
          <w:sz w:val="22"/>
          <w:szCs w:val="22"/>
        </w:rPr>
      </w:pPr>
      <w:r>
        <w:rPr>
          <w:rFonts w:cs="Arial" w:ascii="Arial" w:hAnsi="Arial"/>
          <w:sz w:val="22"/>
          <w:szCs w:val="22"/>
        </w:rPr>
        <w:t>Garantir a participação da família ou de pessoa indicada pelo acolhido no processo de acolhimento, bem como nas ações de preparação para a reinserção social;</w:t>
      </w:r>
    </w:p>
    <w:p>
      <w:pPr>
        <w:pStyle w:val="Standard"/>
        <w:widowControl/>
        <w:numPr>
          <w:ilvl w:val="0"/>
          <w:numId w:val="30"/>
        </w:numPr>
        <w:spacing w:lineRule="auto" w:line="360"/>
        <w:jc w:val="both"/>
        <w:rPr>
          <w:rFonts w:ascii="Arial" w:hAnsi="Arial" w:cs="Arial"/>
          <w:sz w:val="22"/>
          <w:szCs w:val="22"/>
        </w:rPr>
      </w:pPr>
      <w:r>
        <w:rPr>
          <w:rFonts w:cs="Arial" w:ascii="Arial" w:hAnsi="Arial"/>
          <w:sz w:val="22"/>
          <w:szCs w:val="22"/>
        </w:rPr>
        <w:t>Desenvolver atividades de prevenção ao uso e abuso de drogas;</w:t>
      </w:r>
    </w:p>
    <w:p>
      <w:pPr>
        <w:pStyle w:val="Standard"/>
        <w:widowControl/>
        <w:numPr>
          <w:ilvl w:val="0"/>
          <w:numId w:val="31"/>
        </w:numPr>
        <w:spacing w:lineRule="auto" w:line="360"/>
        <w:jc w:val="both"/>
        <w:rPr>
          <w:rFonts w:ascii="Arial" w:hAnsi="Arial" w:cs="Arial"/>
          <w:color w:val="000000"/>
          <w:sz w:val="22"/>
          <w:szCs w:val="22"/>
        </w:rPr>
      </w:pPr>
      <w:r>
        <w:rPr>
          <w:rFonts w:cs="Arial" w:ascii="Arial" w:hAnsi="Arial"/>
          <w:color w:val="000000"/>
          <w:sz w:val="22"/>
          <w:szCs w:val="22"/>
        </w:rPr>
        <w:t>Ser um referencial na área de uso abusivo de álcool e drogas, promovendo sempre a melhoria de qualidade de vida da comunidade;</w:t>
      </w:r>
    </w:p>
    <w:p>
      <w:pPr>
        <w:pStyle w:val="Standard"/>
        <w:widowControl/>
        <w:numPr>
          <w:ilvl w:val="0"/>
          <w:numId w:val="32"/>
        </w:numPr>
        <w:spacing w:lineRule="auto" w:line="360"/>
        <w:jc w:val="both"/>
        <w:rPr>
          <w:rFonts w:ascii="Arial" w:hAnsi="Arial" w:cs="Arial"/>
          <w:color w:val="000000"/>
          <w:sz w:val="22"/>
          <w:szCs w:val="22"/>
        </w:rPr>
      </w:pPr>
      <w:r>
        <w:rPr>
          <w:rFonts w:cs="Arial" w:ascii="Arial" w:hAnsi="Arial"/>
          <w:color w:val="000000"/>
          <w:sz w:val="22"/>
          <w:szCs w:val="22"/>
        </w:rPr>
        <w:t>Articular junto à rede de Atenção Psicossocial e à rede de Proteção Social para atendimento e acompanhamento das famílias dos acolhidos, quando do seu ingresso, durante sua permanência na instituição e, também, após o desligamento da Comunidade Terapêutica;</w:t>
      </w:r>
    </w:p>
    <w:p>
      <w:pPr>
        <w:pStyle w:val="Standard"/>
        <w:widowControl/>
        <w:numPr>
          <w:ilvl w:val="0"/>
          <w:numId w:val="33"/>
        </w:numPr>
        <w:spacing w:lineRule="auto" w:line="360"/>
        <w:jc w:val="both"/>
        <w:rPr>
          <w:rFonts w:ascii="Arial" w:hAnsi="Arial" w:cs="Arial"/>
          <w:color w:val="000000"/>
          <w:sz w:val="22"/>
          <w:szCs w:val="22"/>
        </w:rPr>
      </w:pPr>
      <w:r>
        <w:rPr>
          <w:rFonts w:cs="Arial" w:ascii="Arial" w:hAnsi="Arial"/>
          <w:color w:val="000000"/>
          <w:sz w:val="22"/>
          <w:szCs w:val="22"/>
        </w:rPr>
        <w:t>Desenvolver ações preventivas em parceria com os serviços da Rede de Atenção Psicossocial em escolas, empresas, clube de serviços, clubes de lazer, poder público, entre outros, para ajudar na prevenção do uso abusivo e nocivo de álcool e outras drogas.</w:t>
      </w:r>
    </w:p>
    <w:p>
      <w:pPr>
        <w:pStyle w:val="Standard"/>
        <w:widowControl/>
        <w:numPr>
          <w:ilvl w:val="0"/>
          <w:numId w:val="34"/>
        </w:numPr>
        <w:spacing w:lineRule="auto" w:line="360"/>
        <w:jc w:val="both"/>
        <w:rPr>
          <w:rFonts w:ascii="Arial" w:hAnsi="Arial" w:cs="Arial"/>
          <w:color w:val="000000"/>
          <w:sz w:val="22"/>
          <w:szCs w:val="22"/>
        </w:rPr>
      </w:pPr>
      <w:r>
        <w:rPr>
          <w:rFonts w:cs="Arial" w:ascii="Arial" w:hAnsi="Arial"/>
          <w:color w:val="000000"/>
          <w:sz w:val="22"/>
          <w:szCs w:val="22"/>
        </w:rPr>
        <w:t>Garantir o direito do usuário residente ao contato frequente, com visitas regulares, dos familiares desde o primeiro dia de permanência na entidade;</w:t>
      </w:r>
    </w:p>
    <w:p>
      <w:pPr>
        <w:pStyle w:val="Standard"/>
        <w:widowControl/>
        <w:numPr>
          <w:ilvl w:val="0"/>
          <w:numId w:val="35"/>
        </w:numPr>
        <w:spacing w:lineRule="auto" w:line="360"/>
        <w:jc w:val="both"/>
        <w:rPr>
          <w:rFonts w:ascii="Arial" w:hAnsi="Arial" w:cs="Arial"/>
          <w:color w:val="000000"/>
          <w:sz w:val="22"/>
          <w:szCs w:val="22"/>
        </w:rPr>
      </w:pPr>
      <w:r>
        <w:rPr>
          <w:rFonts w:cs="Arial" w:ascii="Arial" w:hAnsi="Arial"/>
          <w:color w:val="000000"/>
          <w:sz w:val="22"/>
          <w:szCs w:val="22"/>
        </w:rPr>
        <w:t>Estímulo a situações de convívio social entre os usuários residentes em atividades terapêuticas, de lazer, cultura, esporte, alimentação e outras, dentro e fora da entidade, sempre que possível;</w:t>
      </w:r>
    </w:p>
    <w:p>
      <w:pPr>
        <w:pStyle w:val="Standard"/>
        <w:widowControl/>
        <w:numPr>
          <w:ilvl w:val="0"/>
          <w:numId w:val="36"/>
        </w:numPr>
        <w:spacing w:lineRule="auto" w:line="360"/>
        <w:jc w:val="both"/>
        <w:rPr>
          <w:rFonts w:ascii="Arial" w:hAnsi="Arial" w:cs="Arial"/>
          <w:color w:val="000000"/>
          <w:sz w:val="22"/>
          <w:szCs w:val="22"/>
        </w:rPr>
      </w:pPr>
      <w:r>
        <w:rPr>
          <w:rFonts w:cs="Arial" w:ascii="Arial" w:hAnsi="Arial"/>
          <w:color w:val="000000"/>
          <w:sz w:val="22"/>
          <w:szCs w:val="22"/>
        </w:rPr>
        <w:t>Promoção de reuniões e assembleias com frequência mínima semanal para que os usuários residentes e a equipe técnica possam discutir aspectos cotidianos do funcionamento da entidade;</w:t>
      </w:r>
    </w:p>
    <w:p>
      <w:pPr>
        <w:pStyle w:val="Standard"/>
        <w:widowControl/>
        <w:numPr>
          <w:ilvl w:val="0"/>
          <w:numId w:val="37"/>
        </w:numPr>
        <w:spacing w:lineRule="auto" w:line="360"/>
        <w:jc w:val="both"/>
        <w:rPr>
          <w:rFonts w:ascii="Arial" w:hAnsi="Arial" w:cs="Arial"/>
          <w:color w:val="000000"/>
          <w:sz w:val="22"/>
          <w:szCs w:val="22"/>
        </w:rPr>
      </w:pPr>
      <w:r>
        <w:rPr>
          <w:rFonts w:cs="Arial" w:ascii="Arial" w:hAnsi="Arial"/>
          <w:color w:val="000000"/>
          <w:sz w:val="22"/>
          <w:szCs w:val="22"/>
        </w:rPr>
        <w:t>Promoção de atividades individuais e coletivas de orientação sobre prevenção do uso de álcool, crack e outras drogas, com base em dados técnicos e científicos, bem como sobre os direitos dos usuários do Sistema Único de Saúde;</w:t>
      </w:r>
    </w:p>
    <w:p>
      <w:pPr>
        <w:pStyle w:val="Standard"/>
        <w:widowControl/>
        <w:numPr>
          <w:ilvl w:val="0"/>
          <w:numId w:val="38"/>
        </w:numPr>
        <w:spacing w:lineRule="auto" w:line="360"/>
        <w:jc w:val="both"/>
        <w:rPr>
          <w:rFonts w:ascii="Arial" w:hAnsi="Arial" w:cs="Arial"/>
          <w:sz w:val="22"/>
          <w:szCs w:val="22"/>
        </w:rPr>
      </w:pPr>
      <w:r>
        <w:rPr>
          <w:rFonts w:cs="Arial" w:ascii="Arial" w:hAnsi="Arial"/>
          <w:color w:val="000000"/>
          <w:sz w:val="22"/>
          <w:szCs w:val="22"/>
        </w:rPr>
        <w:t>Estímulo à participação dos usuários residentes nas ações propostas no Projeto Terapêutico Singular</w:t>
      </w:r>
      <w:r>
        <w:rPr>
          <w:rFonts w:cs="Arial" w:ascii="Arial" w:hAnsi="Arial"/>
          <w:sz w:val="22"/>
          <w:szCs w:val="22"/>
        </w:rPr>
        <w:t xml:space="preserve"> (PTS), ou Plano de Acolhimento Singular (PAS);</w:t>
      </w:r>
    </w:p>
    <w:p>
      <w:pPr>
        <w:pStyle w:val="Standard"/>
        <w:widowControl/>
        <w:numPr>
          <w:ilvl w:val="0"/>
          <w:numId w:val="39"/>
        </w:numPr>
        <w:spacing w:lineRule="auto" w:line="360"/>
        <w:jc w:val="both"/>
        <w:rPr>
          <w:rFonts w:ascii="Arial" w:hAnsi="Arial" w:cs="Arial"/>
          <w:color w:val="000000"/>
          <w:sz w:val="22"/>
          <w:szCs w:val="22"/>
        </w:rPr>
      </w:pPr>
      <w:r>
        <w:rPr>
          <w:rFonts w:cs="Arial" w:ascii="Arial" w:hAnsi="Arial"/>
          <w:color w:val="000000"/>
          <w:sz w:val="22"/>
          <w:szCs w:val="22"/>
        </w:rPr>
        <w:t>Realização de reuniões de equipe com frequência mínima semanal;</w:t>
      </w:r>
    </w:p>
    <w:p>
      <w:pPr>
        <w:pStyle w:val="Standard"/>
        <w:widowControl/>
        <w:numPr>
          <w:ilvl w:val="0"/>
          <w:numId w:val="40"/>
        </w:numPr>
        <w:spacing w:lineRule="auto" w:line="360"/>
        <w:jc w:val="both"/>
        <w:rPr>
          <w:rFonts w:ascii="Arial" w:hAnsi="Arial" w:cs="Arial"/>
          <w:color w:val="000000"/>
          <w:sz w:val="22"/>
          <w:szCs w:val="22"/>
        </w:rPr>
      </w:pPr>
      <w:r>
        <w:rPr>
          <w:rFonts w:cs="Arial" w:ascii="Arial" w:hAnsi="Arial"/>
          <w:color w:val="000000"/>
          <w:sz w:val="22"/>
          <w:szCs w:val="22"/>
        </w:rPr>
        <w:t>Manutenção, pela equipe técnica da entidade, de registro escrito, individualizado e sistemático contendo os dados relevantes da permanência do usuário;</w:t>
      </w:r>
    </w:p>
    <w:p>
      <w:pPr>
        <w:pStyle w:val="Standard"/>
        <w:widowControl/>
        <w:numPr>
          <w:ilvl w:val="0"/>
          <w:numId w:val="41"/>
        </w:numPr>
        <w:spacing w:lineRule="auto" w:line="360"/>
        <w:jc w:val="both"/>
        <w:rPr>
          <w:rFonts w:ascii="Arial" w:hAnsi="Arial" w:cs="Arial"/>
          <w:sz w:val="22"/>
          <w:szCs w:val="22"/>
        </w:rPr>
      </w:pPr>
      <w:r>
        <w:rPr>
          <w:rFonts w:cs="Arial" w:ascii="Arial" w:hAnsi="Arial"/>
          <w:sz w:val="22"/>
          <w:szCs w:val="22"/>
        </w:rPr>
        <w:t>Observância às disposições contidas na Resolução Nº 29, de 30 de junho de 2011.</w:t>
      </w:r>
    </w:p>
    <w:p>
      <w:pPr>
        <w:pStyle w:val="Standard"/>
        <w:widowControl/>
        <w:numPr>
          <w:ilvl w:val="0"/>
          <w:numId w:val="42"/>
        </w:numPr>
        <w:spacing w:lineRule="auto" w:line="360"/>
        <w:jc w:val="both"/>
        <w:rPr>
          <w:rFonts w:ascii="Arial" w:hAnsi="Arial" w:cs="Arial"/>
          <w:sz w:val="22"/>
          <w:szCs w:val="22"/>
        </w:rPr>
      </w:pPr>
      <w:r>
        <w:rPr>
          <w:rFonts w:cs="Arial" w:ascii="Arial" w:hAnsi="Arial"/>
          <w:sz w:val="22"/>
          <w:szCs w:val="22"/>
        </w:rPr>
        <w:t>Informar, de modo claro, os critérios de admissão, permanência e saída, bem como o programa de acolhimento da entidade, que devem receber a anuência prévia, por escrito, do acolhido.</w:t>
      </w:r>
    </w:p>
    <w:p>
      <w:pPr>
        <w:pStyle w:val="Standard"/>
        <w:widowControl/>
        <w:numPr>
          <w:ilvl w:val="0"/>
          <w:numId w:val="43"/>
        </w:numPr>
        <w:spacing w:lineRule="auto" w:line="360"/>
        <w:jc w:val="both"/>
        <w:rPr>
          <w:rFonts w:ascii="Arial" w:hAnsi="Arial" w:cs="Arial"/>
          <w:sz w:val="22"/>
          <w:szCs w:val="22"/>
        </w:rPr>
      </w:pPr>
      <w:r>
        <w:rPr>
          <w:rFonts w:cs="Arial" w:ascii="Arial" w:hAnsi="Arial"/>
          <w:color w:val="000000"/>
          <w:sz w:val="22"/>
          <w:szCs w:val="22"/>
        </w:rPr>
        <w:t xml:space="preserve">O Projeto Terapêutico Singular </w:t>
      </w:r>
      <w:r>
        <w:rPr>
          <w:rFonts w:cs="Arial" w:ascii="Arial" w:hAnsi="Arial"/>
          <w:sz w:val="22"/>
          <w:szCs w:val="22"/>
        </w:rPr>
        <w:t>(PTS), ou Plano de Acolhimento Singular (PAS),</w:t>
      </w:r>
      <w:r>
        <w:rPr>
          <w:rFonts w:cs="Arial" w:ascii="Arial" w:hAnsi="Arial"/>
          <w:color w:val="000000"/>
          <w:sz w:val="22"/>
          <w:szCs w:val="22"/>
        </w:rPr>
        <w:t xml:space="preserve"> deverá ser desenvolvido na entidade prestadora do serviço de atenção em regime residencial, com o acompanhamento do Centro de Atenção Psicossocial (CAPS) de referência, da Equipe de Atenção Básica e de outros serviços socioassistenciais, conforme as peculiaridades de cada caso.</w:t>
      </w:r>
    </w:p>
    <w:p>
      <w:pPr>
        <w:pStyle w:val="Standard"/>
        <w:widowControl/>
        <w:numPr>
          <w:ilvl w:val="0"/>
          <w:numId w:val="44"/>
        </w:numPr>
        <w:spacing w:lineRule="auto" w:line="360"/>
        <w:jc w:val="both"/>
        <w:rPr>
          <w:rFonts w:ascii="Arial" w:hAnsi="Arial" w:cs="Arial"/>
          <w:color w:val="000000"/>
          <w:sz w:val="22"/>
          <w:szCs w:val="22"/>
        </w:rPr>
      </w:pPr>
      <w:r>
        <w:rPr>
          <w:rFonts w:cs="Arial" w:ascii="Arial" w:hAnsi="Arial"/>
          <w:color w:val="000000"/>
          <w:sz w:val="22"/>
          <w:szCs w:val="22"/>
        </w:rPr>
        <w:t>A equipe técnica da entidade prestadora do serviço permanece responsável pela gestão do cuidado do usuário residente; este cuidado é partilhado com o CAPS de referência na medida que as demandas do Projeto Terapêutico Singular do residente envolvam ações na unidade do CAPS (como uso da medicação, atendimentos e outros). A equipe técnica da entidade prestadora do serviço poderá propor, com anuência do CAPS de referência, ajustes no PTS.</w:t>
      </w:r>
    </w:p>
    <w:p>
      <w:pPr>
        <w:pStyle w:val="Standard"/>
        <w:widowControl/>
        <w:numPr>
          <w:ilvl w:val="0"/>
          <w:numId w:val="45"/>
        </w:numPr>
        <w:spacing w:lineRule="auto" w:line="360"/>
        <w:jc w:val="both"/>
        <w:rPr>
          <w:rFonts w:ascii="Arial" w:hAnsi="Arial" w:cs="Arial"/>
          <w:color w:val="000000"/>
          <w:sz w:val="22"/>
          <w:szCs w:val="22"/>
        </w:rPr>
      </w:pPr>
      <w:r>
        <w:rPr>
          <w:rFonts w:cs="Arial" w:ascii="Arial" w:hAnsi="Arial"/>
          <w:color w:val="000000"/>
          <w:sz w:val="22"/>
          <w:szCs w:val="22"/>
        </w:rPr>
        <w:t>A equipe técnica do CAPS de referência acompanhará o tratamento do usuário residente por meio das seguintes medidas: contato entre o usuário e a equipe técnica do CAPS, por meio de atendimento no próprio CAPS ou visita à entidade prestadora, com o registro de todos os contatos em prontuário, sendo que a frequência destes contatos serão estipulados pela equipe técnica do CAPS; continuidade no acompanhamento dos familiares e pessoas da rede social do residente pela equipe técnica do CAPS, por atendimento domiciliar ou no próprio CAPS e/ou com a participação em atividades de grupos dirigidas;  e contato entre a equipe técnica do CAPS de referência e a equipe do serviço de atenção em regime residencial, por meio de reuniões conjuntas registradas em prontuário.</w:t>
      </w:r>
    </w:p>
    <w:p>
      <w:pPr>
        <w:pStyle w:val="Textbody"/>
        <w:numPr>
          <w:ilvl w:val="0"/>
          <w:numId w:val="46"/>
        </w:numPr>
        <w:spacing w:lineRule="auto" w:line="360"/>
        <w:jc w:val="both"/>
        <w:rPr>
          <w:rFonts w:ascii="Arial" w:hAnsi="Arial" w:cs="Arial"/>
        </w:rPr>
      </w:pPr>
      <w:r>
        <w:rPr>
          <w:rFonts w:cs="Arial" w:ascii="Arial" w:hAnsi="Arial"/>
          <w:color w:val="000000"/>
        </w:rPr>
        <w:t>A saída do usuário residente deverá ser programada em conjunto pelas equipes técnicas do serviço de atenção em regime residencial e do CAPS de referência,</w:t>
      </w:r>
      <w:r>
        <w:rPr>
          <w:rFonts w:cs="Arial" w:ascii="Arial" w:hAnsi="Arial"/>
        </w:rPr>
        <w:t xml:space="preserve"> da Equipe de Atenção Básica e de outros serviços socioassistenciais, conforme as peculiaridades de cada caso.</w:t>
      </w:r>
    </w:p>
    <w:p>
      <w:pPr>
        <w:pStyle w:val="Textbody"/>
        <w:numPr>
          <w:ilvl w:val="0"/>
          <w:numId w:val="47"/>
        </w:numPr>
        <w:spacing w:lineRule="auto" w:line="360"/>
        <w:jc w:val="both"/>
        <w:rPr>
          <w:rFonts w:ascii="Arial" w:hAnsi="Arial" w:cs="Arial"/>
          <w:color w:val="000000"/>
        </w:rPr>
      </w:pPr>
      <w:r>
        <w:rPr>
          <w:rFonts w:cs="Arial" w:ascii="Arial" w:hAnsi="Arial"/>
          <w:color w:val="000000"/>
        </w:rPr>
        <w:t>Na programação da saída do usuário residente, deverão ser buscadas parcerias que visem a sua inclusão social, com moradia, suporte familiar, geração de trabalho e renda, integração ou reintegração escolar e outras medidas, conforme as peculiaridades do caso.</w:t>
      </w:r>
    </w:p>
    <w:p>
      <w:pPr>
        <w:pStyle w:val="Textbody"/>
        <w:numPr>
          <w:ilvl w:val="0"/>
          <w:numId w:val="48"/>
        </w:numPr>
        <w:spacing w:lineRule="auto" w:line="360"/>
        <w:jc w:val="both"/>
        <w:rPr>
          <w:rFonts w:ascii="Arial" w:hAnsi="Arial" w:cs="Arial"/>
          <w:color w:val="000000"/>
        </w:rPr>
      </w:pPr>
      <w:r>
        <w:rPr>
          <w:rFonts w:cs="Arial" w:ascii="Arial" w:hAnsi="Arial"/>
          <w:color w:val="000000"/>
        </w:rPr>
        <w:t>Em até 5 (cinco) dias antes da data prevista para a saída do usuário residente, as equipes técnicas do CAPS de referência e do serviço de atenção em regime residencial realização reunião com a participação do usuário e de sua família.</w:t>
      </w:r>
    </w:p>
    <w:p>
      <w:pPr>
        <w:pStyle w:val="Textbody"/>
        <w:numPr>
          <w:ilvl w:val="0"/>
          <w:numId w:val="49"/>
        </w:numPr>
        <w:spacing w:lineRule="auto" w:line="360"/>
        <w:jc w:val="both"/>
        <w:rPr>
          <w:rFonts w:ascii="Arial" w:hAnsi="Arial" w:cs="Arial"/>
          <w:color w:val="000000"/>
        </w:rPr>
      </w:pPr>
      <w:r>
        <w:rPr>
          <w:rFonts w:cs="Arial" w:ascii="Arial" w:hAnsi="Arial"/>
          <w:color w:val="000000"/>
        </w:rPr>
        <w:t>Todo usuário residente será livre para interromper a qualquer momento a sua permanência no serviço de atenção em regime domiciliar. O usuário residente que manifestar a vontade de deixar o serviço de atenção em regime residencial será informado das consequências clínicas da saída antecipada. O coordenador da entidade prestadora do serviço de atenção em regime residencial poderá interromper a permanência do usuário residente a qualquer tempo, conforme critérios técnicos e em consenso com a equipe técnica do CAPS de referência.</w:t>
      </w:r>
    </w:p>
    <w:p>
      <w:pPr>
        <w:pStyle w:val="Textbody"/>
        <w:numPr>
          <w:ilvl w:val="0"/>
          <w:numId w:val="50"/>
        </w:numPr>
        <w:spacing w:lineRule="auto" w:line="360"/>
        <w:jc w:val="both"/>
        <w:rPr>
          <w:rFonts w:ascii="Arial" w:hAnsi="Arial" w:cs="Arial"/>
        </w:rPr>
      </w:pPr>
      <w:r>
        <w:rPr>
          <w:rFonts w:cs="Arial" w:ascii="Arial" w:hAnsi="Arial"/>
        </w:rPr>
        <w:t>Manter equipe multidisciplinar com formação condizente com as atividades oferecidas no Programa de Acolhimento e para o pleno funcionamento da entidade, sob responsabilidade de um profissional de nível superior legalmente habilitado, bem como substituto com a mesma qualificação;</w:t>
      </w:r>
    </w:p>
    <w:p>
      <w:pPr>
        <w:pStyle w:val="Textbody"/>
        <w:numPr>
          <w:ilvl w:val="0"/>
          <w:numId w:val="51"/>
        </w:numPr>
        <w:spacing w:lineRule="auto" w:line="360"/>
        <w:jc w:val="both"/>
        <w:rPr>
          <w:rFonts w:ascii="Arial" w:hAnsi="Arial" w:cs="Arial"/>
        </w:rPr>
      </w:pPr>
      <w:r>
        <w:rPr>
          <w:rFonts w:cs="Arial" w:ascii="Arial" w:hAnsi="Arial"/>
        </w:rPr>
        <w:t>Nortear suas ações e a qualidade de seus serviços com base nos princípios de direitos humanos e de humanização do cuidado;</w:t>
      </w:r>
    </w:p>
    <w:p>
      <w:pPr>
        <w:pStyle w:val="Textbody"/>
        <w:numPr>
          <w:ilvl w:val="0"/>
          <w:numId w:val="52"/>
        </w:numPr>
        <w:spacing w:lineRule="auto" w:line="360"/>
        <w:jc w:val="both"/>
        <w:rPr>
          <w:rFonts w:ascii="Arial" w:hAnsi="Arial" w:cs="Arial"/>
        </w:rPr>
      </w:pPr>
      <w:r>
        <w:rPr>
          <w:rFonts w:cs="Arial" w:ascii="Arial" w:hAnsi="Arial"/>
        </w:rPr>
        <w:t>Não praticar ou permitir ações de contenção física ou medicamentosa, isolamento ou restrição à liberdade da pessoa acolhida;</w:t>
      </w:r>
    </w:p>
    <w:p>
      <w:pPr>
        <w:pStyle w:val="Textbody"/>
        <w:numPr>
          <w:ilvl w:val="0"/>
          <w:numId w:val="53"/>
        </w:numPr>
        <w:spacing w:lineRule="auto" w:line="360"/>
        <w:jc w:val="both"/>
        <w:rPr>
          <w:rFonts w:ascii="Arial" w:hAnsi="Arial" w:cs="Arial"/>
        </w:rPr>
      </w:pPr>
      <w:r>
        <w:rPr>
          <w:rFonts w:cs="Arial" w:ascii="Arial" w:hAnsi="Arial"/>
        </w:rPr>
        <w:t>Manter os ambientes de uso dos acolhidos livres de trancas, chaves ou grades, admitindo-se apenas travamento simples;</w:t>
      </w:r>
    </w:p>
    <w:p>
      <w:pPr>
        <w:pStyle w:val="Textbody"/>
        <w:numPr>
          <w:ilvl w:val="0"/>
          <w:numId w:val="54"/>
        </w:numPr>
        <w:spacing w:lineRule="auto" w:line="360"/>
        <w:jc w:val="both"/>
        <w:rPr>
          <w:rFonts w:ascii="Arial" w:hAnsi="Arial" w:cs="Arial"/>
        </w:rPr>
      </w:pPr>
      <w:r>
        <w:rPr>
          <w:rFonts w:cs="Arial" w:ascii="Arial" w:hAnsi="Arial"/>
        </w:rPr>
        <w:t>Não praticar ou permitir castigos físicos, psicológicos ou morais, nem utilizar expressões estigmatizantes com os acolhidos ou familiares;</w:t>
      </w:r>
    </w:p>
    <w:p>
      <w:pPr>
        <w:pStyle w:val="Textbody"/>
        <w:numPr>
          <w:ilvl w:val="0"/>
          <w:numId w:val="55"/>
        </w:numPr>
        <w:spacing w:lineRule="auto" w:line="360"/>
        <w:jc w:val="both"/>
        <w:rPr>
          <w:rFonts w:ascii="Arial" w:hAnsi="Arial" w:cs="Arial"/>
        </w:rPr>
      </w:pPr>
      <w:r>
        <w:rPr>
          <w:rFonts w:cs="Arial" w:ascii="Arial" w:hAnsi="Arial"/>
        </w:rPr>
        <w:t>Não submeter os acolhidos a atividades forçadas ou exaustivas, sujeitando-os a condições degradantes.</w:t>
      </w:r>
    </w:p>
    <w:p>
      <w:pPr>
        <w:pStyle w:val="Textbody"/>
        <w:spacing w:lineRule="auto" w:line="360"/>
        <w:jc w:val="both"/>
        <w:rPr>
          <w:rFonts w:ascii="Arial" w:hAnsi="Arial" w:cs="Arial"/>
        </w:rPr>
      </w:pPr>
      <w:r>
        <w:rPr>
          <w:rFonts w:cs="Arial" w:ascii="Arial" w:hAnsi="Arial"/>
        </w:rPr>
      </w:r>
    </w:p>
    <w:p>
      <w:pPr>
        <w:pStyle w:val="Textbody"/>
        <w:spacing w:lineRule="auto" w:line="360"/>
        <w:jc w:val="both"/>
        <w:rPr>
          <w:rFonts w:ascii="Arial" w:hAnsi="Arial" w:cs="Arial"/>
          <w:b/>
          <w:bCs/>
        </w:rPr>
      </w:pPr>
      <w:r>
        <w:rPr>
          <w:rFonts w:cs="Arial" w:ascii="Arial" w:hAnsi="Arial"/>
          <w:b/>
          <w:bCs/>
        </w:rPr>
        <w:t>3.2 – RECURSOS NECESSÁRIOS</w:t>
      </w:r>
    </w:p>
    <w:p>
      <w:pPr>
        <w:pStyle w:val="Textbody"/>
        <w:spacing w:lineRule="auto" w:line="360"/>
        <w:jc w:val="both"/>
        <w:rPr>
          <w:rFonts w:ascii="Arial" w:hAnsi="Arial" w:cs="Arial"/>
          <w:b/>
          <w:bCs/>
        </w:rPr>
      </w:pPr>
      <w:r>
        <w:rPr>
          <w:rFonts w:cs="Arial" w:ascii="Arial" w:hAnsi="Arial"/>
          <w:b/>
          <w:bCs/>
        </w:rPr>
        <w:t>3.2.1 Humanos:</w:t>
      </w:r>
    </w:p>
    <w:p>
      <w:pPr>
        <w:pStyle w:val="Standard"/>
        <w:spacing w:lineRule="auto" w:line="360"/>
        <w:jc w:val="both"/>
        <w:rPr>
          <w:rFonts w:ascii="Arial" w:hAnsi="Arial" w:cs="Arial"/>
          <w:sz w:val="22"/>
          <w:szCs w:val="22"/>
        </w:rPr>
      </w:pPr>
      <w:r>
        <w:rPr>
          <w:rFonts w:cs="Arial" w:ascii="Arial" w:hAnsi="Arial"/>
          <w:color w:val="000000"/>
          <w:sz w:val="22"/>
          <w:szCs w:val="22"/>
        </w:rPr>
        <w:t>De acordo com as Portarias 131 de 26 de janeiro de 2012, 3088 de 23 de dezembro de 2011, e com as Resoluções CONAD Nº 01/2015, e RDC Nº 29 de 30 junho de 2011</w:t>
      </w:r>
      <w:r>
        <w:rPr>
          <w:rFonts w:cs="Arial" w:ascii="Arial" w:hAnsi="Arial"/>
          <w:color w:val="CE181E"/>
          <w:sz w:val="22"/>
          <w:szCs w:val="22"/>
        </w:rPr>
        <w:t xml:space="preserve">, </w:t>
      </w:r>
      <w:r>
        <w:rPr>
          <w:rFonts w:cs="Arial" w:ascii="Arial" w:hAnsi="Arial"/>
          <w:color w:val="000000"/>
          <w:sz w:val="22"/>
          <w:szCs w:val="22"/>
        </w:rPr>
        <w:t>cada módulo de 10 (dez) vagas para usuários residentes contará com equipe técnica mínima composta por:</w:t>
      </w:r>
    </w:p>
    <w:p>
      <w:pPr>
        <w:pStyle w:val="Standard"/>
        <w:spacing w:lineRule="auto" w:line="360"/>
        <w:jc w:val="both"/>
        <w:rPr>
          <w:rFonts w:ascii="Arial" w:hAnsi="Arial" w:cs="Arial"/>
          <w:sz w:val="22"/>
          <w:szCs w:val="22"/>
        </w:rPr>
      </w:pPr>
      <w:r>
        <w:rPr>
          <w:rFonts w:cs="Arial" w:ascii="Arial" w:hAnsi="Arial"/>
          <w:sz w:val="22"/>
          <w:szCs w:val="22"/>
        </w:rPr>
      </w:r>
    </w:p>
    <w:p>
      <w:pPr>
        <w:pStyle w:val="Textbody"/>
        <w:spacing w:lineRule="auto" w:line="360" w:before="0" w:after="283"/>
        <w:ind w:left="750"/>
        <w:jc w:val="both"/>
        <w:rPr>
          <w:rFonts w:ascii="Arial" w:hAnsi="Arial" w:cs="Arial"/>
          <w:color w:val="000000"/>
        </w:rPr>
      </w:pPr>
      <w:r>
        <w:rPr>
          <w:rFonts w:cs="Arial" w:ascii="Arial" w:hAnsi="Arial"/>
          <w:color w:val="000000"/>
        </w:rPr>
        <w:t>I - 1 (um) coordenador, profissional de saúde de nível universitário com pós-graduação lato senso (mínimo de 36 horas-aula) ou experiência comprovada de pelo menos 4 (quatro) anos na área de cuidados com pessoas com necessidades de saúde decorrentes do uso de álcool, crack e outras drogas, presente diariamente das 7 às 19 horas, em todos os dias da semana, inclusive finais de semana e feriados; e</w:t>
      </w:r>
    </w:p>
    <w:p>
      <w:pPr>
        <w:pStyle w:val="Textbody"/>
        <w:spacing w:lineRule="auto" w:line="360" w:before="0" w:after="283"/>
        <w:ind w:left="750"/>
        <w:jc w:val="both"/>
        <w:rPr>
          <w:rFonts w:ascii="Arial" w:hAnsi="Arial" w:cs="Arial"/>
          <w:color w:val="000000"/>
        </w:rPr>
      </w:pPr>
      <w:r>
        <w:rPr>
          <w:rFonts w:cs="Arial" w:ascii="Arial" w:hAnsi="Arial"/>
          <w:color w:val="000000"/>
        </w:rPr>
        <w:t>II - no mínimo 2 (dois) profissionais de saúde de nível médio, com experiência na área de cuidados com pessoas com necessidades de saúde decorrentes do uso de álcool, crack e outras drogas, presentes nas 24 (vinte e quatro) horas do dia e em todos os dias da semana, inclusive finais de semana e feriados.</w:t>
      </w:r>
    </w:p>
    <w:p>
      <w:pPr>
        <w:pStyle w:val="Standard"/>
        <w:spacing w:lineRule="auto" w:line="360"/>
        <w:jc w:val="both"/>
        <w:rPr>
          <w:rFonts w:ascii="Arial" w:hAnsi="Arial" w:cs="Arial"/>
          <w:color w:val="000000"/>
          <w:sz w:val="22"/>
          <w:szCs w:val="22"/>
        </w:rPr>
      </w:pPr>
      <w:r>
        <w:rPr>
          <w:rFonts w:cs="Arial" w:ascii="Arial" w:hAnsi="Arial"/>
          <w:color w:val="000000"/>
          <w:sz w:val="22"/>
          <w:szCs w:val="22"/>
        </w:rPr>
        <w:t>Obs.: Os demais membros da equipe técnica de referência (Coordenador, assistente social e psicólogo) ficarão a cargo da entidade parceira.</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b/>
          <w:bCs/>
          <w:color w:val="000000"/>
          <w:sz w:val="22"/>
          <w:szCs w:val="22"/>
        </w:rPr>
        <w:t xml:space="preserve">3.2.2 </w:t>
      </w:r>
      <w:r>
        <w:rPr>
          <w:rFonts w:cs="Arial" w:ascii="Arial" w:hAnsi="Arial"/>
          <w:b/>
          <w:bCs/>
          <w:color w:val="000000"/>
          <w:sz w:val="22"/>
          <w:szCs w:val="22"/>
          <w:u w:val="single"/>
        </w:rPr>
        <w:t>Materiais:</w:t>
      </w:r>
    </w:p>
    <w:p>
      <w:pPr>
        <w:pStyle w:val="Standard"/>
        <w:spacing w:lineRule="auto" w:line="360"/>
        <w:jc w:val="both"/>
        <w:rPr>
          <w:rFonts w:ascii="Arial" w:hAnsi="Arial" w:cs="Arial"/>
          <w:sz w:val="22"/>
          <w:szCs w:val="22"/>
        </w:rPr>
      </w:pPr>
      <w:r>
        <w:rPr>
          <w:rFonts w:cs="Arial" w:ascii="Arial" w:hAnsi="Arial"/>
          <w:sz w:val="22"/>
          <w:szCs w:val="22"/>
        </w:rPr>
      </w:r>
    </w:p>
    <w:p>
      <w:pPr>
        <w:pStyle w:val="Standard"/>
        <w:widowControl/>
        <w:numPr>
          <w:ilvl w:val="0"/>
          <w:numId w:val="14"/>
        </w:numPr>
        <w:spacing w:lineRule="auto" w:line="360"/>
        <w:jc w:val="both"/>
        <w:rPr>
          <w:rFonts w:ascii="Arial" w:hAnsi="Arial" w:cs="Arial"/>
          <w:sz w:val="22"/>
          <w:szCs w:val="22"/>
        </w:rPr>
      </w:pPr>
      <w:r>
        <w:rPr>
          <w:rFonts w:cs="Arial" w:ascii="Arial" w:hAnsi="Arial"/>
          <w:sz w:val="22"/>
          <w:szCs w:val="22"/>
        </w:rPr>
        <w:t>Alimentação dos usuários (café da manhã, almoço, café da tarde e jantar)</w:t>
      </w:r>
    </w:p>
    <w:p>
      <w:pPr>
        <w:pStyle w:val="Contedodatabela"/>
        <w:numPr>
          <w:ilvl w:val="0"/>
          <w:numId w:val="56"/>
        </w:numPr>
        <w:spacing w:lineRule="auto" w:line="360"/>
        <w:jc w:val="both"/>
        <w:rPr>
          <w:rFonts w:ascii="Arial" w:hAnsi="Arial" w:cs="Arial"/>
          <w:sz w:val="22"/>
          <w:szCs w:val="22"/>
        </w:rPr>
      </w:pPr>
      <w:r>
        <w:rPr>
          <w:rFonts w:cs="Arial" w:ascii="Arial" w:hAnsi="Arial"/>
          <w:sz w:val="22"/>
          <w:szCs w:val="22"/>
        </w:rPr>
        <w:t>Combustível</w:t>
      </w:r>
    </w:p>
    <w:p>
      <w:pPr>
        <w:pStyle w:val="Contedodatabela"/>
        <w:numPr>
          <w:ilvl w:val="0"/>
          <w:numId w:val="57"/>
        </w:numPr>
        <w:spacing w:lineRule="auto" w:line="360"/>
        <w:jc w:val="both"/>
        <w:rPr>
          <w:rFonts w:ascii="Arial" w:hAnsi="Arial" w:cs="Arial"/>
          <w:sz w:val="22"/>
          <w:szCs w:val="22"/>
        </w:rPr>
      </w:pPr>
      <w:r>
        <w:rPr>
          <w:rFonts w:cs="Arial" w:ascii="Arial" w:hAnsi="Arial"/>
          <w:sz w:val="22"/>
          <w:szCs w:val="22"/>
        </w:rPr>
        <w:t>Roupas de cama, mesa e banho</w:t>
      </w:r>
    </w:p>
    <w:p>
      <w:pPr>
        <w:pStyle w:val="Contedodatabela"/>
        <w:numPr>
          <w:ilvl w:val="0"/>
          <w:numId w:val="58"/>
        </w:numPr>
        <w:spacing w:lineRule="auto" w:line="360"/>
        <w:jc w:val="both"/>
        <w:rPr>
          <w:rFonts w:ascii="Arial" w:hAnsi="Arial" w:cs="Arial"/>
          <w:sz w:val="22"/>
          <w:szCs w:val="22"/>
        </w:rPr>
      </w:pPr>
      <w:r>
        <w:rPr>
          <w:rFonts w:cs="Arial" w:ascii="Arial" w:hAnsi="Arial"/>
          <w:sz w:val="22"/>
          <w:szCs w:val="22"/>
        </w:rPr>
        <w:t>Serviços de saúde e remédios</w:t>
      </w:r>
    </w:p>
    <w:p>
      <w:pPr>
        <w:pStyle w:val="Contedodatabela"/>
        <w:numPr>
          <w:ilvl w:val="0"/>
          <w:numId w:val="59"/>
        </w:numPr>
        <w:spacing w:lineRule="auto" w:line="360"/>
        <w:jc w:val="both"/>
        <w:rPr>
          <w:rFonts w:ascii="Arial" w:hAnsi="Arial" w:cs="Arial"/>
          <w:sz w:val="22"/>
          <w:szCs w:val="22"/>
        </w:rPr>
      </w:pPr>
      <w:r>
        <w:rPr>
          <w:rFonts w:cs="Arial" w:ascii="Arial" w:hAnsi="Arial"/>
          <w:sz w:val="22"/>
          <w:szCs w:val="22"/>
        </w:rPr>
        <w:t>Locação de veículo para realização de busca ativa e transporte dos acolhidos</w:t>
      </w:r>
    </w:p>
    <w:p>
      <w:pPr>
        <w:pStyle w:val="Standard"/>
        <w:spacing w:lineRule="auto" w:line="360"/>
        <w:rPr>
          <w:rFonts w:ascii="Arial" w:hAnsi="Arial" w:cs="Arial"/>
          <w:b/>
          <w:bCs/>
          <w:sz w:val="22"/>
          <w:szCs w:val="22"/>
          <w:u w:val="single"/>
        </w:rPr>
      </w:pPr>
      <w:r>
        <w:rPr>
          <w:rFonts w:cs="Arial" w:ascii="Arial" w:hAnsi="Arial"/>
          <w:b/>
          <w:bCs/>
          <w:sz w:val="22"/>
          <w:szCs w:val="22"/>
          <w:u w:val="single"/>
        </w:rPr>
        <w:t>3.2.3 Trabalho Social Essencial aos Serviços:</w:t>
      </w:r>
    </w:p>
    <w:p>
      <w:pPr>
        <w:pStyle w:val="Standard"/>
        <w:spacing w:lineRule="auto" w:line="360"/>
        <w:rPr>
          <w:rFonts w:ascii="Arial" w:hAnsi="Arial" w:cs="Arial"/>
          <w:b/>
          <w:bCs/>
          <w:sz w:val="22"/>
          <w:szCs w:val="22"/>
          <w:u w:val="single"/>
        </w:rPr>
      </w:pPr>
      <w:r>
        <w:rPr>
          <w:rFonts w:cs="Arial" w:ascii="Arial" w:hAnsi="Arial"/>
          <w:b/>
          <w:bCs/>
          <w:sz w:val="22"/>
          <w:szCs w:val="22"/>
          <w:u w:val="single"/>
        </w:rPr>
      </w:r>
    </w:p>
    <w:p>
      <w:pPr>
        <w:pStyle w:val="Standard"/>
        <w:widowControl/>
        <w:numPr>
          <w:ilvl w:val="0"/>
          <w:numId w:val="15"/>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Acolhida/Recepção;</w:t>
      </w:r>
    </w:p>
    <w:p>
      <w:pPr>
        <w:pStyle w:val="Standard"/>
        <w:widowControl/>
        <w:numPr>
          <w:ilvl w:val="0"/>
          <w:numId w:val="60"/>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Escuta;</w:t>
      </w:r>
    </w:p>
    <w:p>
      <w:pPr>
        <w:pStyle w:val="Standard"/>
        <w:widowControl/>
        <w:numPr>
          <w:ilvl w:val="0"/>
          <w:numId w:val="61"/>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Cuidados pessoais;</w:t>
      </w:r>
    </w:p>
    <w:p>
      <w:pPr>
        <w:pStyle w:val="Standard"/>
        <w:widowControl/>
        <w:numPr>
          <w:ilvl w:val="0"/>
          <w:numId w:val="62"/>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Desenvolvimento do convívio familiar, grupal e social;</w:t>
      </w:r>
    </w:p>
    <w:p>
      <w:pPr>
        <w:pStyle w:val="Standard"/>
        <w:widowControl/>
        <w:numPr>
          <w:ilvl w:val="0"/>
          <w:numId w:val="63"/>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Estudo Social;</w:t>
      </w:r>
    </w:p>
    <w:p>
      <w:pPr>
        <w:pStyle w:val="Standard"/>
        <w:widowControl/>
        <w:numPr>
          <w:ilvl w:val="0"/>
          <w:numId w:val="64"/>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Orientação e encaminhamentos sobre/para a rede de serviços locais com resolutividade;</w:t>
      </w:r>
    </w:p>
    <w:p>
      <w:pPr>
        <w:pStyle w:val="Standard"/>
        <w:widowControl/>
        <w:numPr>
          <w:ilvl w:val="0"/>
          <w:numId w:val="65"/>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Construção de plano individual e/ou familiar de atendimento;</w:t>
      </w:r>
    </w:p>
    <w:p>
      <w:pPr>
        <w:pStyle w:val="Standard"/>
        <w:widowControl/>
        <w:numPr>
          <w:ilvl w:val="0"/>
          <w:numId w:val="66"/>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Orientação sociofamiliar;</w:t>
      </w:r>
    </w:p>
    <w:p>
      <w:pPr>
        <w:pStyle w:val="Standard"/>
        <w:widowControl/>
        <w:numPr>
          <w:ilvl w:val="0"/>
          <w:numId w:val="67"/>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Protocolos;</w:t>
      </w:r>
    </w:p>
    <w:p>
      <w:pPr>
        <w:pStyle w:val="Standard"/>
        <w:widowControl/>
        <w:numPr>
          <w:ilvl w:val="0"/>
          <w:numId w:val="68"/>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Acompanhamento e monitoramento dos encaminhamentos realizados;</w:t>
      </w:r>
    </w:p>
    <w:p>
      <w:pPr>
        <w:pStyle w:val="Standard"/>
        <w:widowControl/>
        <w:numPr>
          <w:ilvl w:val="0"/>
          <w:numId w:val="69"/>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Referência e contrarreferência;</w:t>
      </w:r>
    </w:p>
    <w:p>
      <w:pPr>
        <w:pStyle w:val="Standard"/>
        <w:widowControl/>
        <w:numPr>
          <w:ilvl w:val="0"/>
          <w:numId w:val="70"/>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Elaboração de relatórios e/ou prontuários;</w:t>
      </w:r>
    </w:p>
    <w:p>
      <w:pPr>
        <w:pStyle w:val="Standard"/>
        <w:widowControl/>
        <w:numPr>
          <w:ilvl w:val="0"/>
          <w:numId w:val="71"/>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Trabalho interdisciplinar;</w:t>
      </w:r>
    </w:p>
    <w:p>
      <w:pPr>
        <w:pStyle w:val="Standard"/>
        <w:widowControl/>
        <w:numPr>
          <w:ilvl w:val="0"/>
          <w:numId w:val="72"/>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Informação, comunicação e defesa de direitos;</w:t>
      </w:r>
    </w:p>
    <w:p>
      <w:pPr>
        <w:pStyle w:val="Standard"/>
        <w:widowControl/>
        <w:numPr>
          <w:ilvl w:val="0"/>
          <w:numId w:val="73"/>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Orientação para acesso à documentação pessoal;</w:t>
      </w:r>
    </w:p>
    <w:p>
      <w:pPr>
        <w:pStyle w:val="Standard"/>
        <w:widowControl/>
        <w:numPr>
          <w:ilvl w:val="0"/>
          <w:numId w:val="74"/>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Atividades de convívio e de organização da vida cotidiana;</w:t>
      </w:r>
    </w:p>
    <w:p>
      <w:pPr>
        <w:pStyle w:val="Standard"/>
        <w:widowControl/>
        <w:numPr>
          <w:ilvl w:val="0"/>
          <w:numId w:val="75"/>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Articulação da rede de serviços socioassistenciais;</w:t>
      </w:r>
    </w:p>
    <w:p>
      <w:pPr>
        <w:pStyle w:val="Standard"/>
        <w:widowControl/>
        <w:numPr>
          <w:ilvl w:val="0"/>
          <w:numId w:val="76"/>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Articulação com os serviços de outras políticas públicas setoriais e de defesa de direitos;</w:t>
      </w:r>
    </w:p>
    <w:p>
      <w:pPr>
        <w:pStyle w:val="Standard"/>
        <w:widowControl/>
        <w:numPr>
          <w:ilvl w:val="0"/>
          <w:numId w:val="77"/>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Articulação interinstitucional com os demais órgãos do Sistema de Garantia de Direitos;</w:t>
      </w:r>
    </w:p>
    <w:p>
      <w:pPr>
        <w:pStyle w:val="Standard"/>
        <w:widowControl/>
        <w:numPr>
          <w:ilvl w:val="0"/>
          <w:numId w:val="78"/>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Monitoramento e avaliação do serviço;</w:t>
      </w:r>
    </w:p>
    <w:p>
      <w:pPr>
        <w:pStyle w:val="Standard"/>
        <w:widowControl/>
        <w:numPr>
          <w:ilvl w:val="0"/>
          <w:numId w:val="79"/>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Organização de banco de dados e informações sobre o serviço, sobre organizações governamentais e não governamentais e sobre o Sistema de Garantia de Direitos.</w:t>
      </w:r>
    </w:p>
    <w:p>
      <w:pPr>
        <w:pStyle w:val="Standard"/>
        <w:spacing w:lineRule="auto" w:line="360"/>
        <w:rPr>
          <w:rFonts w:ascii="Arial" w:hAnsi="Arial" w:cs="Arial"/>
          <w:sz w:val="22"/>
          <w:szCs w:val="22"/>
          <w:u w:val="single"/>
        </w:rPr>
      </w:pPr>
      <w:r>
        <w:rPr>
          <w:rFonts w:cs="Arial" w:ascii="Arial" w:hAnsi="Arial"/>
          <w:sz w:val="22"/>
          <w:szCs w:val="22"/>
          <w:u w:val="single"/>
        </w:rPr>
      </w:r>
    </w:p>
    <w:p>
      <w:pPr>
        <w:pStyle w:val="Standard"/>
        <w:spacing w:lineRule="auto" w:line="360"/>
        <w:rPr>
          <w:rFonts w:ascii="Arial" w:hAnsi="Arial" w:cs="Arial"/>
          <w:sz w:val="22"/>
          <w:szCs w:val="22"/>
        </w:rPr>
      </w:pPr>
      <w:r>
        <w:rPr>
          <w:rFonts w:cs="Arial" w:ascii="Arial" w:hAnsi="Arial"/>
          <w:b/>
          <w:bCs/>
          <w:sz w:val="22"/>
          <w:szCs w:val="22"/>
          <w:u w:val="single"/>
        </w:rPr>
        <w:t>3.2.4  Acolhida dos Usuários e Segurança:</w:t>
      </w:r>
    </w:p>
    <w:p>
      <w:pPr>
        <w:pStyle w:val="Standard"/>
        <w:widowControl/>
        <w:numPr>
          <w:ilvl w:val="0"/>
          <w:numId w:val="16"/>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Respeitar, garantir e promover os diretos do usuário como cidadão;</w:t>
      </w:r>
    </w:p>
    <w:p>
      <w:pPr>
        <w:pStyle w:val="Standard"/>
        <w:widowControl/>
        <w:numPr>
          <w:ilvl w:val="0"/>
          <w:numId w:val="80"/>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Centrar-se nas necessidades do residente, em consonância com a construção da autonomia e a reinserção social;</w:t>
      </w:r>
    </w:p>
    <w:p>
      <w:pPr>
        <w:pStyle w:val="Standard"/>
        <w:widowControl/>
        <w:numPr>
          <w:ilvl w:val="0"/>
          <w:numId w:val="81"/>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Garantir ao usuário o acesso a meios de comunicação;</w:t>
      </w:r>
    </w:p>
    <w:p>
      <w:pPr>
        <w:pStyle w:val="Standard"/>
        <w:widowControl/>
        <w:numPr>
          <w:ilvl w:val="0"/>
          <w:numId w:val="82"/>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Garantir o contato frequente do usuário com a família desde o início da inserção na entidade;</w:t>
      </w:r>
    </w:p>
    <w:p>
      <w:pPr>
        <w:pStyle w:val="Standard"/>
        <w:widowControl/>
        <w:numPr>
          <w:ilvl w:val="0"/>
          <w:numId w:val="83"/>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Respeitar a orientação religiosa do usuário, sem impor e sem cercear a participação em qualquer tipo de atividade religiosa durante a permanência na entidade;</w:t>
      </w:r>
    </w:p>
    <w:p>
      <w:pPr>
        <w:pStyle w:val="Standard"/>
        <w:widowControl/>
        <w:numPr>
          <w:ilvl w:val="0"/>
          <w:numId w:val="84"/>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Garantir o sigilo das informações prestadas pelos profissionais de saúde, familiares e usuários;</w:t>
      </w:r>
    </w:p>
    <w:p>
      <w:pPr>
        <w:pStyle w:val="Standard"/>
        <w:widowControl/>
        <w:numPr>
          <w:ilvl w:val="0"/>
          <w:numId w:val="85"/>
        </w:numPr>
        <w:tabs>
          <w:tab w:val="clear" w:pos="709"/>
          <w:tab w:val="left" w:pos="1440" w:leader="none"/>
        </w:tabs>
        <w:spacing w:lineRule="auto" w:line="360"/>
        <w:ind w:hanging="360" w:left="720"/>
        <w:rPr>
          <w:rFonts w:ascii="Arial" w:hAnsi="Arial" w:cs="Arial"/>
          <w:color w:val="000000"/>
          <w:sz w:val="22"/>
          <w:szCs w:val="22"/>
        </w:rPr>
      </w:pPr>
      <w:r>
        <w:rPr>
          <w:rFonts w:cs="Arial" w:ascii="Arial" w:hAnsi="Arial"/>
          <w:color w:val="000000"/>
          <w:sz w:val="22"/>
          <w:szCs w:val="22"/>
        </w:rPr>
        <w:t>Inserção da entidade na Rede de Atenção Psicossocial, em estreita articulação com os Centros de Atenção Psicossocial (CAPS), a Atenção Básica e outros serviços pertinentes;</w:t>
      </w:r>
    </w:p>
    <w:p>
      <w:pPr>
        <w:pStyle w:val="Standard"/>
        <w:widowControl/>
        <w:numPr>
          <w:ilvl w:val="0"/>
          <w:numId w:val="86"/>
        </w:numPr>
        <w:tabs>
          <w:tab w:val="clear" w:pos="709"/>
          <w:tab w:val="left" w:pos="1440" w:leader="none"/>
        </w:tabs>
        <w:spacing w:lineRule="auto" w:line="360"/>
        <w:ind w:hanging="360" w:left="720"/>
        <w:jc w:val="both"/>
        <w:rPr>
          <w:rFonts w:ascii="Arial" w:hAnsi="Arial" w:cs="Arial"/>
          <w:sz w:val="22"/>
          <w:szCs w:val="22"/>
        </w:rPr>
      </w:pPr>
      <w:r>
        <w:rPr>
          <w:rFonts w:cs="Arial" w:ascii="Arial" w:hAnsi="Arial"/>
          <w:sz w:val="22"/>
          <w:szCs w:val="22"/>
        </w:rPr>
        <w:t>Ter acesso a espaço com padrões de qualidade quanto a: higiene, acessibilidade, habitabilidade, salubridade, segurança e conforto;</w:t>
      </w:r>
    </w:p>
    <w:p>
      <w:pPr>
        <w:pStyle w:val="Standard"/>
        <w:widowControl/>
        <w:numPr>
          <w:ilvl w:val="0"/>
          <w:numId w:val="87"/>
        </w:numPr>
        <w:tabs>
          <w:tab w:val="clear" w:pos="709"/>
          <w:tab w:val="left" w:pos="1440" w:leader="none"/>
        </w:tabs>
        <w:spacing w:lineRule="auto" w:line="360"/>
        <w:ind w:hanging="360" w:left="720"/>
        <w:jc w:val="both"/>
        <w:rPr>
          <w:rFonts w:ascii="Arial" w:hAnsi="Arial" w:cs="Arial"/>
          <w:sz w:val="22"/>
          <w:szCs w:val="22"/>
        </w:rPr>
      </w:pPr>
      <w:r>
        <w:rPr>
          <w:rFonts w:cs="Arial" w:ascii="Arial" w:hAnsi="Arial"/>
          <w:sz w:val="22"/>
          <w:szCs w:val="22"/>
        </w:rPr>
        <w:t>Ter acesso à alimentação em padrões nutricionais adequados e adaptados a necessidades específicas;</w:t>
      </w:r>
    </w:p>
    <w:p>
      <w:pPr>
        <w:pStyle w:val="Standard"/>
        <w:widowControl/>
        <w:numPr>
          <w:ilvl w:val="0"/>
          <w:numId w:val="88"/>
        </w:numPr>
        <w:tabs>
          <w:tab w:val="clear" w:pos="709"/>
          <w:tab w:val="left" w:pos="1440" w:leader="none"/>
        </w:tabs>
        <w:spacing w:lineRule="auto" w:line="360"/>
        <w:ind w:hanging="360" w:left="720"/>
        <w:jc w:val="both"/>
        <w:rPr>
          <w:rFonts w:ascii="Arial" w:hAnsi="Arial" w:cs="Arial"/>
          <w:sz w:val="22"/>
          <w:szCs w:val="22"/>
        </w:rPr>
      </w:pPr>
      <w:r>
        <w:rPr>
          <w:rFonts w:cs="Arial" w:ascii="Arial" w:hAnsi="Arial"/>
          <w:sz w:val="22"/>
          <w:szCs w:val="22"/>
        </w:rPr>
        <w:t>Ter acesso à ambiência acolhedora e espaços reservados a manutenção da privacidade e guarda de pertences pessoais.</w:t>
      </w:r>
    </w:p>
    <w:p>
      <w:pPr>
        <w:pStyle w:val="Standard"/>
        <w:widowControl/>
        <w:numPr>
          <w:ilvl w:val="0"/>
          <w:numId w:val="89"/>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Ter endereço institucional para utilização como referência;</w:t>
      </w:r>
    </w:p>
    <w:p>
      <w:pPr>
        <w:pStyle w:val="Standard"/>
        <w:widowControl/>
        <w:numPr>
          <w:ilvl w:val="0"/>
          <w:numId w:val="90"/>
        </w:numPr>
        <w:tabs>
          <w:tab w:val="clear" w:pos="709"/>
          <w:tab w:val="left" w:pos="1440" w:leader="none"/>
        </w:tabs>
        <w:spacing w:lineRule="auto" w:line="360"/>
        <w:ind w:hanging="360" w:left="720"/>
        <w:jc w:val="both"/>
        <w:rPr>
          <w:rFonts w:ascii="Arial" w:hAnsi="Arial" w:cs="Arial"/>
          <w:sz w:val="22"/>
          <w:szCs w:val="22"/>
        </w:rPr>
      </w:pPr>
      <w:r>
        <w:rPr>
          <w:rFonts w:cs="Arial" w:ascii="Arial" w:hAnsi="Arial"/>
          <w:sz w:val="22"/>
          <w:szCs w:val="22"/>
        </w:rPr>
        <w:t>Ter vivências pautadas pelo respeito a si próprio e aos outros, fundamentadas em princípios éticos de justiça e cidadania;</w:t>
      </w:r>
    </w:p>
    <w:p>
      <w:pPr>
        <w:pStyle w:val="Standard"/>
        <w:widowControl/>
        <w:numPr>
          <w:ilvl w:val="0"/>
          <w:numId w:val="91"/>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Ter acesso a atividades, segundo suas necessidades, interesses e possibilidades;</w:t>
      </w:r>
    </w:p>
    <w:p>
      <w:pPr>
        <w:pStyle w:val="Standard"/>
        <w:widowControl/>
        <w:numPr>
          <w:ilvl w:val="0"/>
          <w:numId w:val="92"/>
        </w:numPr>
        <w:tabs>
          <w:tab w:val="clear" w:pos="709"/>
          <w:tab w:val="left" w:pos="1440" w:leader="none"/>
        </w:tabs>
        <w:spacing w:lineRule="auto" w:line="360"/>
        <w:ind w:hanging="360" w:left="720"/>
        <w:jc w:val="both"/>
        <w:rPr>
          <w:rFonts w:ascii="Arial" w:hAnsi="Arial" w:cs="Arial"/>
          <w:sz w:val="22"/>
          <w:szCs w:val="22"/>
        </w:rPr>
      </w:pPr>
      <w:r>
        <w:rPr>
          <w:rFonts w:cs="Arial" w:ascii="Arial" w:hAnsi="Arial"/>
          <w:sz w:val="22"/>
          <w:szCs w:val="22"/>
        </w:rPr>
        <w:t>Ter acompanhamento que possibilite o desenvolvimento do autocuidado, habilidades e independência;</w:t>
      </w:r>
    </w:p>
    <w:p>
      <w:pPr>
        <w:pStyle w:val="Standard"/>
        <w:widowControl/>
        <w:numPr>
          <w:ilvl w:val="0"/>
          <w:numId w:val="93"/>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Ter respeitados os seus direitos de opinião e decisão;</w:t>
      </w:r>
    </w:p>
    <w:p>
      <w:pPr>
        <w:pStyle w:val="Standard"/>
        <w:widowControl/>
        <w:numPr>
          <w:ilvl w:val="0"/>
          <w:numId w:val="94"/>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Ter acesso a espaços próprios e personalizados;</w:t>
      </w:r>
    </w:p>
    <w:p>
      <w:pPr>
        <w:pStyle w:val="Standard"/>
        <w:widowControl/>
        <w:numPr>
          <w:ilvl w:val="0"/>
          <w:numId w:val="95"/>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Ter acesso à documentação civil;</w:t>
      </w:r>
    </w:p>
    <w:p>
      <w:pPr>
        <w:pStyle w:val="Standard"/>
        <w:widowControl/>
        <w:numPr>
          <w:ilvl w:val="0"/>
          <w:numId w:val="96"/>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Obter orientações e informações sobre o serviço, direitos e como acessá-los;</w:t>
      </w:r>
    </w:p>
    <w:p>
      <w:pPr>
        <w:pStyle w:val="Standard"/>
        <w:widowControl/>
        <w:numPr>
          <w:ilvl w:val="0"/>
          <w:numId w:val="97"/>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Ser ouvido e expressar necessidades, interesses e possibilidades;</w:t>
      </w:r>
    </w:p>
    <w:p>
      <w:pPr>
        <w:pStyle w:val="Standard"/>
        <w:widowControl/>
        <w:numPr>
          <w:ilvl w:val="0"/>
          <w:numId w:val="98"/>
        </w:numPr>
        <w:tabs>
          <w:tab w:val="clear" w:pos="709"/>
          <w:tab w:val="left" w:pos="1440" w:leader="none"/>
        </w:tabs>
        <w:spacing w:lineRule="auto" w:line="360"/>
        <w:ind w:hanging="360" w:left="720"/>
        <w:rPr>
          <w:rFonts w:ascii="Arial" w:hAnsi="Arial" w:cs="Arial"/>
          <w:sz w:val="22"/>
          <w:szCs w:val="22"/>
        </w:rPr>
      </w:pPr>
      <w:r>
        <w:rPr>
          <w:rFonts w:cs="Arial" w:ascii="Arial" w:hAnsi="Arial"/>
          <w:sz w:val="22"/>
          <w:szCs w:val="22"/>
        </w:rPr>
        <w:t>Avaliar o serviço.</w:t>
      </w:r>
    </w:p>
    <w:p>
      <w:pPr>
        <w:pStyle w:val="Standard"/>
        <w:spacing w:lineRule="auto" w:line="360"/>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b/>
          <w:bCs/>
          <w:sz w:val="22"/>
          <w:szCs w:val="22"/>
          <w:u w:val="single"/>
        </w:rPr>
        <w:t>3.2.5 Abrangência dos Serviços</w:t>
      </w:r>
      <w:r>
        <w:rPr>
          <w:rFonts w:cs="Arial" w:ascii="Arial" w:hAnsi="Arial"/>
          <w:b/>
          <w:bCs/>
          <w:sz w:val="22"/>
          <w:szCs w:val="22"/>
        </w:rPr>
        <w:t xml:space="preserve">: </w:t>
      </w:r>
      <w:r>
        <w:rPr>
          <w:rFonts w:cs="Arial" w:ascii="Arial" w:hAnsi="Arial"/>
          <w:sz w:val="22"/>
          <w:szCs w:val="22"/>
        </w:rPr>
        <w:t>Municipal</w:t>
      </w:r>
    </w:p>
    <w:p>
      <w:pPr>
        <w:pStyle w:val="Textbody"/>
        <w:spacing w:lineRule="auto" w:line="360"/>
        <w:jc w:val="both"/>
        <w:rPr>
          <w:rFonts w:ascii="Arial" w:hAnsi="Arial" w:cs="Arial"/>
        </w:rPr>
      </w:pPr>
      <w:r>
        <w:rPr>
          <w:rFonts w:cs="Arial" w:ascii="Arial" w:hAnsi="Arial"/>
        </w:rPr>
      </w:r>
    </w:p>
    <w:p>
      <w:pPr>
        <w:pStyle w:val="Standard"/>
        <w:spacing w:lineRule="auto" w:line="360"/>
        <w:jc w:val="both"/>
        <w:rPr>
          <w:rFonts w:ascii="Arial" w:hAnsi="Arial" w:cs="Arial"/>
          <w:sz w:val="22"/>
          <w:szCs w:val="22"/>
        </w:rPr>
      </w:pPr>
      <w:r>
        <w:rPr>
          <w:rStyle w:val="StrongEmphasis"/>
          <w:rFonts w:cs="Arial" w:ascii="Arial" w:hAnsi="Arial"/>
          <w:sz w:val="22"/>
          <w:szCs w:val="22"/>
        </w:rPr>
        <w:t>4 – JULGAMENTO</w:t>
      </w:r>
    </w:p>
    <w:p>
      <w:pPr>
        <w:pStyle w:val="Standard"/>
        <w:spacing w:lineRule="auto" w:line="360"/>
        <w:jc w:val="both"/>
        <w:rPr>
          <w:rFonts w:ascii="Arial" w:hAnsi="Arial" w:cs="Arial"/>
          <w:b/>
          <w:bCs/>
          <w:sz w:val="22"/>
          <w:szCs w:val="22"/>
        </w:rPr>
      </w:pPr>
      <w:r>
        <w:rPr>
          <w:rStyle w:val="StrongEmphasis"/>
          <w:rFonts w:cs="Arial" w:ascii="Arial" w:hAnsi="Arial"/>
          <w:b w:val="false"/>
          <w:bCs w:val="false"/>
          <w:sz w:val="22"/>
          <w:szCs w:val="22"/>
        </w:rPr>
        <w:t>Menor preço global</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Style w:val="StrongEmphasis"/>
          <w:rFonts w:cs="Arial" w:ascii="Arial" w:hAnsi="Arial"/>
          <w:sz w:val="22"/>
          <w:szCs w:val="22"/>
        </w:rPr>
        <w:t>5 - FONTES DE RECURSO</w:t>
      </w:r>
    </w:p>
    <w:p>
      <w:pPr>
        <w:pStyle w:val="Standard"/>
        <w:spacing w:lineRule="auto" w:line="360"/>
        <w:jc w:val="both"/>
        <w:rPr>
          <w:rFonts w:ascii="Arial" w:hAnsi="Arial" w:cs="Arial"/>
          <w:b/>
          <w:bCs/>
          <w:sz w:val="22"/>
          <w:szCs w:val="22"/>
        </w:rPr>
      </w:pPr>
      <w:r>
        <w:rPr>
          <w:rStyle w:val="StrongEmphasis"/>
          <w:rFonts w:cs="Arial" w:ascii="Arial" w:hAnsi="Arial"/>
          <w:b w:val="false"/>
          <w:bCs w:val="false"/>
          <w:sz w:val="22"/>
          <w:szCs w:val="22"/>
        </w:rPr>
        <w:t>A dotação orçamentaria a ser onerada: OSPJ – 01.300.0000</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Cs/>
          <w:sz w:val="22"/>
          <w:szCs w:val="22"/>
          <w:u w:val="single"/>
        </w:rPr>
      </w:pPr>
      <w:r>
        <w:rPr>
          <w:rFonts w:cs="Arial" w:ascii="Arial" w:hAnsi="Arial"/>
          <w:b/>
          <w:bCs/>
          <w:sz w:val="22"/>
          <w:szCs w:val="22"/>
        </w:rPr>
        <w:t>6 - APRESENTAÇÃO DA PROPOSTA E CRITÉRIOS PARA ATRIBUIÇÃO DE NOTAS PELA COMISSÃO DE SELEÇÃO DAS PROPOSTAS:</w:t>
      </w:r>
    </w:p>
    <w:p>
      <w:pPr>
        <w:pStyle w:val="Standard2"/>
        <w:tabs>
          <w:tab w:val="left" w:pos="709" w:leader="none"/>
        </w:tabs>
        <w:spacing w:lineRule="auto" w:line="360"/>
        <w:jc w:val="both"/>
        <w:rPr>
          <w:rFonts w:ascii="Arial" w:hAnsi="Arial" w:cs="Arial"/>
          <w:color w:val="000000"/>
          <w:sz w:val="22"/>
          <w:szCs w:val="22"/>
        </w:rPr>
      </w:pPr>
      <w:r>
        <w:rPr>
          <w:rFonts w:cs="Arial" w:ascii="Arial" w:hAnsi="Arial"/>
          <w:color w:val="000000"/>
          <w:sz w:val="22"/>
          <w:szCs w:val="22"/>
        </w:rPr>
        <w:t>6.1. As propostas deverão conter, no mínimo, as seguintes informações:</w:t>
      </w:r>
    </w:p>
    <w:p>
      <w:pPr>
        <w:pStyle w:val="Standard2"/>
        <w:tabs>
          <w:tab w:val="left" w:pos="709" w:leader="none"/>
        </w:tabs>
        <w:spacing w:lineRule="auto" w:line="360"/>
        <w:jc w:val="both"/>
        <w:rPr>
          <w:rFonts w:ascii="Arial" w:hAnsi="Arial" w:cs="Arial"/>
          <w:color w:val="000000"/>
          <w:sz w:val="22"/>
          <w:szCs w:val="22"/>
          <w:lang w:eastAsia="ar-SA"/>
        </w:rPr>
      </w:pPr>
      <w:r>
        <w:rPr>
          <w:rFonts w:cs="Arial" w:ascii="Arial" w:hAnsi="Arial"/>
          <w:color w:val="000000"/>
          <w:sz w:val="22"/>
          <w:szCs w:val="22"/>
          <w:lang w:eastAsia="ar-SA"/>
        </w:rPr>
        <w:tab/>
        <w:t>a.) a descrição da realidade objeto da parceria e o nexo com a atividade proposta;</w:t>
      </w:r>
    </w:p>
    <w:p>
      <w:pPr>
        <w:pStyle w:val="Standard2"/>
        <w:tabs>
          <w:tab w:val="left" w:pos="709" w:leader="none"/>
        </w:tabs>
        <w:spacing w:lineRule="auto" w:line="360"/>
        <w:jc w:val="both"/>
        <w:rPr>
          <w:rFonts w:ascii="Arial" w:hAnsi="Arial" w:cs="Arial"/>
          <w:color w:val="000000"/>
          <w:sz w:val="22"/>
          <w:szCs w:val="22"/>
          <w:lang w:eastAsia="ar-SA"/>
        </w:rPr>
      </w:pPr>
      <w:r>
        <w:rPr>
          <w:rFonts w:cs="Arial" w:ascii="Arial" w:hAnsi="Arial"/>
          <w:color w:val="000000"/>
          <w:sz w:val="22"/>
          <w:szCs w:val="22"/>
          <w:lang w:eastAsia="ar-SA"/>
        </w:rPr>
        <w:tab/>
        <w:t>b.) as ações a serem executadas, as metas a serem atingidas e os indicadores que aferirão o cumprimento das metas;</w:t>
      </w:r>
    </w:p>
    <w:p>
      <w:pPr>
        <w:pStyle w:val="Standard2"/>
        <w:tabs>
          <w:tab w:val="left" w:pos="709" w:leader="none"/>
        </w:tabs>
        <w:spacing w:lineRule="auto" w:line="360"/>
        <w:jc w:val="both"/>
        <w:rPr>
          <w:rFonts w:ascii="Arial" w:hAnsi="Arial" w:cs="Arial"/>
          <w:color w:val="000000"/>
          <w:sz w:val="22"/>
          <w:szCs w:val="22"/>
          <w:lang w:eastAsia="ar-SA"/>
        </w:rPr>
      </w:pPr>
      <w:r>
        <w:rPr>
          <w:rFonts w:cs="Arial" w:ascii="Arial" w:hAnsi="Arial"/>
          <w:color w:val="000000"/>
          <w:sz w:val="22"/>
          <w:szCs w:val="22"/>
          <w:lang w:eastAsia="ar-SA"/>
        </w:rPr>
        <w:tab/>
        <w:t>c.) os prazos para a execução das ações e para o cumprimento das metas; e,</w:t>
      </w:r>
    </w:p>
    <w:p>
      <w:pPr>
        <w:pStyle w:val="Standard2"/>
        <w:tabs>
          <w:tab w:val="left" w:pos="709" w:leader="none"/>
        </w:tabs>
        <w:spacing w:lineRule="auto" w:line="360"/>
        <w:jc w:val="both"/>
        <w:rPr>
          <w:rFonts w:ascii="Arial" w:hAnsi="Arial" w:cs="Arial"/>
          <w:color w:val="000000"/>
          <w:sz w:val="22"/>
          <w:szCs w:val="22"/>
          <w:lang w:eastAsia="ar-SA"/>
        </w:rPr>
      </w:pPr>
      <w:r>
        <w:rPr>
          <w:rFonts w:cs="Arial" w:ascii="Arial" w:hAnsi="Arial"/>
          <w:color w:val="000000"/>
          <w:sz w:val="22"/>
          <w:szCs w:val="22"/>
          <w:lang w:eastAsia="ar-SA"/>
        </w:rPr>
        <w:tab/>
        <w:t>d.) o valor global.</w:t>
      </w:r>
    </w:p>
    <w:p>
      <w:pPr>
        <w:pStyle w:val="Standard2"/>
        <w:tabs>
          <w:tab w:val="left" w:pos="709" w:leader="none"/>
        </w:tabs>
        <w:spacing w:lineRule="auto" w:line="360"/>
        <w:jc w:val="both"/>
        <w:rPr>
          <w:rFonts w:ascii="Arial" w:hAnsi="Arial" w:cs="Arial"/>
          <w:color w:val="000000"/>
          <w:sz w:val="22"/>
          <w:szCs w:val="22"/>
          <w:lang w:eastAsia="ar-SA"/>
        </w:rPr>
      </w:pPr>
      <w:r>
        <w:rPr>
          <w:rFonts w:cs="Arial" w:ascii="Arial" w:hAnsi="Arial"/>
          <w:color w:val="000000"/>
          <w:sz w:val="22"/>
          <w:szCs w:val="22"/>
          <w:lang w:eastAsia="ar-SA"/>
        </w:rPr>
      </w:r>
    </w:p>
    <w:p>
      <w:pPr>
        <w:pStyle w:val="Standard2"/>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6.2. As propostas deverão conter informações que atendam aos critérios de julgamento estabelecidos no Edital e reproduzida abaixo.</w:t>
      </w:r>
    </w:p>
    <w:p>
      <w:pPr>
        <w:pStyle w:val="Standard2"/>
        <w:tabs>
          <w:tab w:val="clear" w:pos="709"/>
          <w:tab w:val="left" w:pos="567" w:leader="none"/>
        </w:tabs>
        <w:suppressAutoHyphens w:val="false"/>
        <w:spacing w:lineRule="auto" w:line="360"/>
        <w:jc w:val="both"/>
        <w:rPr>
          <w:rFonts w:ascii="Arial" w:hAnsi="Arial" w:cs="Arial"/>
          <w:sz w:val="22"/>
          <w:szCs w:val="22"/>
        </w:rPr>
      </w:pPr>
      <w:r>
        <w:rPr>
          <w:rFonts w:cs="Arial" w:ascii="Arial" w:hAnsi="Arial"/>
          <w:sz w:val="22"/>
          <w:szCs w:val="22"/>
        </w:rPr>
      </w:r>
    </w:p>
    <w:p>
      <w:pPr>
        <w:pStyle w:val="Standard2"/>
        <w:tabs>
          <w:tab w:val="clear" w:pos="709"/>
          <w:tab w:val="left" w:pos="567" w:leader="none"/>
        </w:tabs>
        <w:suppressAutoHyphens w:val="false"/>
        <w:spacing w:lineRule="auto" w:line="360"/>
        <w:jc w:val="both"/>
        <w:rPr>
          <w:rFonts w:ascii="Arial" w:hAnsi="Arial" w:cs="Arial"/>
          <w:b/>
          <w:bCs/>
          <w:sz w:val="22"/>
          <w:szCs w:val="22"/>
        </w:rPr>
      </w:pPr>
      <w:r>
        <w:rPr>
          <w:rStyle w:val="StrongEmphasis"/>
          <w:rFonts w:cs="Arial" w:ascii="Arial" w:hAnsi="Arial"/>
          <w:b w:val="false"/>
          <w:bCs w:val="false"/>
          <w:sz w:val="22"/>
          <w:szCs w:val="22"/>
        </w:rPr>
        <w:t>6.3. A avaliação individualizada e a pontuação serão feitas com base nos critérios de julgamento, constante do Edital e reproduzida abaixo:</w:t>
      </w:r>
    </w:p>
    <w:p>
      <w:pPr>
        <w:pStyle w:val="Standard"/>
        <w:spacing w:lineRule="auto" w:line="360"/>
        <w:jc w:val="both"/>
        <w:rPr>
          <w:rFonts w:ascii="Arial" w:hAnsi="Arial" w:cs="Arial"/>
          <w:sz w:val="22"/>
          <w:szCs w:val="22"/>
        </w:rPr>
      </w:pPr>
      <w:r>
        <w:rPr>
          <w:rFonts w:cs="Arial" w:ascii="Arial" w:hAnsi="Arial"/>
          <w:sz w:val="22"/>
          <w:szCs w:val="22"/>
        </w:rPr>
      </w:r>
    </w:p>
    <w:tbl>
      <w:tblPr>
        <w:tblW w:w="1060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3565"/>
        <w:gridCol w:w="5103"/>
        <w:gridCol w:w="1933"/>
      </w:tblGrid>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CRITÉRIOS DE</w:t>
            </w:r>
          </w:p>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JULGAMENTO</w:t>
            </w:r>
          </w:p>
        </w:tc>
        <w:tc>
          <w:tcPr>
            <w:tcW w:w="5103"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METODOLOGIA DE PONTUAÇÃO</w:t>
            </w:r>
          </w:p>
        </w:tc>
        <w:tc>
          <w:tcPr>
            <w:tcW w:w="1933"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PONTUAÇÃO MÁXIMA POR ITEM</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(A) Informações sobre ações a serem executadas, metas a serem atingidas, indicadores que aferirão o cumprimento das metas e prazos para a execução das ações e para o cumprimento das metas</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de atendimento (4,0 pontos)</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de atendimento (2,0 pontos)</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(0,0)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r>
          </w:p>
          <w:p>
            <w:pPr>
              <w:pStyle w:val="Standard2"/>
              <w:snapToGrid w:val="false"/>
              <w:spacing w:lineRule="auto" w:line="360"/>
              <w:ind w:left="52" w:right="141"/>
              <w:jc w:val="both"/>
              <w:rPr>
                <w:rFonts w:ascii="Arial" w:hAnsi="Arial" w:cs="Arial"/>
                <w:color w:val="000000"/>
                <w:sz w:val="18"/>
                <w:szCs w:val="18"/>
              </w:rPr>
            </w:pPr>
            <w:r>
              <w:rPr>
                <w:rFonts w:cs="Arial" w:ascii="Arial" w:hAnsi="Arial"/>
                <w:color w:val="000000"/>
                <w:sz w:val="18"/>
                <w:szCs w:val="18"/>
              </w:rPr>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4,0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(B) Adequação da proposta aos objetivos da ação em que se insere a parceria</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de adequação (2,0)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de adequação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do requisito de adequação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2,0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pacing w:lineRule="auto" w:line="360"/>
              <w:ind w:left="142"/>
              <w:jc w:val="center"/>
              <w:rPr>
                <w:rFonts w:ascii="Arial" w:hAnsi="Arial" w:cs="Arial"/>
                <w:color w:val="000000"/>
                <w:sz w:val="18"/>
                <w:szCs w:val="18"/>
              </w:rPr>
            </w:pPr>
            <w:r>
              <w:rPr>
                <w:rFonts w:cs="Arial" w:ascii="Arial" w:hAnsi="Arial"/>
                <w:color w:val="000000"/>
                <w:sz w:val="18"/>
                <w:szCs w:val="18"/>
              </w:rPr>
              <w:t>(C) Descrição da realidade objeto da parceria e do nexo entre essa realidade e a atividade proposta</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da descrição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da descrição (0,5)</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1,0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b/>
                <w:bCs/>
                <w:color w:val="000000"/>
                <w:sz w:val="18"/>
                <w:szCs w:val="18"/>
              </w:rPr>
            </w:pPr>
            <w:r>
              <w:rPr>
                <w:rFonts w:cs="Arial" w:ascii="Arial" w:hAnsi="Arial"/>
                <w:b/>
                <w:bCs/>
                <w:color w:val="000000"/>
                <w:sz w:val="18"/>
                <w:szCs w:val="18"/>
              </w:rPr>
            </w:r>
          </w:p>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(D) Adequação da proposta ao valor total de recursos disponibilizados para a celebração da parceria constante do Edital, com menção expressa ao valor global da proposta</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valor global proposto é, pelo menos, 10% (dez por cento) mais baixo do que o valor total de recursos disponibilizados para a celebração da parceria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valor global proposto é igual ou até 10% (dez por cento), exclusive, mais baixo do que o valor total de recursos disponibilizados para a celebração da parceria (0,5)</w:t>
            </w:r>
          </w:p>
          <w:p>
            <w:pPr>
              <w:pStyle w:val="Standard2"/>
              <w:snapToGrid w:val="false"/>
              <w:spacing w:lineRule="auto" w:line="360"/>
              <w:ind w:left="52" w:right="141"/>
              <w:jc w:val="center"/>
              <w:rPr>
                <w:rFonts w:ascii="Arial" w:hAnsi="Arial" w:cs="Arial"/>
                <w:sz w:val="18"/>
                <w:szCs w:val="18"/>
              </w:rPr>
            </w:pPr>
            <w:r>
              <w:rPr>
                <w:rFonts w:cs="Arial" w:ascii="Arial" w:hAnsi="Arial"/>
                <w:color w:val="000000"/>
                <w:sz w:val="18"/>
                <w:szCs w:val="18"/>
              </w:rPr>
              <w:t xml:space="preserve"> </w:t>
            </w:r>
            <w:r>
              <w:rPr>
                <w:rFonts w:cs="Arial" w:ascii="Arial" w:hAnsi="Arial"/>
                <w:color w:val="000000"/>
                <w:sz w:val="18"/>
                <w:szCs w:val="18"/>
              </w:rPr>
              <w:t>- O valor global proposto é superior ao valor total de recursos disponibilizados para a celebração da parceria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1,0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(E) Capacidade técnico-operacional da instituição proponente, por meio de experiência comprovada no portfólio de realizações na gestão de atividades relacionadas ao objeto da parceria ou de natureza semelhante</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de capacidade técnico-operacional (2,0)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de capacidade técnico-operacional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do requisito de capacidade técnico-operacional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2,0</w:t>
            </w:r>
            <w:bookmarkStart w:id="25" w:name="_Hlk224638241"/>
            <w:bookmarkEnd w:id="25"/>
          </w:p>
        </w:tc>
      </w:tr>
    </w:tbl>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Style w:val="StrongEmphasis"/>
          <w:rFonts w:cs="Arial" w:ascii="Arial" w:hAnsi="Arial"/>
          <w:sz w:val="22"/>
          <w:szCs w:val="22"/>
        </w:rPr>
        <w:t xml:space="preserve">OBS. </w:t>
      </w:r>
      <w:bookmarkStart w:id="26" w:name="_Hlk224638273"/>
      <w:r>
        <w:rPr>
          <w:rStyle w:val="StrongEmphasis"/>
          <w:rFonts w:cs="Arial" w:ascii="Arial" w:hAnsi="Arial"/>
          <w:sz w:val="22"/>
          <w:szCs w:val="22"/>
        </w:rPr>
        <w:t xml:space="preserve">A atribuição de nota “zero” em qualquer um dos critérios </w:t>
      </w:r>
      <w:r>
        <w:rPr>
          <w:rStyle w:val="StrongEmphasis"/>
          <w:rFonts w:cs="Arial" w:ascii="Arial" w:hAnsi="Arial"/>
          <w:b w:val="false"/>
          <w:bCs w:val="false"/>
          <w:sz w:val="22"/>
          <w:szCs w:val="22"/>
        </w:rPr>
        <w:t>IMPLICA NA ELIMINAÇÃO AUTOMÁTICA</w:t>
      </w:r>
      <w:r>
        <w:rPr>
          <w:rStyle w:val="StrongEmphasis"/>
          <w:rFonts w:cs="Arial" w:ascii="Arial" w:hAnsi="Arial"/>
          <w:sz w:val="22"/>
          <w:szCs w:val="22"/>
        </w:rPr>
        <w:t xml:space="preserve"> da proposta da OSC.</w:t>
      </w:r>
      <w:bookmarkEnd w:id="26"/>
    </w:p>
    <w:p>
      <w:pPr>
        <w:pStyle w:val="Standard"/>
        <w:spacing w:lineRule="auto" w:line="360"/>
        <w:rPr>
          <w:rFonts w:ascii="Arial" w:hAnsi="Arial" w:cs="Arial"/>
          <w:sz w:val="22"/>
          <w:szCs w:val="22"/>
        </w:rPr>
      </w:pPr>
      <w:r>
        <w:rPr>
          <w:rFonts w:cs="Arial" w:ascii="Arial" w:hAnsi="Arial"/>
          <w:sz w:val="22"/>
          <w:szCs w:val="22"/>
        </w:rPr>
      </w:r>
    </w:p>
    <w:p>
      <w:pPr>
        <w:pStyle w:val="Standard"/>
        <w:spacing w:lineRule="auto" w:line="360"/>
        <w:rPr>
          <w:rFonts w:ascii="Arial" w:hAnsi="Arial" w:cs="Arial"/>
          <w:sz w:val="22"/>
          <w:szCs w:val="22"/>
        </w:rPr>
      </w:pPr>
      <w:r>
        <w:rPr>
          <w:rStyle w:val="StrongEmphasis"/>
          <w:rFonts w:cs="Arial" w:ascii="Arial" w:hAnsi="Arial"/>
          <w:sz w:val="22"/>
          <w:szCs w:val="22"/>
        </w:rPr>
        <w:t>7 – ACOMPANHAMENTO E FISCALIZAÇÃO DA EXECUÇÃO</w:t>
      </w:r>
    </w:p>
    <w:p>
      <w:pPr>
        <w:pStyle w:val="Standard"/>
        <w:spacing w:lineRule="auto" w:line="360"/>
        <w:jc w:val="both"/>
        <w:rPr>
          <w:rFonts w:ascii="Arial" w:hAnsi="Arial" w:cs="Arial"/>
          <w:b/>
          <w:bCs/>
          <w:sz w:val="22"/>
          <w:szCs w:val="22"/>
        </w:rPr>
      </w:pPr>
      <w:r>
        <w:rPr>
          <w:rStyle w:val="StrongEmphasis"/>
          <w:rFonts w:cs="Arial" w:ascii="Arial" w:hAnsi="Arial"/>
          <w:b w:val="false"/>
          <w:bCs w:val="false"/>
          <w:sz w:val="22"/>
          <w:szCs w:val="22"/>
        </w:rPr>
        <w:t>7.1 – Os serviços deverão ser acompanhados e fiscalizados pela Comissão de Monitoramento e Avaliação da Secretaria da Saúde.</w:t>
      </w:r>
    </w:p>
    <w:p>
      <w:pPr>
        <w:pStyle w:val="Standard"/>
        <w:widowControl/>
        <w:numPr>
          <w:ilvl w:val="0"/>
          <w:numId w:val="17"/>
        </w:numPr>
        <w:spacing w:lineRule="auto" w:line="360"/>
        <w:jc w:val="both"/>
        <w:rPr>
          <w:rFonts w:ascii="Arial" w:hAnsi="Arial" w:cs="Arial"/>
          <w:b/>
          <w:bCs/>
          <w:sz w:val="22"/>
          <w:szCs w:val="22"/>
        </w:rPr>
      </w:pPr>
      <w:r>
        <w:rPr>
          <w:rStyle w:val="StrongEmphasis"/>
          <w:rFonts w:cs="Arial" w:ascii="Arial" w:hAnsi="Arial"/>
          <w:b w:val="false"/>
          <w:bCs w:val="false"/>
          <w:sz w:val="22"/>
          <w:szCs w:val="22"/>
        </w:rPr>
        <w:t>A realização de reuniões mensais de coordenação técnica, de monitoramento e avaliação com a executora do Serviço;</w:t>
      </w:r>
    </w:p>
    <w:p>
      <w:pPr>
        <w:pStyle w:val="Standard"/>
        <w:widowControl/>
        <w:numPr>
          <w:ilvl w:val="0"/>
          <w:numId w:val="17"/>
        </w:numPr>
        <w:spacing w:lineRule="auto" w:line="360"/>
        <w:jc w:val="both"/>
        <w:rPr>
          <w:rFonts w:ascii="Arial" w:hAnsi="Arial" w:cs="Arial"/>
          <w:b/>
          <w:bCs/>
          <w:sz w:val="22"/>
          <w:szCs w:val="22"/>
        </w:rPr>
      </w:pPr>
      <w:r>
        <w:rPr>
          <w:rStyle w:val="StrongEmphasis"/>
          <w:rFonts w:cs="Arial" w:ascii="Arial" w:hAnsi="Arial"/>
          <w:b w:val="false"/>
          <w:bCs w:val="false"/>
          <w:sz w:val="22"/>
          <w:szCs w:val="22"/>
        </w:rPr>
        <w:t>O acesso aos relatórios. Prontuários e Projeto Terapêutico Singular (PTS) ou Plano de Atendimento Singular (PAS) dos atendidos pela executora do Serviço;</w:t>
      </w:r>
    </w:p>
    <w:p>
      <w:pPr>
        <w:pStyle w:val="Standard"/>
        <w:widowControl/>
        <w:numPr>
          <w:ilvl w:val="0"/>
          <w:numId w:val="17"/>
        </w:numPr>
        <w:spacing w:lineRule="auto" w:line="360"/>
        <w:jc w:val="both"/>
        <w:rPr>
          <w:rFonts w:ascii="Arial" w:hAnsi="Arial" w:cs="Arial"/>
          <w:b/>
          <w:bCs/>
          <w:sz w:val="22"/>
          <w:szCs w:val="22"/>
        </w:rPr>
      </w:pPr>
      <w:r>
        <w:rPr>
          <w:rStyle w:val="StrongEmphasis"/>
          <w:rFonts w:cs="Arial" w:ascii="Arial" w:hAnsi="Arial"/>
          <w:b w:val="false"/>
          <w:bCs w:val="false"/>
          <w:sz w:val="22"/>
          <w:szCs w:val="22"/>
        </w:rPr>
        <w:t>A proposição de estudos de casos em conjunto com a executora;</w:t>
      </w:r>
    </w:p>
    <w:p>
      <w:pPr>
        <w:pStyle w:val="Standard"/>
        <w:widowControl/>
        <w:numPr>
          <w:ilvl w:val="0"/>
          <w:numId w:val="17"/>
        </w:numPr>
        <w:spacing w:lineRule="auto" w:line="360"/>
        <w:jc w:val="both"/>
        <w:rPr>
          <w:rFonts w:ascii="Arial" w:hAnsi="Arial" w:cs="Arial"/>
          <w:b/>
          <w:bCs/>
          <w:sz w:val="22"/>
          <w:szCs w:val="22"/>
        </w:rPr>
      </w:pPr>
      <w:r>
        <w:rPr>
          <w:rStyle w:val="StrongEmphasis"/>
          <w:rFonts w:cs="Arial" w:ascii="Arial" w:hAnsi="Arial"/>
          <w:b w:val="false"/>
          <w:bCs w:val="false"/>
          <w:sz w:val="22"/>
          <w:szCs w:val="22"/>
        </w:rPr>
        <w:t>Articulação com o Sistema de Garantia de Direitos;</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b/>
          <w:bCs/>
          <w:sz w:val="22"/>
          <w:szCs w:val="22"/>
        </w:rPr>
      </w:pPr>
      <w:r>
        <w:rPr>
          <w:rStyle w:val="StrongEmphasis"/>
          <w:rFonts w:cs="Arial" w:ascii="Arial" w:hAnsi="Arial"/>
          <w:b w:val="false"/>
          <w:bCs w:val="false"/>
          <w:sz w:val="22"/>
          <w:szCs w:val="22"/>
        </w:rPr>
        <w:t>7.2 – O repasse regular do incentivo financeiro ficará vinculado à continuidade do cumprimento de todos os requisitos estabelecidos neste edital e na legislação que o embasa. As Secretarias de Saúde estaduais, municipais e distrital, com apoio técnico do Ministério da Saúde, estabelecerão rotinas de acompanhamento, supervisão controle e avaliação do repasse de recursos e do funcionamento de entidades beneficiadas nos termo da portaria.</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sz w:val="22"/>
          <w:szCs w:val="22"/>
        </w:rPr>
      </w:r>
    </w:p>
    <w:p>
      <w:pPr>
        <w:pStyle w:val="Corpodetexto32"/>
        <w:spacing w:lineRule="auto" w:line="360"/>
        <w:rPr>
          <w:rFonts w:ascii="Arial" w:hAnsi="Arial" w:cs="Arial"/>
          <w:sz w:val="22"/>
          <w:szCs w:val="22"/>
        </w:rPr>
      </w:pPr>
      <w:r>
        <w:rPr>
          <w:rFonts w:cs="Arial" w:ascii="Arial" w:hAnsi="Arial"/>
          <w:b/>
          <w:caps/>
          <w:sz w:val="22"/>
          <w:szCs w:val="22"/>
        </w:rPr>
        <w:t>8 – Prazo e local dA execução do serviço</w:t>
      </w:r>
    </w:p>
    <w:p>
      <w:pPr>
        <w:pStyle w:val="Corpodetexto32"/>
        <w:spacing w:lineRule="auto" w:line="360"/>
        <w:jc w:val="both"/>
        <w:rPr>
          <w:rFonts w:ascii="Arial" w:hAnsi="Arial" w:cs="Arial"/>
          <w:bCs/>
          <w:sz w:val="22"/>
          <w:szCs w:val="22"/>
        </w:rPr>
      </w:pPr>
      <w:r>
        <w:rPr>
          <w:rFonts w:cs="Arial" w:ascii="Arial" w:hAnsi="Arial"/>
          <w:bCs/>
          <w:sz w:val="22"/>
          <w:szCs w:val="22"/>
        </w:rPr>
        <w:t>O prazo do contrato será por 12 (doze) meses, podendo ser prorrogado de acordo com o limite permitido pela Lei de Licitações 14.133/2021.</w:t>
      </w:r>
    </w:p>
    <w:p>
      <w:pPr>
        <w:pStyle w:val="Standard"/>
        <w:spacing w:lineRule="auto" w:line="360"/>
        <w:jc w:val="both"/>
        <w:rPr>
          <w:rFonts w:ascii="Arial" w:hAnsi="Arial" w:cs="Arial"/>
          <w:sz w:val="22"/>
          <w:szCs w:val="22"/>
        </w:rPr>
      </w:pPr>
      <w:r>
        <w:rPr>
          <w:rFonts w:cs="Arial" w:ascii="Arial" w:hAnsi="Arial"/>
          <w:bCs/>
          <w:sz w:val="22"/>
          <w:szCs w:val="22"/>
        </w:rPr>
        <w:t>O Serviço de Acolhimento será executado em prédio</w:t>
      </w:r>
      <w:r>
        <w:rPr>
          <w:rFonts w:cs="Arial" w:ascii="Arial" w:hAnsi="Arial"/>
          <w:bCs/>
          <w:color w:val="CE181E"/>
          <w:sz w:val="22"/>
          <w:szCs w:val="22"/>
        </w:rPr>
        <w:t xml:space="preserve"> </w:t>
      </w:r>
      <w:r>
        <w:rPr>
          <w:rFonts w:cs="Arial" w:ascii="Arial" w:hAnsi="Arial"/>
          <w:bCs/>
          <w:sz w:val="22"/>
          <w:szCs w:val="22"/>
        </w:rPr>
        <w:t>da OSC. A vencedora deverá oferecer ambiente acolhedor em condições para atendimento digno e personalizado.</w:t>
      </w:r>
    </w:p>
    <w:p>
      <w:pPr>
        <w:pStyle w:val="Standard"/>
        <w:spacing w:lineRule="auto" w:line="360"/>
        <w:jc w:val="both"/>
        <w:rPr>
          <w:rFonts w:ascii="Arial" w:hAnsi="Arial" w:cs="Arial"/>
          <w:bCs/>
          <w:sz w:val="22"/>
          <w:szCs w:val="22"/>
        </w:rPr>
      </w:pPr>
      <w:r>
        <w:rPr>
          <w:rFonts w:cs="Arial" w:ascii="Arial" w:hAnsi="Arial"/>
          <w:bCs/>
          <w:sz w:val="22"/>
          <w:szCs w:val="22"/>
        </w:rPr>
        <w:t>A entidade prestadora dos serviços estará instalada em: estrutura física independente e situada fora dos limites de unidade hospitalar geral ou especializada, inclusive hospital psiquiátrico; e em local que permita acesso facilitado para a reinserção do usuário em sua comunidade de origem. De acordo com a Portaria 131, de 26 de janeiro de 2012, fica vedado o uso de quarto de contenção e trancas que não permitam a livre circulação do usuário pelos ambientes acessíveis da entidade prestadora do serviço de atenção em regime residencial. Além disso, a estruturação da entidade prestadora de serviço de atenção em regime residencial observará as Resoluções da ANVISA de números 50, de 21 de fevereiro de 2002, e 29, de 30 de junho de 2011.</w:t>
      </w:r>
    </w:p>
    <w:p>
      <w:pPr>
        <w:pStyle w:val="Standard"/>
        <w:spacing w:lineRule="auto" w:line="360"/>
        <w:jc w:val="both"/>
        <w:rPr>
          <w:rFonts w:ascii="Arial" w:hAnsi="Arial" w:cs="Arial"/>
          <w:bCs/>
          <w:color w:val="000000"/>
          <w:sz w:val="22"/>
          <w:szCs w:val="22"/>
        </w:rPr>
      </w:pPr>
      <w:r>
        <w:rPr>
          <w:rFonts w:cs="Arial" w:ascii="Arial" w:hAnsi="Arial"/>
          <w:bCs/>
          <w:color w:val="000000"/>
          <w:sz w:val="22"/>
          <w:szCs w:val="22"/>
        </w:rPr>
        <w:t>O Serviço estará diretamente vinculado ao CAPS AD do município, podendo utilizar a sua estrutura física durante horário comercial.</w:t>
      </w:r>
    </w:p>
    <w:p>
      <w:pPr>
        <w:pStyle w:val="Standard"/>
        <w:spacing w:lineRule="auto" w:line="360"/>
        <w:jc w:val="both"/>
        <w:rPr>
          <w:rFonts w:ascii="Arial" w:hAnsi="Arial" w:cs="Arial"/>
          <w:bCs/>
          <w:color w:val="000000"/>
          <w:sz w:val="22"/>
          <w:szCs w:val="22"/>
        </w:rPr>
      </w:pPr>
      <w:r>
        <w:rPr>
          <w:rFonts w:cs="Arial" w:ascii="Arial" w:hAnsi="Arial"/>
          <w:bCs/>
          <w:color w:val="000000"/>
          <w:sz w:val="22"/>
          <w:szCs w:val="22"/>
        </w:rPr>
      </w:r>
    </w:p>
    <w:p>
      <w:pPr>
        <w:pStyle w:val="Standard"/>
        <w:spacing w:lineRule="auto" w:line="360"/>
        <w:jc w:val="both"/>
        <w:rPr>
          <w:rFonts w:ascii="Arial" w:hAnsi="Arial" w:cs="Arial"/>
          <w:bCs/>
          <w:color w:val="000000"/>
          <w:sz w:val="22"/>
          <w:szCs w:val="22"/>
        </w:rPr>
      </w:pPr>
      <w:r>
        <w:rPr>
          <w:rFonts w:cs="Arial" w:ascii="Arial" w:hAnsi="Arial"/>
          <w:bCs/>
          <w:color w:val="000000"/>
          <w:sz w:val="22"/>
          <w:szCs w:val="22"/>
        </w:rPr>
        <w:t>A</w:t>
      </w:r>
      <w:r>
        <w:rPr>
          <w:rFonts w:eastAsia="Arial" w:cs="Arial" w:ascii="Arial" w:hAnsi="Arial"/>
          <w:b/>
          <w:bCs/>
          <w:color w:val="000000"/>
          <w:sz w:val="22"/>
          <w:szCs w:val="22"/>
        </w:rPr>
        <w:t xml:space="preserve"> OSC deverá estar instalada no Município, considerando que os pacientes a serem atendidos e internados são residentes no município, facilitando a participação e visitas dos familiares, bem como das articulações entre o CAPS AD e entidade contratada.</w:t>
      </w:r>
    </w:p>
    <w:p>
      <w:pPr>
        <w:pStyle w:val="Normal"/>
        <w:spacing w:lineRule="auto" w:line="360"/>
        <w:ind w:left="720"/>
        <w:jc w:val="both"/>
        <w:rPr>
          <w:rFonts w:ascii="Arial" w:hAnsi="Arial" w:cs="Arial"/>
          <w:color w:val="FF4000"/>
          <w:sz w:val="22"/>
          <w:szCs w:val="22"/>
        </w:rPr>
      </w:pPr>
      <w:r>
        <w:rPr>
          <w:rFonts w:cs="Arial" w:ascii="Arial" w:hAnsi="Arial"/>
          <w:color w:val="FF4000"/>
          <w:sz w:val="22"/>
          <w:szCs w:val="22"/>
        </w:rPr>
      </w:r>
    </w:p>
    <w:p>
      <w:pPr>
        <w:pStyle w:val="Standard"/>
        <w:spacing w:lineRule="auto" w:line="360"/>
        <w:jc w:val="both"/>
        <w:rPr>
          <w:rFonts w:ascii="Arial" w:hAnsi="Arial" w:cs="Arial"/>
          <w:bCs/>
          <w:color w:val="FF4000"/>
          <w:sz w:val="22"/>
          <w:szCs w:val="22"/>
        </w:rPr>
      </w:pPr>
      <w:r>
        <w:rPr>
          <w:rFonts w:eastAsia="Arial" w:cs="Arial" w:ascii="Arial" w:hAnsi="Arial"/>
          <w:b/>
          <w:bCs/>
          <w:color w:val="000000"/>
          <w:sz w:val="22"/>
          <w:szCs w:val="22"/>
        </w:rPr>
        <w:t>Caso a OSC seja de outro município, terá o prazo de 60 (sessenta) dias para instalação e autorizações dos órgãos competentes para funcionamento.</w:t>
      </w:r>
    </w:p>
    <w:p>
      <w:pPr>
        <w:pStyle w:val="Corpodetexto32"/>
        <w:spacing w:lineRule="auto" w:line="360"/>
        <w:rPr>
          <w:rFonts w:ascii="Arial" w:hAnsi="Arial" w:cs="Arial"/>
          <w:bCs/>
          <w:caps/>
          <w:sz w:val="22"/>
          <w:szCs w:val="22"/>
        </w:rPr>
      </w:pPr>
      <w:r>
        <w:rPr>
          <w:rFonts w:cs="Arial" w:ascii="Arial" w:hAnsi="Arial"/>
          <w:bCs/>
          <w:caps/>
          <w:sz w:val="22"/>
          <w:szCs w:val="22"/>
        </w:rPr>
      </w:r>
    </w:p>
    <w:p>
      <w:pPr>
        <w:pStyle w:val="Standard"/>
        <w:spacing w:lineRule="auto" w:line="360"/>
        <w:ind w:right="-54"/>
        <w:jc w:val="both"/>
        <w:rPr>
          <w:rFonts w:ascii="Arial" w:hAnsi="Arial" w:cs="Arial"/>
          <w:sz w:val="22"/>
          <w:szCs w:val="22"/>
        </w:rPr>
      </w:pPr>
      <w:r>
        <w:rPr>
          <w:rStyle w:val="StrongEmphasis"/>
          <w:rFonts w:cs="Arial" w:ascii="Arial" w:hAnsi="Arial"/>
          <w:sz w:val="22"/>
          <w:szCs w:val="22"/>
        </w:rPr>
        <w:t xml:space="preserve">9 - </w:t>
      </w:r>
      <w:r>
        <w:rPr>
          <w:rFonts w:cs="Arial" w:ascii="Arial" w:hAnsi="Arial"/>
          <w:b/>
          <w:bCs/>
          <w:sz w:val="22"/>
          <w:szCs w:val="22"/>
        </w:rPr>
        <w:t>DAS CONDIÇÕES DE PAGAMENTO</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color w:val="000000"/>
          <w:sz w:val="22"/>
          <w:szCs w:val="22"/>
        </w:rPr>
        <w:t>9.1 - Os créditos orçamentários necessários ao custeio de despesas relativas ao presente Edital são provenientes da dotação orçamentária classificada 3.3.90.39.00 0 – Outros Serviços de Terceiros-Pessoa Jurídica; 10.302.0007.2.028 – Manutenção da Secretaria da Saúde.</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ind w:hanging="2"/>
        <w:jc w:val="both"/>
        <w:rPr>
          <w:rFonts w:ascii="Arial" w:hAnsi="Arial" w:cs="Arial"/>
          <w:color w:val="000000"/>
          <w:sz w:val="22"/>
          <w:szCs w:val="22"/>
        </w:rPr>
      </w:pPr>
      <w:r>
        <w:rPr>
          <w:rFonts w:cs="Arial" w:ascii="Arial" w:hAnsi="Arial"/>
          <w:color w:val="000000"/>
          <w:sz w:val="22"/>
          <w:szCs w:val="22"/>
        </w:rPr>
        <w:t xml:space="preserve">9.2. </w:t>
      </w:r>
      <w:r>
        <w:rPr>
          <w:rFonts w:eastAsia="Cambria" w:cs="Arial" w:ascii="Arial" w:hAnsi="Arial"/>
          <w:color w:val="000000"/>
          <w:sz w:val="22"/>
          <w:szCs w:val="22"/>
        </w:rPr>
        <w:t>O valor</w:t>
      </w:r>
      <w:r>
        <w:rPr>
          <w:rFonts w:cs="Arial" w:ascii="Arial" w:hAnsi="Arial"/>
          <w:color w:val="000000"/>
          <w:sz w:val="22"/>
          <w:szCs w:val="22"/>
        </w:rPr>
        <w:t xml:space="preserve"> a ser repassado será definido no Termo de Colaboração, observada a proposta apresentada pela OSC selecionada.</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color w:val="000000"/>
          <w:sz w:val="22"/>
          <w:szCs w:val="22"/>
        </w:rPr>
        <w:t>9.3.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color w:val="000000"/>
          <w:sz w:val="22"/>
          <w:szCs w:val="22"/>
        </w:rPr>
        <w:t>9.4. A Administração Pública Municipal deverá viabilizar o acompanhamento pelo seu sítio oficial (</w:t>
      </w:r>
      <w:hyperlink r:id="rId5">
        <w:r>
          <w:rPr>
            <w:rStyle w:val="Style"/>
            <w:rFonts w:cs="Arial" w:ascii="Arial" w:hAnsi="Arial"/>
            <w:color w:val="000000"/>
            <w:sz w:val="22"/>
            <w:szCs w:val="22"/>
            <w:u w:val="single"/>
          </w:rPr>
          <w:t>www.itatiba.sp.gov.br</w:t>
        </w:r>
      </w:hyperlink>
      <w:r>
        <w:rPr>
          <w:rFonts w:cs="Arial" w:ascii="Arial" w:hAnsi="Arial"/>
          <w:color w:val="000000"/>
          <w:sz w:val="22"/>
          <w:szCs w:val="22"/>
        </w:rPr>
        <w:t>) do processo de liberação de recursos referente à parceria celebrada (art. 50 da Lei nº 13.019/14).</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9.5. Os recursos recebidos em decorrência desta parceria serão depositados em conta 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widowControl/>
        <w:numPr>
          <w:ilvl w:val="0"/>
          <w:numId w:val="18"/>
        </w:numPr>
        <w:spacing w:lineRule="auto" w:line="360"/>
        <w:jc w:val="both"/>
        <w:rPr>
          <w:rFonts w:ascii="Arial" w:hAnsi="Arial" w:cs="Arial"/>
          <w:sz w:val="22"/>
          <w:szCs w:val="22"/>
        </w:rPr>
      </w:pPr>
      <w:r>
        <w:rPr>
          <w:rFonts w:cs="Arial" w:ascii="Arial" w:hAnsi="Arial"/>
          <w:color w:val="000000"/>
          <w:sz w:val="22"/>
          <w:szCs w:val="22"/>
        </w:rPr>
        <w:t xml:space="preserve">9.6.1.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cs="Arial" w:ascii="Arial" w:hAnsi="Arial"/>
          <w:b/>
          <w:i/>
          <w:color w:val="000000"/>
          <w:sz w:val="22"/>
          <w:szCs w:val="22"/>
        </w:rPr>
        <w:t>ANEXO I - Declaração de Promessa de Transferência</w:t>
      </w:r>
      <w:r>
        <w:rPr>
          <w:rFonts w:cs="Arial" w:ascii="Arial" w:hAnsi="Arial"/>
          <w:color w:val="000000"/>
          <w:sz w:val="22"/>
          <w:szCs w:val="22"/>
        </w:rPr>
        <w:t>.</w:t>
      </w:r>
    </w:p>
    <w:p>
      <w:pPr>
        <w:pStyle w:val="Standard"/>
        <w:widowControl/>
        <w:numPr>
          <w:ilvl w:val="0"/>
          <w:numId w:val="18"/>
        </w:numPr>
        <w:spacing w:lineRule="auto" w:line="360"/>
        <w:jc w:val="both"/>
        <w:rPr>
          <w:rFonts w:ascii="Arial" w:hAnsi="Arial" w:cs="Arial"/>
          <w:sz w:val="22"/>
          <w:szCs w:val="22"/>
        </w:rPr>
      </w:pPr>
      <w:r>
        <w:rPr>
          <w:rFonts w:cs="Arial" w:ascii="Arial" w:hAnsi="Arial"/>
          <w:color w:val="000000"/>
          <w:sz w:val="22"/>
          <w:szCs w:val="22"/>
        </w:rPr>
        <w:t>9.6.2.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color w:val="000000"/>
          <w:sz w:val="22"/>
          <w:szCs w:val="22"/>
        </w:rPr>
        <w:t>9.8. As despesas relacionadas à execução da parceria serão executadas nos termos dos incisos XIX e XX do art. 42 da Lei nº 13.019/14, sendo vedado: I - utilizar recursos para finalidade alheia ao objeto da parceria; II - remunerar, a qualquer título, servidor ou empregado público, inclusive aquele que exerça cargo em comissão ou função de confiança, de órgão ou entidade da Administração Pública Municipal celebrante, ou seu cônjuge, companheiro ou parente em linha reta, colateral ou por afinidade, até o segundo grau com recursos vinculados à parceria, salvo nas hipóteses previstas em lei específica e na lei de diretrizes orçamentárias (art. 45 da Lei nº 13.019/14).</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 IV - aquisição de equipamentos e materiais permanentes essenciais à consecução do objeto e serviços de adequação de espaço físico, desde que necessários à instalação dos referidos equipamentos e materiais (art. 46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9.10. A inadimplência da Administração Pública Municipal não transfere à organização da sociedade civil a responsabilidade pelo pagamento de obrigações vinculadas à parceria com recursos próprios (art. 46, § 1º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9.11. A inadimplência da organização da sociedade civil em decorrência de atrasos na liberação de repasses relacionados à parceria não poderá acarretar restrições à liberação de parcelas subsequentes (art. 46, § 2º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9.12. O pagamento de remuneração da equipe contratada pela organização da sociedade civil com recursos da parceria não gera vínculo trabalhista com o poder público (art. 46, § 3º da Lei nº 13.019/14).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spacing w:lineRule="auto" w:line="360"/>
        <w:ind w:hanging="2"/>
        <w:jc w:val="both"/>
        <w:rPr>
          <w:rFonts w:ascii="Arial" w:hAnsi="Arial" w:cs="Arial"/>
          <w:sz w:val="22"/>
          <w:szCs w:val="22"/>
        </w:rPr>
      </w:pPr>
      <w:r>
        <w:rPr>
          <w:rFonts w:cs="Arial" w:ascii="Arial" w:hAnsi="Arial"/>
          <w:color w:val="000000"/>
          <w:sz w:val="22"/>
          <w:szCs w:val="22"/>
        </w:rPr>
        <w:t>9.14.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spacing w:lineRule="auto" w:line="360"/>
        <w:ind w:hanging="2"/>
        <w:jc w:val="both"/>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color w:val="000000"/>
          <w:sz w:val="22"/>
          <w:szCs w:val="22"/>
        </w:rPr>
        <w:t>9.15.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t>9.16. O valor da parceria estabelecido no Termo de Colaboração será reajustado anualmente, contado a partir da data da assinatura do referido termo, de acordo com a variação do Índice Nacional de Preços ao Consumidor Amplo (IPCA), ou outro índice oficial que venha a substituí-lo, apurado pelo Instituto Brasileiro de Geografia e Estatística (IBGE), conforme autorizado pelo §1º do art. 28 da Lei Federal nº 13.019/2014 c/c art. 104 da Lei nº 14.133/2021.</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t>§ 1º O reajuste será aplicado de forma automática, mediante simples aplicação do índice acumulado, sem necessidade de aditamento, desde que haja dotação orçamentária disponível e que não haja vedação expressa da legislação orçamentária do exercício.</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t>§ 2º Caso a legislação vigente à época da execução da parceria venha a permitir outro índice oficial mais adequado à natureza das despesas do objeto pactuado, este poderá ser adotado mediante justificativa técnica e aprovação prévia da Secretaria da Saúde.</w:t>
      </w:r>
    </w:p>
    <w:p>
      <w:pPr>
        <w:pStyle w:val="Standard"/>
        <w:tabs>
          <w:tab w:val="clear" w:pos="709"/>
          <w:tab w:val="left" w:pos="567" w:leader="none"/>
        </w:tabs>
        <w:spacing w:lineRule="auto" w:line="360"/>
        <w:ind w:hanging="2"/>
        <w:jc w:val="both"/>
        <w:rPr>
          <w:rFonts w:ascii="Arial" w:hAnsi="Arial" w:cs="Arial"/>
          <w:sz w:val="22"/>
          <w:szCs w:val="22"/>
        </w:rPr>
      </w:pPr>
      <w:r>
        <w:rPr>
          <w:rFonts w:cs="Arial" w:ascii="Arial" w:hAnsi="Arial"/>
          <w:sz w:val="22"/>
          <w:szCs w:val="22"/>
        </w:rPr>
        <w:t>§ 3º Fica assegurada à Administração Pública a possibilidade de revisar os valores pactuados sempre que comprovada a defasagem relevante do valor repassado em relação aos custos efetivos, com vistas à preservação do equilíbrio econômico-financeiro da parceria, conforme preconiza o inciso XXI do art. 37 da Constituição Federal e o § 1º do art. 42 da Lei nº 13.019/2014.</w:t>
      </w:r>
    </w:p>
    <w:p>
      <w:pPr>
        <w:pStyle w:val="Standard"/>
        <w:spacing w:lineRule="auto" w:line="360"/>
        <w:ind w:right="-54"/>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b/>
          <w:smallCaps/>
          <w:sz w:val="22"/>
          <w:szCs w:val="22"/>
        </w:rPr>
        <w:t>10 - OBRIGAÇÕES DA CONTRATANTE</w:t>
      </w:r>
    </w:p>
    <w:p>
      <w:pPr>
        <w:pStyle w:val="Nivel2"/>
        <w:spacing w:lineRule="auto" w:line="360" w:before="120" w:after="288"/>
        <w:rPr>
          <w:color w:val="auto"/>
          <w:sz w:val="22"/>
          <w:szCs w:val="22"/>
        </w:rPr>
      </w:pPr>
      <w:r>
        <w:rPr>
          <w:color w:val="auto"/>
          <w:sz w:val="22"/>
          <w:szCs w:val="22"/>
        </w:rPr>
        <w:t>10.1 São obrigações do Contratante:</w:t>
      </w:r>
    </w:p>
    <w:p>
      <w:pPr>
        <w:pStyle w:val="Nivel2"/>
        <w:numPr>
          <w:ilvl w:val="0"/>
          <w:numId w:val="19"/>
        </w:numPr>
        <w:spacing w:lineRule="auto" w:line="360" w:before="120" w:after="288"/>
        <w:rPr>
          <w:color w:val="auto"/>
          <w:sz w:val="22"/>
          <w:szCs w:val="22"/>
        </w:rPr>
      </w:pPr>
      <w:r>
        <w:rPr>
          <w:color w:val="auto"/>
          <w:sz w:val="22"/>
          <w:szCs w:val="22"/>
        </w:rPr>
        <w:t>Exigir o cumprimento de todas as obrigações assumidas pelo Contratado, de acordo com o contrato e seus anexos;</w:t>
      </w:r>
    </w:p>
    <w:p>
      <w:pPr>
        <w:pStyle w:val="Nivel2"/>
        <w:numPr>
          <w:ilvl w:val="0"/>
          <w:numId w:val="19"/>
        </w:numPr>
        <w:spacing w:lineRule="auto" w:line="360" w:before="120" w:after="288"/>
        <w:rPr>
          <w:color w:val="auto"/>
          <w:sz w:val="22"/>
          <w:szCs w:val="22"/>
        </w:rPr>
      </w:pPr>
      <w:r>
        <w:rPr>
          <w:color w:val="auto"/>
          <w:sz w:val="22"/>
          <w:szCs w:val="22"/>
        </w:rPr>
        <w:t>Receber o objeto no prazo e condições estabelecidas no Termo de Referência;</w:t>
      </w:r>
    </w:p>
    <w:p>
      <w:pPr>
        <w:pStyle w:val="Nivel2"/>
        <w:numPr>
          <w:ilvl w:val="0"/>
          <w:numId w:val="19"/>
        </w:numPr>
        <w:spacing w:lineRule="auto" w:line="360" w:before="120" w:after="288"/>
        <w:rPr>
          <w:color w:val="auto"/>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19"/>
        </w:numPr>
        <w:spacing w:lineRule="auto" w:line="360" w:before="120" w:after="288"/>
        <w:rPr>
          <w:color w:val="auto"/>
          <w:sz w:val="22"/>
          <w:szCs w:val="22"/>
        </w:rPr>
      </w:pPr>
      <w:r>
        <w:rPr>
          <w:color w:val="auto"/>
          <w:sz w:val="22"/>
          <w:szCs w:val="22"/>
        </w:rPr>
        <w:t>Acompanhar e fiscalizar a execução do contrato e o cumprimento das obrigações pelo Contratado;</w:t>
      </w:r>
    </w:p>
    <w:p>
      <w:pPr>
        <w:pStyle w:val="Nivel2"/>
        <w:numPr>
          <w:ilvl w:val="0"/>
          <w:numId w:val="19"/>
        </w:numPr>
        <w:spacing w:lineRule="auto" w:line="360" w:before="120" w:after="288"/>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19"/>
        </w:numPr>
        <w:spacing w:lineRule="auto" w:line="360" w:before="120" w:after="288"/>
        <w:rPr>
          <w:color w:val="auto"/>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19"/>
        </w:numPr>
        <w:spacing w:lineRule="auto" w:line="360" w:before="120" w:after="288"/>
        <w:rPr>
          <w:color w:val="auto"/>
          <w:sz w:val="22"/>
          <w:szCs w:val="22"/>
        </w:rPr>
      </w:pPr>
      <w:r>
        <w:rPr>
          <w:color w:val="auto"/>
          <w:sz w:val="22"/>
          <w:szCs w:val="22"/>
        </w:rPr>
        <w:t>Aplicar ao Contratado as sanções previstas na lei e neste Contrato;</w:t>
      </w:r>
    </w:p>
    <w:p>
      <w:pPr>
        <w:pStyle w:val="Nivel2"/>
        <w:numPr>
          <w:ilvl w:val="0"/>
          <w:numId w:val="19"/>
        </w:numPr>
        <w:spacing w:lineRule="auto" w:line="360" w:before="120" w:after="288"/>
        <w:rPr>
          <w:color w:val="auto"/>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0"/>
          <w:numId w:val="19"/>
        </w:numPr>
        <w:spacing w:lineRule="auto" w:line="360" w:before="120" w:after="288"/>
        <w:rPr>
          <w:sz w:val="22"/>
          <w:szCs w:val="22"/>
        </w:rPr>
      </w:pPr>
      <w:r>
        <w:rPr>
          <w:color w:val="auto"/>
          <w:sz w:val="22"/>
          <w:szCs w:val="22"/>
        </w:rPr>
        <w:t>A Administração terá o prazo de</w:t>
      </w:r>
      <w:r>
        <w:rPr>
          <w:i/>
          <w:iCs/>
          <w:color w:val="auto"/>
          <w:sz w:val="22"/>
          <w:szCs w:val="22"/>
        </w:rPr>
        <w:t xml:space="preserve"> 15 dias</w:t>
      </w:r>
      <w:r>
        <w:rPr>
          <w:color w:val="auto"/>
          <w:sz w:val="22"/>
          <w:szCs w:val="22"/>
        </w:rPr>
        <w:t>, a contar da data do protocolo do requerimento para decidir, admitida a prorrogação motivada, por igual período.</w:t>
      </w:r>
    </w:p>
    <w:p>
      <w:pPr>
        <w:pStyle w:val="Nivel2"/>
        <w:numPr>
          <w:ilvl w:val="0"/>
          <w:numId w:val="19"/>
        </w:numPr>
        <w:spacing w:lineRule="auto" w:line="360" w:before="120" w:after="288"/>
        <w:rPr>
          <w:color w:val="auto"/>
          <w:sz w:val="22"/>
          <w:szCs w:val="22"/>
        </w:rPr>
      </w:pPr>
      <w:r>
        <w:rPr>
          <w:color w:val="auto"/>
          <w:sz w:val="22"/>
          <w:szCs w:val="22"/>
        </w:rPr>
        <w:t>Responder eventuais pedidos de reestabelecimento do equilíbrio econômico-financeiro feitos pelo contratado no prazo máximo de 15 dias.</w:t>
      </w:r>
    </w:p>
    <w:p>
      <w:pPr>
        <w:pStyle w:val="Nivel2"/>
        <w:numPr>
          <w:ilvl w:val="0"/>
          <w:numId w:val="19"/>
        </w:numPr>
        <w:spacing w:lineRule="auto" w:line="360" w:before="120" w:after="288"/>
        <w:ind w:hanging="360" w:left="567"/>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2"/>
        <w:spacing w:lineRule="auto" w:line="360" w:before="120" w:after="288"/>
        <w:ind w:left="567"/>
        <w:rPr>
          <w:sz w:val="22"/>
          <w:szCs w:val="22"/>
        </w:rPr>
      </w:pPr>
      <w:r>
        <w:rPr>
          <w:sz w:val="22"/>
          <w:szCs w:val="22"/>
        </w:rPr>
      </w:r>
    </w:p>
    <w:p>
      <w:pPr>
        <w:pStyle w:val="Nivel2"/>
        <w:spacing w:lineRule="auto" w:line="360" w:before="120" w:after="288"/>
        <w:rPr>
          <w:sz w:val="22"/>
          <w:szCs w:val="22"/>
        </w:rPr>
      </w:pPr>
      <w:r>
        <w:rPr>
          <w:b/>
          <w:bCs/>
          <w:smallCaps/>
          <w:sz w:val="22"/>
          <w:szCs w:val="22"/>
        </w:rPr>
        <w:t>11 - DAS OBRIGAÇÕES DA CONTRATADA</w:t>
      </w:r>
    </w:p>
    <w:p>
      <w:pPr>
        <w:pStyle w:val="Nivel2"/>
        <w:numPr>
          <w:ilvl w:val="0"/>
          <w:numId w:val="20"/>
        </w:numPr>
        <w:spacing w:lineRule="auto" w:line="360" w:before="120" w:after="288"/>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20"/>
        </w:numPr>
        <w:spacing w:lineRule="auto" w:line="360" w:before="120" w:after="288"/>
        <w:rPr>
          <w:color w:val="auto"/>
          <w:sz w:val="22"/>
          <w:szCs w:val="22"/>
        </w:rPr>
      </w:pPr>
      <w:r>
        <w:rPr>
          <w:color w:val="auto"/>
          <w:sz w:val="22"/>
          <w:szCs w:val="22"/>
        </w:rPr>
        <w:t>Responsabilizar-se pelos vícios e danos decorrentes do objeto, de acordo com o Código de Defesa do Consumidor (</w:t>
      </w:r>
      <w:hyperlink r:id="rId6">
        <w:r>
          <w:rPr>
            <w:rStyle w:val="Hyperlink"/>
            <w:color w:val="auto"/>
            <w:sz w:val="22"/>
            <w:szCs w:val="22"/>
          </w:rPr>
          <w:t>Lei nº 8.078, de 1990</w:t>
        </w:r>
      </w:hyperlink>
      <w:r>
        <w:rPr>
          <w:color w:val="auto"/>
          <w:sz w:val="22"/>
          <w:szCs w:val="22"/>
        </w:rPr>
        <w:t>);</w:t>
      </w:r>
    </w:p>
    <w:p>
      <w:pPr>
        <w:pStyle w:val="Nivel2"/>
        <w:numPr>
          <w:ilvl w:val="0"/>
          <w:numId w:val="20"/>
        </w:numPr>
        <w:spacing w:lineRule="auto" w:line="360" w:before="120" w:after="288"/>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20"/>
        </w:numPr>
        <w:spacing w:lineRule="auto" w:line="360" w:before="120" w:after="288"/>
        <w:rPr>
          <w:color w:val="auto"/>
          <w:sz w:val="22"/>
          <w:szCs w:val="22"/>
        </w:rPr>
      </w:pPr>
      <w:r>
        <w:rPr>
          <w:color w:val="auto"/>
          <w:sz w:val="22"/>
          <w:szCs w:val="22"/>
        </w:rPr>
        <w:t>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20"/>
        </w:numPr>
        <w:spacing w:lineRule="auto" w:line="360" w:before="120" w:after="288"/>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20"/>
        </w:numPr>
        <w:spacing w:lineRule="auto" w:line="360" w:before="120" w:after="288"/>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20"/>
        </w:numPr>
        <w:spacing w:lineRule="auto" w:line="360" w:before="120" w:after="288"/>
        <w:rPr>
          <w:color w:val="auto"/>
          <w:sz w:val="22"/>
          <w:szCs w:val="22"/>
        </w:rPr>
      </w:pPr>
      <w:r>
        <w:rPr>
          <w:color w:val="auto"/>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Nivel2"/>
        <w:numPr>
          <w:ilvl w:val="0"/>
          <w:numId w:val="20"/>
        </w:numPr>
        <w:spacing w:lineRule="auto" w:line="360" w:before="120" w:after="288"/>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20"/>
        </w:numPr>
        <w:spacing w:lineRule="auto" w:line="360" w:before="120" w:after="288"/>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20"/>
        </w:numPr>
        <w:spacing w:lineRule="auto" w:line="360" w:before="120" w:after="288"/>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20"/>
        </w:numPr>
        <w:spacing w:lineRule="auto" w:line="360" w:before="120" w:after="288"/>
        <w:rPr>
          <w:color w:val="auto"/>
          <w:sz w:val="22"/>
          <w:szCs w:val="22"/>
        </w:rPr>
      </w:pPr>
      <w:r>
        <w:rPr>
          <w:color w:val="auto"/>
          <w:sz w:val="22"/>
          <w:szCs w:val="22"/>
        </w:rPr>
        <w:t>Manter durante toda a vigência do contrato, em compatibilidade com as obrigações assumidas, todas as condições exigidas para habilitação na licitação;</w:t>
      </w:r>
    </w:p>
    <w:p>
      <w:pPr>
        <w:pStyle w:val="Nivel2"/>
        <w:numPr>
          <w:ilvl w:val="0"/>
          <w:numId w:val="20"/>
        </w:numPr>
        <w:spacing w:lineRule="auto" w:line="360" w:before="120" w:after="288"/>
        <w:rPr>
          <w:color w:val="auto"/>
          <w:sz w:val="22"/>
          <w:szCs w:val="22"/>
        </w:rPr>
      </w:pPr>
      <w:r>
        <w:rPr>
          <w:color w:val="auto"/>
          <w:sz w:val="22"/>
          <w:szCs w:val="22"/>
        </w:rPr>
        <w:t>Guardar sigilo sobre todas as informações obtidas em decorrência do cumprimento do contrato;</w:t>
      </w:r>
    </w:p>
    <w:p>
      <w:pPr>
        <w:pStyle w:val="Nivel2"/>
        <w:numPr>
          <w:ilvl w:val="0"/>
          <w:numId w:val="20"/>
        </w:numPr>
        <w:spacing w:lineRule="auto" w:line="360" w:before="120" w:after="288"/>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numPr>
          <w:ilvl w:val="0"/>
          <w:numId w:val="20"/>
        </w:numPr>
        <w:spacing w:lineRule="auto" w:line="360" w:before="120" w:after="288"/>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20"/>
        </w:numPr>
        <w:tabs>
          <w:tab w:val="clear" w:pos="0"/>
        </w:tabs>
        <w:spacing w:lineRule="auto" w:line="360" w:before="120" w:after="288"/>
        <w:rPr>
          <w:color w:val="auto"/>
          <w:sz w:val="22"/>
          <w:szCs w:val="22"/>
        </w:rPr>
      </w:pPr>
      <w:bookmarkStart w:id="27" w:name="_Ref118293001"/>
      <w:r>
        <w:rPr>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7"/>
    </w:p>
    <w:p>
      <w:pPr>
        <w:pStyle w:val="Nvel2-Red"/>
        <w:numPr>
          <w:ilvl w:val="0"/>
          <w:numId w:val="20"/>
        </w:numPr>
        <w:tabs>
          <w:tab w:val="clear" w:pos="0"/>
        </w:tabs>
        <w:spacing w:lineRule="auto" w:line="360" w:before="120" w:after="288"/>
        <w:rPr>
          <w:color w:val="auto"/>
          <w:sz w:val="22"/>
          <w:szCs w:val="22"/>
        </w:rPr>
      </w:pPr>
      <w:r>
        <w:rPr>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20"/>
        </w:numPr>
        <w:tabs>
          <w:tab w:val="clear" w:pos="0"/>
        </w:tabs>
        <w:spacing w:lineRule="auto" w:line="360" w:before="120" w:after="288"/>
        <w:rPr>
          <w:color w:val="auto"/>
          <w:sz w:val="22"/>
          <w:szCs w:val="22"/>
        </w:rPr>
      </w:pPr>
      <w:r>
        <w:rPr>
          <w:color w:val="auto"/>
          <w:sz w:val="22"/>
          <w:szCs w:val="22"/>
        </w:rPr>
        <w:t>Conduzir os trabalhos com estrita observância às normas da legislação pertinente, cumprindo as determinações dos Poderes Públicos, mantendo sempre limpo o local d</w:t>
      </w:r>
      <w:r>
        <w:rPr>
          <w:color w:val="auto"/>
          <w:sz w:val="22"/>
          <w:szCs w:val="22"/>
          <w:lang w:eastAsia="en-US"/>
        </w:rPr>
        <w:t>e execução do objeto</w:t>
      </w:r>
      <w:r>
        <w:rPr>
          <w:color w:val="auto"/>
          <w:sz w:val="22"/>
          <w:szCs w:val="22"/>
        </w:rPr>
        <w:t xml:space="preserve"> e nas melhores condições de segurança, higiene e disciplina.</w:t>
      </w:r>
    </w:p>
    <w:p>
      <w:pPr>
        <w:pStyle w:val="Nvel2-Red"/>
        <w:numPr>
          <w:ilvl w:val="0"/>
          <w:numId w:val="20"/>
        </w:numPr>
        <w:tabs>
          <w:tab w:val="clear" w:pos="0"/>
        </w:tabs>
        <w:spacing w:lineRule="auto" w:line="360" w:before="120" w:after="288"/>
        <w:rPr>
          <w:color w:val="auto"/>
          <w:sz w:val="22"/>
          <w:szCs w:val="22"/>
        </w:rPr>
      </w:pPr>
      <w:r>
        <w:rPr>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20"/>
        </w:numPr>
        <w:tabs>
          <w:tab w:val="clear" w:pos="0"/>
        </w:tabs>
        <w:spacing w:lineRule="auto" w:line="360" w:before="120" w:after="288"/>
        <w:rPr>
          <w:color w:val="auto"/>
          <w:sz w:val="22"/>
          <w:szCs w:val="22"/>
        </w:rPr>
      </w:pPr>
      <w:bookmarkStart w:id="28" w:name="_Ref118293030"/>
      <w:r>
        <w:rPr>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8"/>
    </w:p>
    <w:p>
      <w:pPr>
        <w:pStyle w:val="Nvel2-Red"/>
        <w:tabs>
          <w:tab w:val="clear" w:pos="0"/>
        </w:tabs>
        <w:spacing w:lineRule="auto" w:line="360" w:before="120" w:after="288"/>
        <w:ind w:left="1287"/>
        <w:rPr>
          <w:color w:val="auto"/>
          <w:sz w:val="22"/>
          <w:szCs w:val="22"/>
        </w:rPr>
      </w:pPr>
      <w:r>
        <w:rPr>
          <w:color w:val="auto"/>
          <w:sz w:val="22"/>
          <w:szCs w:val="22"/>
        </w:rPr>
      </w:r>
    </w:p>
    <w:p>
      <w:pPr>
        <w:pStyle w:val="Standard"/>
        <w:spacing w:lineRule="auto" w:line="360"/>
        <w:jc w:val="both"/>
        <w:rPr>
          <w:rFonts w:ascii="Arial" w:hAnsi="Arial" w:cs="Arial"/>
          <w:sz w:val="22"/>
          <w:szCs w:val="22"/>
        </w:rPr>
      </w:pPr>
      <w:r>
        <w:rPr>
          <w:rFonts w:cs="Arial" w:ascii="Arial" w:hAnsi="Arial"/>
          <w:b/>
          <w:bCs/>
          <w:sz w:val="22"/>
          <w:szCs w:val="22"/>
        </w:rPr>
        <w:t>12- GARANTIA CONTRATUAL</w:t>
      </w:r>
    </w:p>
    <w:p>
      <w:pPr>
        <w:pStyle w:val="Nvel2-Red"/>
        <w:tabs>
          <w:tab w:val="clear" w:pos="0"/>
        </w:tabs>
        <w:spacing w:lineRule="auto" w:line="360" w:before="120" w:after="288"/>
        <w:ind w:left="567"/>
        <w:rPr>
          <w:i w:val="false"/>
          <w:i w:val="false"/>
          <w:iCs w:val="false"/>
          <w:color w:val="auto"/>
          <w:sz w:val="22"/>
          <w:szCs w:val="22"/>
        </w:rPr>
      </w:pPr>
      <w:r>
        <w:rPr>
          <w:i w:val="false"/>
          <w:iCs w:val="false"/>
          <w:color w:val="auto"/>
          <w:sz w:val="22"/>
          <w:szCs w:val="22"/>
        </w:rPr>
        <w:t>Não haverá exigência de garantia contratual da execução.</w:t>
      </w:r>
    </w:p>
    <w:p>
      <w:pPr>
        <w:pStyle w:val="Standard"/>
        <w:spacing w:lineRule="auto" w:line="360"/>
        <w:jc w:val="both"/>
        <w:rPr>
          <w:rFonts w:ascii="Arial" w:hAnsi="Arial" w:cs="Arial"/>
          <w:sz w:val="22"/>
          <w:szCs w:val="22"/>
        </w:rPr>
      </w:pPr>
      <w:r>
        <w:rPr>
          <w:rFonts w:cs="Arial" w:ascii="Arial" w:hAnsi="Arial"/>
          <w:b/>
          <w:bCs/>
          <w:sz w:val="22"/>
          <w:szCs w:val="22"/>
        </w:rPr>
        <w:t>13 – SANÇÕES</w:t>
      </w:r>
    </w:p>
    <w:p>
      <w:pPr>
        <w:pStyle w:val="Nivel2"/>
        <w:spacing w:lineRule="auto" w:line="360" w:before="120" w:after="288"/>
        <w:rPr>
          <w:sz w:val="22"/>
          <w:szCs w:val="22"/>
        </w:rPr>
      </w:pPr>
      <w:r>
        <w:rPr>
          <w:sz w:val="22"/>
          <w:szCs w:val="22"/>
        </w:rPr>
        <w:t xml:space="preserve">13.1 Comete infração administrativa, nos termos da </w:t>
      </w:r>
      <w:hyperlink r:id="rId7">
        <w:r>
          <w:rPr>
            <w:rStyle w:val="Hyperlink"/>
            <w:sz w:val="22"/>
            <w:szCs w:val="22"/>
          </w:rPr>
          <w:t>Lei nº 14.133, de 2021</w:t>
        </w:r>
      </w:hyperlink>
      <w:r>
        <w:rPr>
          <w:sz w:val="22"/>
          <w:szCs w:val="22"/>
        </w:rPr>
        <w:t>, o contratado que:</w:t>
      </w:r>
    </w:p>
    <w:p>
      <w:pPr>
        <w:pStyle w:val="Standard"/>
        <w:widowControl/>
        <w:spacing w:lineRule="auto" w:line="360" w:before="120" w:after="288"/>
        <w:jc w:val="both"/>
        <w:rPr>
          <w:rFonts w:ascii="Arial" w:hAnsi="Arial" w:eastAsia="Arial" w:cs="Arial"/>
          <w:sz w:val="22"/>
          <w:szCs w:val="22"/>
        </w:rPr>
      </w:pPr>
      <w:r>
        <w:rPr>
          <w:rFonts w:eastAsia="Arial" w:cs="Arial" w:ascii="Arial" w:hAnsi="Arial"/>
          <w:sz w:val="22"/>
          <w:szCs w:val="22"/>
        </w:rPr>
        <w:t>13.1.1 der causa à inexecução parcial do contrato;</w:t>
      </w:r>
    </w:p>
    <w:p>
      <w:pPr>
        <w:pStyle w:val="Standard"/>
        <w:widowControl/>
        <w:spacing w:lineRule="auto" w:line="360" w:before="120" w:after="288"/>
        <w:jc w:val="both"/>
        <w:rPr>
          <w:rFonts w:ascii="Arial" w:hAnsi="Arial" w:eastAsia="Arial" w:cs="Arial"/>
          <w:sz w:val="22"/>
          <w:szCs w:val="22"/>
        </w:rPr>
      </w:pPr>
      <w:r>
        <w:rPr>
          <w:rFonts w:eastAsia="Arial" w:cs="Arial" w:ascii="Arial" w:hAnsi="Arial"/>
          <w:sz w:val="22"/>
          <w:szCs w:val="22"/>
        </w:rPr>
        <w:t>13.1.2 der causa à inexecução parcial do contrato que cause grave dano à Administração ou ao funcionamento dos serviços públicos ou ao interesse coletivo;</w:t>
      </w:r>
    </w:p>
    <w:p>
      <w:pPr>
        <w:pStyle w:val="Standard"/>
        <w:widowControl/>
        <w:spacing w:lineRule="auto" w:line="360" w:before="120" w:after="288"/>
        <w:jc w:val="both"/>
        <w:rPr>
          <w:rFonts w:ascii="Arial" w:hAnsi="Arial" w:eastAsia="Arial" w:cs="Arial"/>
          <w:sz w:val="22"/>
          <w:szCs w:val="22"/>
        </w:rPr>
      </w:pPr>
      <w:r>
        <w:rPr>
          <w:rFonts w:eastAsia="Arial" w:cs="Arial" w:ascii="Arial" w:hAnsi="Arial"/>
          <w:sz w:val="22"/>
          <w:szCs w:val="22"/>
        </w:rPr>
        <w:t>13.1.3 der causa à inexecução total do contrato;</w:t>
      </w:r>
    </w:p>
    <w:p>
      <w:pPr>
        <w:pStyle w:val="Standard"/>
        <w:widowControl/>
        <w:spacing w:lineRule="auto" w:line="360" w:before="120" w:after="288"/>
        <w:jc w:val="both"/>
        <w:rPr>
          <w:rFonts w:ascii="Arial" w:hAnsi="Arial" w:eastAsia="Arial" w:cs="Arial"/>
          <w:sz w:val="22"/>
          <w:szCs w:val="22"/>
        </w:rPr>
      </w:pPr>
      <w:r>
        <w:rPr>
          <w:rFonts w:eastAsia="Arial" w:cs="Arial" w:ascii="Arial" w:hAnsi="Arial"/>
          <w:sz w:val="22"/>
          <w:szCs w:val="22"/>
        </w:rPr>
        <w:t>13.1.4 ensejar o retardamento da execução ou da entrega do objeto da contratação sem motivo justificado;</w:t>
      </w:r>
    </w:p>
    <w:p>
      <w:pPr>
        <w:pStyle w:val="Standard"/>
        <w:widowControl/>
        <w:spacing w:lineRule="auto" w:line="360" w:before="120" w:after="288"/>
        <w:jc w:val="both"/>
        <w:rPr>
          <w:rFonts w:ascii="Arial" w:hAnsi="Arial" w:eastAsia="Arial" w:cs="Arial"/>
          <w:sz w:val="22"/>
          <w:szCs w:val="22"/>
        </w:rPr>
      </w:pPr>
      <w:r>
        <w:rPr>
          <w:rFonts w:eastAsia="Arial" w:cs="Arial" w:ascii="Arial" w:hAnsi="Arial"/>
          <w:sz w:val="22"/>
          <w:szCs w:val="22"/>
        </w:rPr>
        <w:t>13.1.5 apresentar documentação falsa ou prestar declaração falsa durante a execução do contrato;</w:t>
      </w:r>
    </w:p>
    <w:p>
      <w:pPr>
        <w:pStyle w:val="Standard"/>
        <w:widowControl/>
        <w:spacing w:lineRule="auto" w:line="360" w:before="120" w:after="288"/>
        <w:jc w:val="both"/>
        <w:rPr>
          <w:rFonts w:ascii="Arial" w:hAnsi="Arial" w:eastAsia="Arial" w:cs="Arial"/>
          <w:sz w:val="22"/>
          <w:szCs w:val="22"/>
        </w:rPr>
      </w:pPr>
      <w:r>
        <w:rPr>
          <w:rFonts w:eastAsia="Arial" w:cs="Arial" w:ascii="Arial" w:hAnsi="Arial"/>
          <w:sz w:val="22"/>
          <w:szCs w:val="22"/>
        </w:rPr>
        <w:t>13.1.6 praticar ato fraudulento na execução do contrato;</w:t>
      </w:r>
    </w:p>
    <w:p>
      <w:pPr>
        <w:pStyle w:val="Standard"/>
        <w:widowControl/>
        <w:numPr>
          <w:ilvl w:val="2"/>
          <w:numId w:val="21"/>
        </w:numPr>
        <w:spacing w:lineRule="auto" w:line="360" w:before="120" w:after="288"/>
        <w:jc w:val="both"/>
        <w:rPr>
          <w:rFonts w:ascii="Arial" w:hAnsi="Arial" w:eastAsia="Arial" w:cs="Arial"/>
          <w:sz w:val="22"/>
          <w:szCs w:val="22"/>
        </w:rPr>
      </w:pPr>
      <w:r>
        <w:rPr>
          <w:rFonts w:eastAsia="Arial" w:cs="Arial" w:ascii="Arial" w:hAnsi="Arial"/>
          <w:sz w:val="22"/>
          <w:szCs w:val="22"/>
        </w:rPr>
        <w:t>comportar-se de modo inidôneo ou cometer fraude de qualquer natureza;</w:t>
      </w:r>
    </w:p>
    <w:p>
      <w:pPr>
        <w:pStyle w:val="Standard"/>
        <w:widowControl/>
        <w:spacing w:lineRule="auto" w:line="360" w:before="120" w:after="288"/>
        <w:jc w:val="both"/>
        <w:rPr>
          <w:rFonts w:ascii="Arial" w:hAnsi="Arial" w:cs="Arial"/>
          <w:sz w:val="22"/>
          <w:szCs w:val="22"/>
        </w:rPr>
      </w:pPr>
      <w:r>
        <w:rPr>
          <w:rFonts w:eastAsia="Arial" w:cs="Arial" w:ascii="Arial" w:hAnsi="Arial"/>
          <w:sz w:val="22"/>
          <w:szCs w:val="22"/>
        </w:rPr>
        <w:t xml:space="preserve">13.1.8 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spacing w:lineRule="auto" w:line="360" w:before="120" w:after="288"/>
        <w:rPr>
          <w:sz w:val="22"/>
          <w:szCs w:val="22"/>
        </w:rPr>
      </w:pPr>
      <w:r>
        <w:rPr>
          <w:sz w:val="22"/>
          <w:szCs w:val="22"/>
        </w:rPr>
        <w:t>13.2 Serão aplicadas ao contratado que incorrer nas infrações acima descritas as seguintes sanções:</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13.2.1 Advertência</w:t>
      </w:r>
      <w:r>
        <w:rPr>
          <w:rFonts w:eastAsia="Arial" w:cs="Arial" w:ascii="Arial" w:hAnsi="Arial"/>
          <w:sz w:val="22"/>
          <w:szCs w:val="22"/>
        </w:rPr>
        <w:t>, quando o contratado der causa à inexecução parcial do contrato, sempre que não se justificar a imposição de penalidade mais grave (</w:t>
      </w:r>
      <w:r>
        <w:fldChar w:fldCharType="begin"/>
      </w:r>
      <w:r>
        <w:rPr>
          <w:rStyle w:val="Hyperlink"/>
          <w:sz w:val="22"/>
          <w:szCs w:val="22"/>
          <w:rFonts w:eastAsia="Arial" w:cs="Arial" w:ascii="Arial" w:hAnsi="Arial"/>
        </w:rPr>
        <w:instrText xml:space="preserve"> HYPERLINK "http://www.planalto.gov.br/ccivil_03/_ato2019-2022/2021/lei/L14133.htm" \l "art156%C2%A72"</w:instrText>
      </w:r>
      <w:r>
        <w:rPr>
          <w:rStyle w:val="Hyperlink"/>
          <w:sz w:val="22"/>
          <w:szCs w:val="22"/>
          <w:rFonts w:eastAsia="Arial" w:cs="Arial" w:ascii="Arial" w:hAnsi="Arial"/>
        </w:rPr>
        <w:fldChar w:fldCharType="separate"/>
      </w:r>
      <w:r>
        <w:rPr>
          <w:rStyle w:val="Hyperlink"/>
          <w:rFonts w:eastAsia="Arial" w:cs="Arial" w:ascii="Arial" w:hAnsi="Arial"/>
          <w:sz w:val="22"/>
          <w:szCs w:val="22"/>
        </w:rPr>
        <w:t xml:space="preserve">art. 156, §2º, da </w:t>
      </w:r>
      <w:r>
        <w:rPr>
          <w:rStyle w:val="Hyperlink"/>
          <w:sz w:val="22"/>
          <w:szCs w:val="22"/>
          <w:rFonts w:eastAsia="Arial" w:cs="Arial" w:ascii="Arial" w:hAnsi="Arial"/>
        </w:rPr>
        <w:fldChar w:fldCharType="end"/>
      </w:r>
      <w:bookmarkStart w:id="29" w:name="_Hlk114504069"/>
      <w:r>
        <w:rPr>
          <w:rStyle w:val="InternetLink"/>
          <w:rFonts w:eastAsia="Arial" w:cs="Arial" w:ascii="Arial" w:hAnsi="Arial"/>
          <w:sz w:val="22"/>
          <w:szCs w:val="22"/>
        </w:rPr>
        <w:t>Lei nº 14.133, de 2021</w:t>
      </w:r>
      <w:bookmarkEnd w:id="29"/>
      <w:r>
        <w:rPr>
          <w:rFonts w:eastAsia="Arial" w:cs="Arial" w:ascii="Arial" w:hAnsi="Arial"/>
          <w:sz w:val="22"/>
          <w:szCs w:val="22"/>
        </w:rPr>
        <w:t>);</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13.2.2 Impedimento de licitar e contratar</w:t>
      </w:r>
      <w:r>
        <w:rPr>
          <w:rFonts w:eastAsia="Arial" w:cs="Arial" w:ascii="Arial" w:hAnsi="Arial"/>
          <w:sz w:val="22"/>
          <w:szCs w:val="22"/>
        </w:rPr>
        <w:t>, quando praticadas as condutas descritas nas alíneas “b”, “c” e “d” do subitem acima deste Contrato, sempre que não se justificar a imposição de penalidade mais grave (</w:t>
      </w:r>
      <w:r>
        <w:fldChar w:fldCharType="begin"/>
      </w:r>
      <w:r>
        <w:rPr>
          <w:rStyle w:val="Hyperlink"/>
          <w:sz w:val="22"/>
          <w:szCs w:val="22"/>
          <w:rFonts w:eastAsia="Arial" w:cs="Arial" w:ascii="Arial" w:hAnsi="Arial"/>
        </w:rPr>
        <w:instrText xml:space="preserve"> HYPERLINK "http://www.planalto.gov.br/ccivil_03/_ato2019-2022/2021/lei/L14133.htm" \l "art156%C2%A74"</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156, § 4º, da Lei nº 14.133, de 2021</w:t>
      </w:r>
      <w:r>
        <w:rPr>
          <w:rStyle w:val="Hyperlink"/>
          <w:sz w:val="22"/>
          <w:szCs w:val="22"/>
          <w:rFonts w:eastAsia="Arial" w:cs="Arial" w:ascii="Arial" w:hAnsi="Arial"/>
        </w:rPr>
        <w:fldChar w:fldCharType="end"/>
      </w:r>
      <w:r>
        <w:rPr>
          <w:rFonts w:eastAsia="Arial" w:cs="Arial" w:ascii="Arial" w:hAnsi="Arial"/>
          <w:sz w:val="22"/>
          <w:szCs w:val="22"/>
        </w:rPr>
        <w:t>);</w:t>
      </w:r>
    </w:p>
    <w:p>
      <w:pPr>
        <w:pStyle w:val="Normal"/>
        <w:spacing w:lineRule="auto" w:line="360" w:before="120" w:after="288"/>
        <w:jc w:val="both"/>
        <w:rPr>
          <w:rFonts w:ascii="Arial" w:hAnsi="Arial" w:cs="Arial"/>
          <w:sz w:val="22"/>
          <w:szCs w:val="22"/>
        </w:rPr>
      </w:pPr>
      <w:r>
        <w:rPr>
          <w:rFonts w:eastAsia="Arial" w:cs="Arial" w:ascii="Arial" w:hAnsi="Arial"/>
          <w:b/>
          <w:bCs/>
          <w:sz w:val="22"/>
          <w:szCs w:val="22"/>
        </w:rPr>
        <w:t>13.2.3 Declaração de inidoneidade para licitar e contratar</w:t>
      </w:r>
      <w:r>
        <w:rPr>
          <w:rFonts w:eastAsia="Arial" w:cs="Arial" w:ascii="Arial" w:hAnsi="Arial"/>
          <w:sz w:val="22"/>
          <w:szCs w:val="22"/>
        </w:rPr>
        <w:t>, quando praticadas as condutas descritas nas alíneas “e”, “f”, “g” e “h” do subitem acima deste Contrato, bem como nas alíneas “b”, “c” e “d”, que justifiquem a imposição de penalidade mais grave (</w:t>
      </w:r>
      <w:r>
        <w:fldChar w:fldCharType="begin"/>
      </w:r>
      <w:r>
        <w:rPr>
          <w:rStyle w:val="Hyperlink"/>
          <w:sz w:val="22"/>
          <w:szCs w:val="22"/>
          <w:rFonts w:eastAsia="Arial" w:cs="Arial" w:ascii="Arial" w:hAnsi="Arial"/>
        </w:rPr>
        <w:instrText xml:space="preserve"> HYPERLINK "http://www.planalto.gov.br/ccivil_03/_ato2019-2022/2021/lei/L14133.htm" \l "art156%C2%A75"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156, §5º, da Lei nº 14.133, de 2021</w:t>
      </w:r>
      <w:r>
        <w:rPr>
          <w:rStyle w:val="Hyperlink"/>
          <w:sz w:val="22"/>
          <w:szCs w:val="22"/>
          <w:rFonts w:eastAsia="Arial" w:cs="Arial" w:ascii="Arial" w:hAnsi="Arial"/>
        </w:rPr>
        <w:fldChar w:fldCharType="end"/>
      </w:r>
      <w:r>
        <w:rPr>
          <w:rFonts w:eastAsia="Arial" w:cs="Arial" w:ascii="Arial" w:hAnsi="Arial"/>
          <w:sz w:val="22"/>
          <w:szCs w:val="22"/>
        </w:rPr>
        <w:t>).</w:t>
      </w:r>
    </w:p>
    <w:p>
      <w:pPr>
        <w:pStyle w:val="ListParagraph"/>
        <w:numPr>
          <w:ilvl w:val="2"/>
          <w:numId w:val="22"/>
        </w:numPr>
        <w:spacing w:lineRule="auto" w:line="360" w:before="120" w:after="288"/>
        <w:jc w:val="both"/>
        <w:rPr>
          <w:rFonts w:ascii="Arial" w:hAnsi="Arial" w:eastAsia="Arial"/>
          <w:b/>
          <w:bCs/>
          <w:sz w:val="22"/>
          <w:szCs w:val="22"/>
        </w:rPr>
      </w:pPr>
      <w:r>
        <w:rPr>
          <w:rFonts w:eastAsia="Arial" w:ascii="Arial" w:hAnsi="Arial"/>
          <w:b/>
          <w:bCs/>
          <w:sz w:val="22"/>
          <w:szCs w:val="22"/>
        </w:rPr>
        <w:t>Multa:</w:t>
      </w:r>
    </w:p>
    <w:p>
      <w:pPr>
        <w:pStyle w:val="Normal"/>
        <w:spacing w:lineRule="auto" w:line="360" w:before="120" w:after="288"/>
        <w:jc w:val="both"/>
        <w:rPr>
          <w:rFonts w:ascii="Arial" w:hAnsi="Arial" w:cs="Arial"/>
          <w:sz w:val="22"/>
          <w:szCs w:val="22"/>
        </w:rPr>
      </w:pPr>
      <w:r>
        <w:rPr>
          <w:rFonts w:eastAsia="Arial" w:cs="Arial" w:ascii="Arial" w:hAnsi="Arial"/>
          <w:sz w:val="22"/>
          <w:szCs w:val="22"/>
        </w:rPr>
        <w:t>13.2.4.1 moratória de 0,3% (res por cento) por dia de atraso injustificado sobre o valor da parcela inadimplida, até o limite de 30 (trinta) dias;</w:t>
      </w:r>
    </w:p>
    <w:p>
      <w:pPr>
        <w:pStyle w:val="Normal"/>
        <w:spacing w:lineRule="auto" w:line="360" w:before="120" w:after="288"/>
        <w:jc w:val="both"/>
        <w:rPr>
          <w:rFonts w:ascii="Arial" w:hAnsi="Arial" w:cs="Arial"/>
          <w:sz w:val="22"/>
          <w:szCs w:val="22"/>
        </w:rPr>
      </w:pPr>
      <w:r>
        <w:rPr>
          <w:rFonts w:eastAsia="Arial" w:cs="Arial" w:ascii="Arial" w:hAnsi="Arial"/>
          <w:i/>
          <w:iCs/>
          <w:sz w:val="22"/>
          <w:szCs w:val="22"/>
        </w:rPr>
        <w:t>13.2.4.2 moratória de 10% (dez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before="120" w:after="288"/>
        <w:jc w:val="both"/>
        <w:rPr>
          <w:rFonts w:ascii="Arial" w:hAnsi="Arial" w:cs="Arial"/>
          <w:sz w:val="22"/>
          <w:szCs w:val="22"/>
        </w:rPr>
      </w:pPr>
      <w:r>
        <w:rPr>
          <w:rFonts w:eastAsia="Arial" w:cs="Arial" w:ascii="Arial" w:hAnsi="Arial"/>
          <w:i/>
          <w:iCs/>
          <w:sz w:val="22"/>
          <w:szCs w:val="22"/>
        </w:rPr>
        <w:t>13.2.4.3 O atraso superior a 30 (trinta) dias autoriza a Administração a promover a extinção do contrato por descumprimento ou cumprimento irregular de suas cláusulas, conforme dispõe o inciso I do art. 137 da Lei n. 14.133, de 2021.</w:t>
      </w:r>
    </w:p>
    <w:p>
      <w:pPr>
        <w:pStyle w:val="Normal"/>
        <w:spacing w:lineRule="auto" w:line="360" w:before="120" w:after="288"/>
        <w:jc w:val="both"/>
        <w:rPr>
          <w:rFonts w:ascii="Arial" w:hAnsi="Arial" w:cs="Arial"/>
          <w:sz w:val="22"/>
          <w:szCs w:val="22"/>
        </w:rPr>
      </w:pPr>
      <w:r>
        <w:rPr>
          <w:rFonts w:eastAsia="Arial" w:cs="Arial" w:ascii="Arial" w:hAnsi="Arial"/>
          <w:sz w:val="22"/>
          <w:szCs w:val="22"/>
        </w:rPr>
        <w:t>13.2.4.4 compensatória de 30% (trinta por cento) sobre o valor total do contrato, no caso de inexecução total do objeto.</w:t>
      </w:r>
    </w:p>
    <w:p>
      <w:pPr>
        <w:pStyle w:val="Nivel2"/>
        <w:spacing w:lineRule="auto" w:line="360" w:before="120" w:after="288"/>
        <w:rPr>
          <w:sz w:val="22"/>
          <w:szCs w:val="22"/>
        </w:rPr>
      </w:pPr>
      <w:r>
        <w:rPr>
          <w:sz w:val="22"/>
          <w:szCs w:val="22"/>
        </w:rPr>
        <w:t>13.3. 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spacing w:lineRule="auto" w:line="360" w:before="120" w:after="288"/>
        <w:rPr>
          <w:sz w:val="22"/>
          <w:szCs w:val="22"/>
        </w:rPr>
      </w:pPr>
      <w:r>
        <w:rPr>
          <w:sz w:val="22"/>
          <w:szCs w:val="22"/>
        </w:rPr>
        <w:t>13.4. 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0"/>
        </w:numPr>
        <w:spacing w:lineRule="auto" w:line="360" w:before="120" w:after="288"/>
        <w:ind w:hanging="0" w:left="0"/>
        <w:rPr>
          <w:sz w:val="22"/>
          <w:szCs w:val="22"/>
        </w:rPr>
      </w:pPr>
      <w:r>
        <w:rPr>
          <w:sz w:val="22"/>
          <w:szCs w:val="22"/>
        </w:rPr>
        <w:t>13.5 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0"/>
        </w:numPr>
        <w:spacing w:lineRule="auto" w:line="360" w:before="120" w:after="288"/>
        <w:ind w:hanging="0" w:left="0"/>
        <w:rPr>
          <w:sz w:val="22"/>
          <w:szCs w:val="22"/>
        </w:rPr>
      </w:pPr>
      <w:r>
        <w:rPr>
          <w:sz w:val="22"/>
          <w:szCs w:val="22"/>
        </w:rPr>
        <w:t>13.6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0"/>
        </w:numPr>
        <w:spacing w:lineRule="auto" w:line="360" w:before="120" w:after="288"/>
        <w:ind w:hanging="0" w:left="0"/>
        <w:rPr>
          <w:sz w:val="22"/>
          <w:szCs w:val="22"/>
        </w:rPr>
      </w:pPr>
      <w:r>
        <w:rPr>
          <w:sz w:val="22"/>
          <w:szCs w:val="22"/>
        </w:rPr>
        <w:t xml:space="preserve">13.7 Previamente ao encaminhamento à cobrança judicial, a multa poderá ser recolhida administrativamente no prazo máximo de </w:t>
      </w:r>
      <w:r>
        <w:rPr>
          <w:i/>
          <w:iCs/>
          <w:sz w:val="22"/>
          <w:szCs w:val="22"/>
        </w:rPr>
        <w:t>30 (trinta)</w:t>
      </w:r>
      <w:r>
        <w:rPr>
          <w:i/>
          <w:iCs/>
          <w:color w:val="FF0000"/>
          <w:sz w:val="22"/>
          <w:szCs w:val="22"/>
        </w:rPr>
        <w:t xml:space="preserve"> </w:t>
      </w:r>
      <w:r>
        <w:rPr>
          <w:sz w:val="22"/>
          <w:szCs w:val="22"/>
        </w:rPr>
        <w:t>dias, a contar da data do recebimento da comunicação enviada pela autoridade competente.</w:t>
      </w:r>
      <w:bookmarkStart w:id="30" w:name="_Hlk78351618"/>
      <w:bookmarkEnd w:id="30"/>
    </w:p>
    <w:p>
      <w:pPr>
        <w:pStyle w:val="Nivel2"/>
        <w:spacing w:lineRule="auto" w:line="360" w:before="120" w:after="288"/>
        <w:rPr>
          <w:sz w:val="22"/>
          <w:szCs w:val="22"/>
        </w:rPr>
      </w:pPr>
      <w:r>
        <w:rPr>
          <w:sz w:val="22"/>
          <w:szCs w:val="22"/>
        </w:rPr>
        <w:t xml:space="preserve">13.8 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120" w:after="288"/>
        <w:rPr>
          <w:sz w:val="22"/>
          <w:szCs w:val="22"/>
        </w:rPr>
      </w:pPr>
      <w:r>
        <w:rPr>
          <w:sz w:val="22"/>
          <w:szCs w:val="22"/>
        </w:rPr>
        <w:t>13.9 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Standard"/>
        <w:widowControl/>
        <w:numPr>
          <w:ilvl w:val="0"/>
          <w:numId w:val="8"/>
        </w:numPr>
        <w:spacing w:lineRule="auto" w:line="360" w:before="120" w:after="288"/>
        <w:ind w:firstLine="567" w:left="340"/>
        <w:jc w:val="both"/>
        <w:rPr>
          <w:rFonts w:ascii="Arial" w:hAnsi="Arial" w:eastAsia="Arial" w:cs="Arial"/>
          <w:sz w:val="22"/>
          <w:szCs w:val="22"/>
        </w:rPr>
      </w:pPr>
      <w:r>
        <w:rPr>
          <w:rFonts w:eastAsia="Arial" w:cs="Arial" w:ascii="Arial" w:hAnsi="Arial"/>
          <w:sz w:val="22"/>
          <w:szCs w:val="22"/>
        </w:rPr>
        <w:t>a natureza e a gravidade da infração cometida;</w:t>
      </w:r>
    </w:p>
    <w:p>
      <w:pPr>
        <w:pStyle w:val="Standard"/>
        <w:widowControl/>
        <w:numPr>
          <w:ilvl w:val="0"/>
          <w:numId w:val="8"/>
        </w:numPr>
        <w:spacing w:lineRule="auto" w:line="360" w:before="120" w:after="288"/>
        <w:ind w:firstLine="567" w:left="340"/>
        <w:jc w:val="both"/>
        <w:rPr>
          <w:rFonts w:ascii="Arial" w:hAnsi="Arial" w:eastAsia="Arial" w:cs="Arial"/>
          <w:sz w:val="22"/>
          <w:szCs w:val="22"/>
        </w:rPr>
      </w:pPr>
      <w:r>
        <w:rPr>
          <w:rFonts w:eastAsia="Arial" w:cs="Arial" w:ascii="Arial" w:hAnsi="Arial"/>
          <w:sz w:val="22"/>
          <w:szCs w:val="22"/>
        </w:rPr>
        <w:t>as peculiaridades do caso concreto;</w:t>
      </w:r>
    </w:p>
    <w:p>
      <w:pPr>
        <w:pStyle w:val="Standard"/>
        <w:widowControl/>
        <w:numPr>
          <w:ilvl w:val="0"/>
          <w:numId w:val="8"/>
        </w:numPr>
        <w:spacing w:lineRule="auto" w:line="360" w:before="120" w:after="288"/>
        <w:ind w:firstLine="567" w:left="340"/>
        <w:jc w:val="both"/>
        <w:rPr>
          <w:rFonts w:ascii="Arial" w:hAnsi="Arial" w:eastAsia="Arial" w:cs="Arial"/>
          <w:sz w:val="22"/>
          <w:szCs w:val="22"/>
        </w:rPr>
      </w:pPr>
      <w:r>
        <w:rPr>
          <w:rFonts w:eastAsia="Arial" w:cs="Arial" w:ascii="Arial" w:hAnsi="Arial"/>
          <w:sz w:val="22"/>
          <w:szCs w:val="22"/>
        </w:rPr>
        <w:t>as circunstâncias agravantes ou atenuantes;</w:t>
      </w:r>
    </w:p>
    <w:p>
      <w:pPr>
        <w:pStyle w:val="Standard"/>
        <w:widowControl/>
        <w:numPr>
          <w:ilvl w:val="0"/>
          <w:numId w:val="8"/>
        </w:numPr>
        <w:spacing w:lineRule="auto" w:line="360" w:before="120" w:after="288"/>
        <w:ind w:firstLine="567" w:left="340"/>
        <w:jc w:val="both"/>
        <w:rPr>
          <w:rFonts w:ascii="Arial" w:hAnsi="Arial" w:eastAsia="Arial" w:cs="Arial"/>
          <w:sz w:val="22"/>
          <w:szCs w:val="22"/>
        </w:rPr>
      </w:pPr>
      <w:r>
        <w:rPr>
          <w:rFonts w:eastAsia="Arial" w:cs="Arial" w:ascii="Arial" w:hAnsi="Arial"/>
          <w:sz w:val="22"/>
          <w:szCs w:val="22"/>
        </w:rPr>
        <w:t>os danos que dela provierem para o Contratante;</w:t>
      </w:r>
    </w:p>
    <w:p>
      <w:pPr>
        <w:pStyle w:val="Standard"/>
        <w:widowControl/>
        <w:numPr>
          <w:ilvl w:val="0"/>
          <w:numId w:val="8"/>
        </w:numPr>
        <w:spacing w:lineRule="auto" w:line="360" w:before="120" w:after="288"/>
        <w:ind w:firstLine="567" w:left="340"/>
        <w:jc w:val="both"/>
        <w:rPr>
          <w:rFonts w:ascii="Arial" w:hAnsi="Arial" w:eastAsia="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spacing w:lineRule="auto" w:line="360" w:before="120" w:after="288"/>
        <w:rPr>
          <w:sz w:val="22"/>
          <w:szCs w:val="22"/>
        </w:rPr>
      </w:pPr>
      <w:r>
        <w:rPr>
          <w:sz w:val="22"/>
          <w:szCs w:val="22"/>
        </w:rPr>
        <w:t xml:space="preserve">13.10 Os atos previstos como infrações administrativas na </w:t>
      </w:r>
      <w:hyperlink r:id="rId8">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9">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0">
        <w:r>
          <w:rPr>
            <w:rStyle w:val="Hyperlink"/>
            <w:sz w:val="22"/>
            <w:szCs w:val="22"/>
          </w:rPr>
          <w:t>art. 159</w:t>
        </w:r>
      </w:hyperlink>
      <w:r>
        <w:rPr>
          <w:sz w:val="22"/>
          <w:szCs w:val="22"/>
        </w:rPr>
        <w:t>).</w:t>
      </w:r>
    </w:p>
    <w:p>
      <w:pPr>
        <w:pStyle w:val="Nivel2"/>
        <w:spacing w:lineRule="auto" w:line="360" w:before="120" w:after="288"/>
        <w:rPr>
          <w:sz w:val="22"/>
          <w:szCs w:val="22"/>
        </w:rPr>
      </w:pPr>
      <w:r>
        <w:rPr>
          <w:sz w:val="22"/>
          <w:szCs w:val="22"/>
        </w:rPr>
        <w:t>13.11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spacing w:lineRule="auto" w:line="360" w:before="120" w:after="288"/>
        <w:rPr>
          <w:sz w:val="22"/>
          <w:szCs w:val="22"/>
        </w:rPr>
      </w:pPr>
      <w:r>
        <w:rPr>
          <w:sz w:val="22"/>
          <w:szCs w:val="22"/>
        </w:rPr>
        <w:t xml:space="preserve">13.12 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spacing w:lineRule="auto" w:line="360" w:before="120" w:after="288"/>
        <w:rPr>
          <w:sz w:val="22"/>
          <w:szCs w:val="22"/>
        </w:rPr>
      </w:pPr>
      <w:r>
        <w:rPr>
          <w:sz w:val="22"/>
          <w:szCs w:val="22"/>
        </w:rPr>
        <w:t xml:space="preserve">13.13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1">
        <w:r>
          <w:rPr>
            <w:rStyle w:val="Hyperlink"/>
            <w:sz w:val="22"/>
            <w:szCs w:val="22"/>
          </w:rPr>
          <w:t>Normativa SEGES/ME nº 26, de 13 de abril de 2022</w:t>
        </w:r>
      </w:hyperlink>
      <w:r>
        <w:rPr>
          <w:sz w:val="22"/>
          <w:szCs w:val="22"/>
        </w:rPr>
        <w:t>.</w:t>
      </w:r>
    </w:p>
    <w:p>
      <w:pPr>
        <w:pStyle w:val="Standard"/>
        <w:tabs>
          <w:tab w:val="clear" w:pos="709"/>
          <w:tab w:val="left" w:pos="619" w:leader="none"/>
        </w:tabs>
        <w:suppressAutoHyphens w:val="false"/>
        <w:snapToGrid w:val="false"/>
        <w:spacing w:lineRule="auto" w:line="360"/>
        <w:ind w:right="141"/>
        <w:jc w:val="both"/>
        <w:rPr>
          <w:rFonts w:ascii="Arial" w:hAnsi="Arial" w:cs="Arial"/>
          <w:sz w:val="22"/>
          <w:szCs w:val="22"/>
        </w:rPr>
      </w:pPr>
      <w:r>
        <w:rPr>
          <w:rFonts w:cs="Arial" w:ascii="Arial" w:hAnsi="Arial"/>
          <w:b/>
          <w:bCs/>
          <w:color w:val="000000"/>
          <w:sz w:val="22"/>
          <w:szCs w:val="22"/>
        </w:rPr>
        <w:t>14 - DO PLANO DE TRABALHO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14.1. Numa etapa seguinte, por meio do plano de trabalho, a Organização da Sociedade Civil selecionada deverá apresentar o detalhamento da proposta submetida e aprovada no processo de seleção, com todos os pormenores exigidos pela legislação (em especial o art. 22 da Lei nº 13.019/14)</w:t>
      </w:r>
      <w:r>
        <w:rPr>
          <w:rFonts w:cs="Arial" w:ascii="Arial" w:hAnsi="Arial"/>
          <w:b/>
          <w:bCs/>
          <w:color w:val="000000"/>
          <w:sz w:val="22"/>
          <w:szCs w:val="22"/>
        </w:rPr>
        <w:t>.</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14.2. O plano de trabalho deverá conter, no mínimo, os seguintes elementos: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a.) a descrição da realidade objeto da parceria, devendo ser demonstrado o nexo com a atividade proposta e com as metas a serem atingidas;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b.) a forma de execução das ações;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c.) a descrição de metas quantitativas e mensuráveis a serem atingidas;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d.) a definição dos indicadores, documentos e outros meios a serem utilizados para a aferição do cumprimento das metas;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e.) a previsão de receitas e a estimativa de despesas a serem realizadas na execução das ações, incluindo os encargos sociais e trabalhistas e a discriminação dos custos diretos e indiretos necessários à execução do objeto;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f.) os valores a serem repassados mediante cronograma de desembolso; e,</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g.) as ações que demandarão pagamento em espécie, quando for o caso.</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t>14.3. A previsão de receitas e despesas de que trata a alínea “e” do item 8.2. deste Anexo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619" w:leader="none"/>
        </w:tabs>
        <w:suppressAutoHyphens w:val="false"/>
        <w:snapToGrid w:val="false"/>
        <w:spacing w:lineRule="auto" w:line="360"/>
        <w:ind w:left="52" w:right="141"/>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619" w:leader="none"/>
        </w:tabs>
        <w:suppressAutoHyphens w:val="false"/>
        <w:snapToGrid w:val="false"/>
        <w:spacing w:lineRule="auto" w:line="360"/>
        <w:ind w:left="52" w:right="141"/>
        <w:jc w:val="center"/>
        <w:rPr>
          <w:rFonts w:ascii="Arial" w:hAnsi="Arial" w:cs="Arial"/>
          <w:sz w:val="22"/>
          <w:szCs w:val="22"/>
        </w:rPr>
      </w:pPr>
      <w:r>
        <w:rPr>
          <w:rFonts w:cs="Arial" w:ascii="Arial" w:hAnsi="Arial"/>
          <w:b/>
          <w:bCs/>
          <w:color w:val="000000"/>
          <w:sz w:val="22"/>
          <w:szCs w:val="22"/>
          <w:u w:val="single"/>
        </w:rPr>
        <w:t>MODELO DO PLANO DE TRABALHO (MERAMENTE EXEMPLIFICATIVO)</w:t>
      </w:r>
    </w:p>
    <w:p>
      <w:pPr>
        <w:pStyle w:val="Standard"/>
        <w:tabs>
          <w:tab w:val="clear" w:pos="709"/>
          <w:tab w:val="left" w:pos="619" w:leader="none"/>
        </w:tabs>
        <w:suppressAutoHyphens w:val="false"/>
        <w:snapToGrid w:val="false"/>
        <w:spacing w:lineRule="auto" w:line="360"/>
        <w:ind w:left="52" w:right="141"/>
        <w:jc w:val="center"/>
        <w:rPr>
          <w:rFonts w:ascii="Arial" w:hAnsi="Arial" w:cs="Arial"/>
          <w:b/>
          <w:bCs/>
          <w:color w:val="000000"/>
          <w:sz w:val="22"/>
          <w:szCs w:val="22"/>
          <w:u w:val="single"/>
        </w:rPr>
      </w:pPr>
      <w:r>
        <w:rPr>
          <w:rFonts w:cs="Arial" w:ascii="Arial" w:hAnsi="Arial"/>
          <w:b/>
          <w:bCs/>
          <w:color w:val="000000"/>
          <w:sz w:val="22"/>
          <w:szCs w:val="22"/>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7"/>
        <w:gridCol w:w="5311"/>
      </w:tblGrid>
      <w:tr>
        <w:trPr/>
        <w:tc>
          <w:tcPr>
            <w:tcW w:w="9728"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spacing w:lineRule="auto" w:line="360"/>
              <w:ind w:left="52" w:right="141"/>
              <w:jc w:val="center"/>
              <w:rPr>
                <w:rFonts w:ascii="Arial" w:hAnsi="Arial" w:cs="Arial"/>
                <w:sz w:val="22"/>
                <w:szCs w:val="22"/>
              </w:rPr>
            </w:pPr>
            <w:r>
              <w:rPr>
                <w:rFonts w:cs="Arial" w:ascii="Arial" w:hAnsi="Arial"/>
                <w:b/>
                <w:bCs/>
                <w:color w:val="000000"/>
                <w:sz w:val="22"/>
                <w:szCs w:val="22"/>
              </w:rPr>
              <w:t>DADOS CADASTRAIS</w:t>
            </w:r>
          </w:p>
        </w:tc>
      </w:tr>
      <w:tr>
        <w:trPr/>
        <w:tc>
          <w:tcPr>
            <w:tcW w:w="4417" w:type="dxa"/>
            <w:tcBorders>
              <w:left w:val="single" w:sz="2" w:space="0" w:color="000000"/>
              <w:bottom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Nome da Organização Social:</w:t>
            </w:r>
          </w:p>
        </w:tc>
        <w:tc>
          <w:tcPr>
            <w:tcW w:w="5311" w:type="dxa"/>
            <w:tcBorders>
              <w:left w:val="single" w:sz="2" w:space="0" w:color="000000"/>
              <w:bottom w:val="single" w:sz="2" w:space="0" w:color="000000"/>
              <w:right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CNPJ/MF:</w:t>
            </w:r>
          </w:p>
        </w:tc>
      </w:tr>
      <w:tr>
        <w:trPr/>
        <w:tc>
          <w:tcPr>
            <w:tcW w:w="9728" w:type="dxa"/>
            <w:gridSpan w:val="2"/>
            <w:tcBorders>
              <w:left w:val="single" w:sz="2" w:space="0" w:color="000000"/>
              <w:bottom w:val="single" w:sz="2" w:space="0" w:color="000000"/>
              <w:right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Endereço:</w:t>
            </w:r>
          </w:p>
        </w:tc>
      </w:tr>
      <w:tr>
        <w:trPr/>
        <w:tc>
          <w:tcPr>
            <w:tcW w:w="4417" w:type="dxa"/>
            <w:tcBorders>
              <w:left w:val="single" w:sz="2" w:space="0" w:color="000000"/>
              <w:bottom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Telefone:</w:t>
            </w:r>
          </w:p>
        </w:tc>
        <w:tc>
          <w:tcPr>
            <w:tcW w:w="5311" w:type="dxa"/>
            <w:tcBorders>
              <w:left w:val="single" w:sz="2" w:space="0" w:color="000000"/>
              <w:bottom w:val="single" w:sz="2" w:space="0" w:color="000000"/>
              <w:right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E-mail:</w:t>
            </w:r>
          </w:p>
        </w:tc>
      </w:tr>
      <w:tr>
        <w:trPr/>
        <w:tc>
          <w:tcPr>
            <w:tcW w:w="4417" w:type="dxa"/>
            <w:tcBorders>
              <w:left w:val="single" w:sz="2" w:space="0" w:color="000000"/>
              <w:bottom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Nome do Dirigente e Cargo:</w:t>
            </w:r>
          </w:p>
        </w:tc>
        <w:tc>
          <w:tcPr>
            <w:tcW w:w="5311" w:type="dxa"/>
            <w:tcBorders>
              <w:left w:val="single" w:sz="2" w:space="0" w:color="000000"/>
              <w:bottom w:val="single" w:sz="2" w:space="0" w:color="000000"/>
              <w:right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CPF/MF:</w:t>
            </w:r>
          </w:p>
        </w:tc>
      </w:tr>
      <w:tr>
        <w:trPr/>
        <w:tc>
          <w:tcPr>
            <w:tcW w:w="9728" w:type="dxa"/>
            <w:gridSpan w:val="2"/>
            <w:tcBorders>
              <w:left w:val="single" w:sz="2" w:space="0" w:color="000000"/>
              <w:bottom w:val="single" w:sz="2" w:space="0" w:color="000000"/>
              <w:right w:val="single" w:sz="2" w:space="0" w:color="000000"/>
            </w:tcBorders>
          </w:tcPr>
          <w:p>
            <w:pPr>
              <w:pStyle w:val="Contedodatabelauser"/>
              <w:spacing w:lineRule="auto" w:line="360" w:before="0" w:after="200"/>
              <w:rPr>
                <w:rFonts w:ascii="Arial" w:hAnsi="Arial" w:cs="Arial"/>
                <w:sz w:val="22"/>
                <w:szCs w:val="22"/>
              </w:rPr>
            </w:pPr>
            <w:r>
              <w:rPr>
                <w:rFonts w:cs="Arial" w:ascii="Arial" w:hAnsi="Arial"/>
                <w:b/>
                <w:bCs/>
                <w:color w:val="000000"/>
                <w:sz w:val="22"/>
                <w:szCs w:val="22"/>
              </w:rPr>
              <w:t>Endereço:</w:t>
            </w:r>
          </w:p>
        </w:tc>
      </w:tr>
    </w:tbl>
    <w:p>
      <w:pPr>
        <w:pStyle w:val="Standard"/>
        <w:tabs>
          <w:tab w:val="clear" w:pos="709"/>
          <w:tab w:val="left" w:pos="619" w:leader="none"/>
        </w:tabs>
        <w:suppressAutoHyphens w:val="false"/>
        <w:snapToGrid w:val="false"/>
        <w:spacing w:lineRule="auto" w:line="360"/>
        <w:ind w:left="52" w:right="141"/>
        <w:jc w:val="center"/>
        <w:rPr>
          <w:rFonts w:ascii="Arial" w:hAnsi="Arial" w:cs="Arial"/>
          <w:b/>
          <w:bCs/>
          <w:color w:val="000000"/>
          <w:sz w:val="22"/>
          <w:szCs w:val="22"/>
        </w:rPr>
      </w:pPr>
      <w:r>
        <w:rPr>
          <w:rFonts w:cs="Arial" w:ascii="Arial" w:hAnsi="Arial"/>
          <w:b/>
          <w:bCs/>
          <w:color w:val="000000"/>
          <w:sz w:val="22"/>
          <w:szCs w:val="22"/>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360"/>
              <w:ind w:left="52" w:right="141"/>
              <w:jc w:val="center"/>
              <w:rPr>
                <w:rFonts w:ascii="Arial" w:hAnsi="Arial" w:cs="Arial"/>
                <w:sz w:val="22"/>
                <w:szCs w:val="22"/>
              </w:rPr>
            </w:pPr>
            <w:r>
              <w:rPr>
                <w:rFonts w:cs="Arial" w:ascii="Arial" w:hAnsi="Arial"/>
                <w:b/>
                <w:bCs/>
                <w:color w:val="000000"/>
                <w:sz w:val="22"/>
                <w:szCs w:val="22"/>
                <w:lang w:eastAsia="ar-SA"/>
              </w:rPr>
              <w:t>PLANO DE TRABALHO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360"/>
              <w:ind w:left="52" w:right="141"/>
              <w:jc w:val="center"/>
              <w:rPr>
                <w:rFonts w:ascii="Arial" w:hAnsi="Arial" w:cs="Arial"/>
                <w:b/>
                <w:bCs/>
                <w:color w:val="000000"/>
                <w:sz w:val="22"/>
                <w:szCs w:val="22"/>
              </w:rPr>
            </w:pPr>
            <w:r>
              <w:rPr>
                <w:rFonts w:cs="Arial" w:ascii="Arial" w:hAnsi="Arial"/>
                <w:b/>
                <w:bCs/>
                <w:color w:val="000000"/>
                <w:sz w:val="22"/>
                <w:szCs w:val="22"/>
              </w:rPr>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spacing w:lineRule="auto" w:line="360"/>
              <w:ind w:left="52" w:right="141"/>
              <w:jc w:val="center"/>
              <w:rPr>
                <w:rFonts w:ascii="Arial" w:hAnsi="Arial" w:cs="Arial"/>
                <w:sz w:val="22"/>
                <w:szCs w:val="22"/>
              </w:rPr>
            </w:pPr>
            <w:r>
              <w:rPr>
                <w:rFonts w:cs="Arial" w:ascii="Arial" w:hAnsi="Arial"/>
                <w:b/>
                <w:bCs/>
                <w:color w:val="000000"/>
                <w:sz w:val="22"/>
                <w:szCs w:val="22"/>
              </w:rPr>
              <w:t>ATIVIDADE 1</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spacing w:lineRule="auto" w:line="360"/>
              <w:ind w:left="52" w:right="141"/>
              <w:jc w:val="both"/>
              <w:rPr>
                <w:rFonts w:ascii="Arial" w:hAnsi="Arial" w:cs="Arial"/>
                <w:b/>
                <w:bCs/>
                <w:color w:val="000000"/>
                <w:sz w:val="22"/>
                <w:szCs w:val="22"/>
              </w:rPr>
            </w:pPr>
            <w:r>
              <w:rPr>
                <w:rFonts w:cs="Arial" w:ascii="Arial" w:hAnsi="Arial"/>
                <w:b/>
                <w:bCs/>
                <w:color w:val="000000"/>
                <w:sz w:val="22"/>
                <w:szCs w:val="22"/>
              </w:rPr>
            </w:r>
          </w:p>
        </w:tc>
      </w:tr>
    </w:tbl>
    <w:p>
      <w:pPr>
        <w:pStyle w:val="Standard"/>
        <w:tabs>
          <w:tab w:val="clear" w:pos="709"/>
          <w:tab w:val="left" w:pos="619" w:leader="none"/>
        </w:tabs>
        <w:suppressAutoHyphens w:val="false"/>
        <w:snapToGrid w:val="false"/>
        <w:spacing w:lineRule="auto" w:line="360"/>
        <w:ind w:left="52" w:right="141"/>
        <w:jc w:val="both"/>
        <w:rPr>
          <w:rFonts w:ascii="Arial" w:hAnsi="Arial" w:cs="Arial"/>
          <w:sz w:val="22"/>
          <w:szCs w:val="22"/>
        </w:rPr>
      </w:pPr>
      <w:r>
        <w:rPr>
          <w:rFonts w:cs="Arial" w:ascii="Arial" w:hAnsi="Arial"/>
          <w:b/>
          <w:bCs/>
          <w:color w:val="000000"/>
          <w:sz w:val="22"/>
          <w:szCs w:val="22"/>
        </w:rPr>
        <w:tab/>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2943"/>
        <w:gridCol w:w="2946"/>
        <w:gridCol w:w="3840"/>
      </w:tblGrid>
      <w:tr>
        <w:trPr/>
        <w:tc>
          <w:tcPr>
            <w:tcW w:w="9729" w:type="dxa"/>
            <w:gridSpan w:val="3"/>
            <w:tcBorders>
              <w:top w:val="single" w:sz="2" w:space="0" w:color="000000"/>
              <w:left w:val="single" w:sz="2" w:space="0" w:color="000000"/>
              <w:bottom w:val="single" w:sz="2" w:space="0" w:color="000000"/>
              <w:right w:val="single" w:sz="2" w:space="0" w:color="000000"/>
            </w:tcBorders>
            <w:shd w:color="auto" w:fill="CCCCCC" w:val="clear"/>
          </w:tcPr>
          <w:p>
            <w:pPr>
              <w:pStyle w:val="Contedodatabelauser"/>
              <w:spacing w:lineRule="auto" w:line="360" w:before="0" w:after="200"/>
              <w:jc w:val="center"/>
              <w:rPr>
                <w:rFonts w:ascii="Arial" w:hAnsi="Arial" w:cs="Arial"/>
                <w:sz w:val="22"/>
                <w:szCs w:val="22"/>
              </w:rPr>
            </w:pPr>
            <w:r>
              <w:rPr>
                <w:rFonts w:cs="Arial" w:ascii="Arial" w:hAnsi="Arial"/>
                <w:b/>
                <w:bCs/>
                <w:color w:val="000000"/>
                <w:sz w:val="22"/>
                <w:szCs w:val="22"/>
              </w:rPr>
              <w:t>DADOS BANCÁRIOS</w:t>
            </w:r>
          </w:p>
        </w:tc>
      </w:tr>
      <w:tr>
        <w:trPr/>
        <w:tc>
          <w:tcPr>
            <w:tcW w:w="2943" w:type="dxa"/>
            <w:tcBorders>
              <w:left w:val="single" w:sz="2" w:space="0" w:color="000000"/>
              <w:bottom w:val="single" w:sz="2" w:space="0" w:color="000000"/>
            </w:tcBorders>
            <w:shd w:color="auto" w:fill="CCCCCC" w:val="clear"/>
          </w:tcPr>
          <w:p>
            <w:pPr>
              <w:pStyle w:val="Contedodatabelauser"/>
              <w:spacing w:lineRule="auto" w:line="360" w:before="0" w:after="200"/>
              <w:jc w:val="center"/>
              <w:rPr>
                <w:rFonts w:ascii="Arial" w:hAnsi="Arial" w:cs="Arial"/>
                <w:sz w:val="22"/>
                <w:szCs w:val="22"/>
              </w:rPr>
            </w:pPr>
            <w:r>
              <w:rPr>
                <w:rFonts w:cs="Arial" w:ascii="Arial" w:hAnsi="Arial"/>
                <w:b/>
                <w:bCs/>
                <w:color w:val="000000"/>
                <w:sz w:val="22"/>
                <w:szCs w:val="22"/>
              </w:rPr>
              <w:t>Nome do Banco</w:t>
            </w:r>
          </w:p>
        </w:tc>
        <w:tc>
          <w:tcPr>
            <w:tcW w:w="2946" w:type="dxa"/>
            <w:tcBorders>
              <w:left w:val="single" w:sz="2" w:space="0" w:color="000000"/>
              <w:bottom w:val="single" w:sz="2" w:space="0" w:color="000000"/>
            </w:tcBorders>
            <w:shd w:color="auto" w:fill="CCCCCC" w:val="clear"/>
          </w:tcPr>
          <w:p>
            <w:pPr>
              <w:pStyle w:val="Contedodatabelauser"/>
              <w:spacing w:lineRule="auto" w:line="360" w:before="0" w:after="200"/>
              <w:jc w:val="center"/>
              <w:rPr>
                <w:rFonts w:ascii="Arial" w:hAnsi="Arial" w:cs="Arial"/>
                <w:sz w:val="22"/>
                <w:szCs w:val="22"/>
              </w:rPr>
            </w:pPr>
            <w:r>
              <w:rPr>
                <w:rFonts w:cs="Arial" w:ascii="Arial" w:hAnsi="Arial"/>
                <w:b/>
                <w:bCs/>
                <w:color w:val="000000"/>
                <w:sz w:val="22"/>
                <w:szCs w:val="22"/>
              </w:rPr>
              <w:t>Agência</w:t>
            </w:r>
          </w:p>
        </w:tc>
        <w:tc>
          <w:tcPr>
            <w:tcW w:w="3840" w:type="dxa"/>
            <w:tcBorders>
              <w:left w:val="single" w:sz="2" w:space="0" w:color="000000"/>
              <w:bottom w:val="single" w:sz="2" w:space="0" w:color="000000"/>
              <w:right w:val="single" w:sz="2" w:space="0" w:color="000000"/>
            </w:tcBorders>
            <w:shd w:color="auto" w:fill="CCCCCC" w:val="clear"/>
          </w:tcPr>
          <w:p>
            <w:pPr>
              <w:pStyle w:val="Contedodatabelauser"/>
              <w:spacing w:lineRule="auto" w:line="360" w:before="0" w:after="200"/>
              <w:jc w:val="center"/>
              <w:rPr>
                <w:rFonts w:ascii="Arial" w:hAnsi="Arial" w:cs="Arial"/>
                <w:sz w:val="22"/>
                <w:szCs w:val="22"/>
              </w:rPr>
            </w:pPr>
            <w:r>
              <w:rPr>
                <w:rFonts w:cs="Arial" w:ascii="Arial" w:hAnsi="Arial"/>
                <w:b/>
                <w:bCs/>
                <w:color w:val="000000"/>
                <w:sz w:val="22"/>
                <w:szCs w:val="22"/>
              </w:rPr>
              <w:t>Conta-Corrente</w:t>
            </w:r>
          </w:p>
        </w:tc>
      </w:tr>
      <w:tr>
        <w:trPr/>
        <w:tc>
          <w:tcPr>
            <w:tcW w:w="2943" w:type="dxa"/>
            <w:tcBorders>
              <w:left w:val="single" w:sz="2" w:space="0" w:color="000000"/>
              <w:bottom w:val="single" w:sz="2" w:space="0" w:color="000000"/>
            </w:tcBorders>
          </w:tcPr>
          <w:p>
            <w:pPr>
              <w:pStyle w:val="Contedodatabelauser"/>
              <w:snapToGrid w:val="false"/>
              <w:spacing w:lineRule="auto" w:line="360" w:before="0" w:after="200"/>
              <w:jc w:val="center"/>
              <w:rPr>
                <w:rFonts w:ascii="Arial" w:hAnsi="Arial" w:cs="Arial"/>
                <w:b/>
                <w:bCs/>
                <w:color w:val="000000"/>
                <w:sz w:val="22"/>
                <w:szCs w:val="22"/>
              </w:rPr>
            </w:pPr>
            <w:r>
              <w:rPr>
                <w:rFonts w:cs="Arial" w:ascii="Arial" w:hAnsi="Arial"/>
                <w:b/>
                <w:bCs/>
                <w:color w:val="000000"/>
                <w:sz w:val="22"/>
                <w:szCs w:val="22"/>
              </w:rPr>
            </w:r>
          </w:p>
        </w:tc>
        <w:tc>
          <w:tcPr>
            <w:tcW w:w="2946" w:type="dxa"/>
            <w:tcBorders>
              <w:left w:val="single" w:sz="2" w:space="0" w:color="000000"/>
              <w:bottom w:val="single" w:sz="2" w:space="0" w:color="000000"/>
            </w:tcBorders>
          </w:tcPr>
          <w:p>
            <w:pPr>
              <w:pStyle w:val="Contedodatabelauser"/>
              <w:snapToGrid w:val="false"/>
              <w:spacing w:lineRule="auto" w:line="360" w:before="0" w:after="200"/>
              <w:jc w:val="center"/>
              <w:rPr>
                <w:rFonts w:ascii="Arial" w:hAnsi="Arial" w:cs="Arial"/>
                <w:b/>
                <w:bCs/>
                <w:color w:val="000000"/>
                <w:sz w:val="22"/>
                <w:szCs w:val="22"/>
              </w:rPr>
            </w:pPr>
            <w:r>
              <w:rPr>
                <w:rFonts w:cs="Arial" w:ascii="Arial" w:hAnsi="Arial"/>
                <w:b/>
                <w:bCs/>
                <w:color w:val="000000"/>
                <w:sz w:val="22"/>
                <w:szCs w:val="22"/>
              </w:rPr>
            </w:r>
          </w:p>
        </w:tc>
        <w:tc>
          <w:tcPr>
            <w:tcW w:w="3840" w:type="dxa"/>
            <w:tcBorders>
              <w:left w:val="single" w:sz="2" w:space="0" w:color="000000"/>
              <w:bottom w:val="single" w:sz="2" w:space="0" w:color="000000"/>
              <w:right w:val="single" w:sz="2" w:space="0" w:color="000000"/>
            </w:tcBorders>
          </w:tcPr>
          <w:p>
            <w:pPr>
              <w:pStyle w:val="Contedodatabelauser"/>
              <w:snapToGrid w:val="false"/>
              <w:spacing w:lineRule="auto" w:line="360" w:before="0" w:after="200"/>
              <w:jc w:val="center"/>
              <w:rPr>
                <w:rFonts w:ascii="Arial" w:hAnsi="Arial" w:cs="Arial"/>
                <w:b/>
                <w:bCs/>
                <w:color w:val="000000"/>
                <w:sz w:val="22"/>
                <w:szCs w:val="22"/>
              </w:rPr>
            </w:pPr>
            <w:r>
              <w:rPr>
                <w:rFonts w:cs="Arial" w:ascii="Arial" w:hAnsi="Arial"/>
                <w:b/>
                <w:bCs/>
                <w:color w:val="000000"/>
                <w:sz w:val="22"/>
                <w:szCs w:val="22"/>
              </w:rPr>
            </w:r>
          </w:p>
        </w:tc>
      </w:tr>
    </w:tbl>
    <w:p>
      <w:pPr>
        <w:pStyle w:val="Standard"/>
        <w:tabs>
          <w:tab w:val="clear" w:pos="709"/>
          <w:tab w:val="left" w:pos="619" w:leader="none"/>
        </w:tabs>
        <w:suppressAutoHyphens w:val="false"/>
        <w:snapToGrid w:val="false"/>
        <w:spacing w:lineRule="auto" w:line="360"/>
        <w:ind w:left="52" w:right="141"/>
        <w:jc w:val="both"/>
        <w:rPr>
          <w:rFonts w:ascii="Arial" w:hAnsi="Arial" w:cs="Arial"/>
          <w:b/>
          <w:bCs/>
          <w:color w:val="000000"/>
          <w:sz w:val="22"/>
          <w:szCs w:val="22"/>
          <w:u w:val="single"/>
        </w:rPr>
      </w:pPr>
      <w:r>
        <w:rPr>
          <w:rFonts w:cs="Arial" w:ascii="Arial" w:hAnsi="Arial"/>
          <w:b/>
          <w:bCs/>
          <w:color w:val="000000"/>
          <w:sz w:val="22"/>
          <w:szCs w:val="22"/>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9729"/>
      </w:tblGrid>
      <w:tr>
        <w:trPr/>
        <w:tc>
          <w:tcPr>
            <w:tcW w:w="9729" w:type="dxa"/>
            <w:tcBorders>
              <w:top w:val="single" w:sz="2" w:space="0" w:color="000000"/>
              <w:left w:val="single" w:sz="2" w:space="0" w:color="000000"/>
              <w:bottom w:val="single" w:sz="2" w:space="0" w:color="000000"/>
              <w:right w:val="single" w:sz="2" w:space="0" w:color="000000"/>
            </w:tcBorders>
          </w:tcPr>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Local, ___________________________</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w:t>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(NOME DO DIRIGENTE DA OSC)</w:t>
            </w:r>
          </w:p>
        </w:tc>
      </w:tr>
    </w:tbl>
    <w:p>
      <w:pPr>
        <w:pStyle w:val="Standard"/>
        <w:tabs>
          <w:tab w:val="clear" w:pos="709"/>
          <w:tab w:val="left" w:pos="619" w:leader="none"/>
        </w:tabs>
        <w:suppressAutoHyphens w:val="false"/>
        <w:snapToGrid w:val="false"/>
        <w:spacing w:lineRule="auto" w:line="360"/>
        <w:ind w:left="52" w:right="141"/>
        <w:jc w:val="both"/>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15 - CONTRAPARTIDA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 xml:space="preserve">15.1. </w:t>
      </w:r>
      <w:r>
        <w:rPr>
          <w:rFonts w:cs="Arial" w:ascii="Arial" w:hAnsi="Arial"/>
          <w:bCs/>
          <w:color w:val="000000"/>
          <w:sz w:val="22"/>
          <w:szCs w:val="22"/>
        </w:rPr>
        <w:t>Não será exigida qualquer contrapartida da OSC selecionada.</w:t>
      </w:r>
    </w:p>
    <w:p>
      <w:pPr>
        <w:pStyle w:val="Standard"/>
        <w:tabs>
          <w:tab w:val="clear" w:pos="709"/>
          <w:tab w:val="left" w:pos="567" w:leader="none"/>
        </w:tabs>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16 - DA UTILIZAÇÃO DOS RECURSOS ORIUNDOS DO TERMO DE COLABORAÇÃO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16.1. As parcelas dos recursos transferidos no âmbito da parceria serão liberadas em estrita conformidade com o respectivo cronograma de desembolso (art. 48 da Lei nº 13.019/14).</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16.2. As despesas relacionadas à execução da parceria serão executadas nos termos dos incisos XIX e XX do art. 42 da Lei nº 13.019/14, sendo vedado: I - utilizar recursos para finalidade alheia ao objeto da parceria;</w:t>
      </w:r>
      <w:bookmarkStart w:id="31" w:name="m_4136101817286224392_art45ii1"/>
      <w:bookmarkEnd w:id="31"/>
      <w:r>
        <w:rPr>
          <w:rFonts w:cs="Arial" w:ascii="Arial" w:hAnsi="Arial"/>
          <w:color w:val="000000"/>
          <w:sz w:val="22"/>
          <w:szCs w:val="22"/>
        </w:rPr>
        <w:t xml:space="preserve"> II - remunerar, a qualquer título, servidor ou empregado público, </w:t>
      </w:r>
      <w:r>
        <w:rPr>
          <w:rFonts w:cs="Arial" w:ascii="Arial" w:hAnsi="Arial"/>
          <w:bCs/>
          <w:color w:val="000000"/>
          <w:sz w:val="22"/>
          <w:szCs w:val="22"/>
        </w:rPr>
        <w:t>inclusive aquele que exerça cargo em comissão ou função de confiança, de órgão ou entidade da Administração Pública Municipal celebrante, ou seu cônjuge, companheiro ou parente em linha reta, colateral ou por afinidade, até o segundo grau</w:t>
      </w:r>
      <w:r>
        <w:rPr>
          <w:rFonts w:cs="Arial" w:ascii="Arial" w:hAnsi="Arial"/>
          <w:color w:val="000000"/>
          <w:sz w:val="22"/>
          <w:szCs w:val="22"/>
        </w:rPr>
        <w:t xml:space="preserve"> com recursos vinculados à parceria, salvo nas hipóteses previstas em lei específica e na lei de diretrizes orçamentárias (art. 45 da Lei nº 13.019/14).</w:t>
      </w:r>
    </w:p>
    <w:p>
      <w:pPr>
        <w:pStyle w:val="Textbody"/>
        <w:spacing w:lineRule="auto" w:line="360" w:before="0" w:after="0"/>
        <w:jc w:val="both"/>
        <w:rPr>
          <w:rFonts w:ascii="Arial" w:hAnsi="Arial" w:cs="Arial"/>
        </w:rPr>
      </w:pPr>
      <w:r>
        <w:rPr>
          <w:rFonts w:cs="Arial" w:ascii="Arial" w:hAnsi="Arial"/>
          <w:color w:val="000000"/>
        </w:rPr>
        <w:t>16.3.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32" w:name="m_4136101817286224392_art46iv1"/>
      <w:bookmarkEnd w:id="32"/>
      <w:r>
        <w:rPr>
          <w:rFonts w:cs="Arial" w:ascii="Arial" w:hAnsi="Arial"/>
          <w:color w:val="000000"/>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360" w:before="0" w:after="0"/>
        <w:jc w:val="both"/>
        <w:rPr>
          <w:rFonts w:ascii="Arial" w:hAnsi="Arial" w:cs="Arial"/>
          <w:color w:val="000000"/>
        </w:rPr>
      </w:pPr>
      <w:r>
        <w:rPr>
          <w:rFonts w:cs="Arial" w:ascii="Arial" w:hAnsi="Arial"/>
          <w:color w:val="000000"/>
        </w:rPr>
      </w:r>
    </w:p>
    <w:p>
      <w:pPr>
        <w:pStyle w:val="Standard"/>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b/>
          <w:color w:val="000000"/>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sz w:val="22"/>
          <w:szCs w:val="22"/>
        </w:rPr>
      </w:r>
    </w:p>
    <w:p>
      <w:pPr>
        <w:pStyle w:val="Standard"/>
        <w:spacing w:lineRule="auto" w:line="360"/>
        <w:jc w:val="center"/>
        <w:rPr>
          <w:rFonts w:ascii="Arial" w:hAnsi="Arial" w:cs="Arial"/>
          <w:b/>
          <w:bCs/>
          <w:sz w:val="22"/>
          <w:szCs w:val="22"/>
          <w:u w:val="single"/>
        </w:rPr>
      </w:pPr>
      <w:r>
        <w:rPr>
          <w:rFonts w:cs="Arial" w:ascii="Arial" w:hAnsi="Arial"/>
          <w:b/>
          <w:bCs/>
          <w:sz w:val="22"/>
          <w:szCs w:val="22"/>
          <w:u w:val="single"/>
        </w:rPr>
        <w:t>ANEXO VI</w:t>
      </w:r>
    </w:p>
    <w:p>
      <w:pPr>
        <w:pStyle w:val="Standard"/>
        <w:spacing w:lineRule="auto" w:line="360"/>
        <w:jc w:val="center"/>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rPr>
        <w:t>FICHA PARA ATRIBUIÇÃO DE NOTAS PELA COMISSÃO DE SELEÇÃO</w:t>
      </w:r>
    </w:p>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b/>
          <w:bCs/>
          <w:color w:val="000000"/>
          <w:sz w:val="22"/>
          <w:szCs w:val="22"/>
        </w:rPr>
        <w:t xml:space="preserve">Nome da Organização da Sociedade Civil: </w:t>
      </w:r>
      <w:r>
        <w:rPr>
          <w:rFonts w:cs="Arial" w:ascii="Arial" w:hAnsi="Arial"/>
          <w:color w:val="000000"/>
          <w:sz w:val="22"/>
          <w:szCs w:val="22"/>
        </w:rPr>
        <w:t>[identificação da Organização da Sociedade Civil]</w:t>
      </w:r>
    </w:p>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color w:val="000000"/>
          <w:sz w:val="22"/>
          <w:szCs w:val="22"/>
        </w:rPr>
      </w:r>
    </w:p>
    <w:tbl>
      <w:tblPr>
        <w:tblW w:w="1060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3565"/>
        <w:gridCol w:w="5103"/>
        <w:gridCol w:w="1933"/>
      </w:tblGrid>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CRITÉRIOS DE</w:t>
            </w:r>
          </w:p>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JULGAMENTO</w:t>
            </w:r>
          </w:p>
        </w:tc>
        <w:tc>
          <w:tcPr>
            <w:tcW w:w="5103"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METODOLOGIA DE PONTUAÇÃO</w:t>
            </w:r>
          </w:p>
        </w:tc>
        <w:tc>
          <w:tcPr>
            <w:tcW w:w="1933"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2"/>
              <w:snapToGrid w:val="false"/>
              <w:spacing w:lineRule="auto" w:line="360"/>
              <w:jc w:val="center"/>
              <w:rPr>
                <w:rFonts w:ascii="Arial" w:hAnsi="Arial" w:cs="Arial"/>
                <w:b/>
                <w:color w:val="000000"/>
                <w:sz w:val="18"/>
                <w:szCs w:val="18"/>
              </w:rPr>
            </w:pPr>
            <w:r>
              <w:rPr>
                <w:rFonts w:cs="Arial" w:ascii="Arial" w:hAnsi="Arial"/>
                <w:b/>
                <w:color w:val="000000"/>
                <w:sz w:val="18"/>
                <w:szCs w:val="18"/>
              </w:rPr>
              <w:t>PONTUAÇÃO MÁXIMA POR ITEM</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(A) Informações sobre ações a serem executadas, metas a serem atingidas, indicadores que aferirão o cumprimento das metas e prazos para a execução das ações e para o cumprimento das metas</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de atendimento (4,0 pontos)</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de atendimento (2,0 pontos)</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(0,0)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r>
          </w:p>
          <w:p>
            <w:pPr>
              <w:pStyle w:val="Standard2"/>
              <w:snapToGrid w:val="false"/>
              <w:spacing w:lineRule="auto" w:line="360"/>
              <w:ind w:left="52" w:right="141"/>
              <w:jc w:val="both"/>
              <w:rPr>
                <w:rFonts w:ascii="Arial" w:hAnsi="Arial" w:cs="Arial"/>
                <w:color w:val="000000"/>
                <w:sz w:val="18"/>
                <w:szCs w:val="18"/>
              </w:rPr>
            </w:pPr>
            <w:r>
              <w:rPr>
                <w:rFonts w:cs="Arial" w:ascii="Arial" w:hAnsi="Arial"/>
                <w:color w:val="000000"/>
                <w:sz w:val="18"/>
                <w:szCs w:val="18"/>
              </w:rPr>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4,0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(B) Adequação da proposta aos objetivos da ação em que se insere a parceria</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de adequação (2,0)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de adequação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do requisito de adequação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2,0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pacing w:lineRule="auto" w:line="360"/>
              <w:ind w:left="142"/>
              <w:jc w:val="center"/>
              <w:rPr>
                <w:rFonts w:ascii="Arial" w:hAnsi="Arial" w:cs="Arial"/>
                <w:color w:val="000000"/>
                <w:sz w:val="18"/>
                <w:szCs w:val="18"/>
              </w:rPr>
            </w:pPr>
            <w:r>
              <w:rPr>
                <w:rFonts w:cs="Arial" w:ascii="Arial" w:hAnsi="Arial"/>
                <w:color w:val="000000"/>
                <w:sz w:val="18"/>
                <w:szCs w:val="18"/>
              </w:rPr>
              <w:t>(C) Descrição da realidade objeto da parceria e do nexo entre essa realidade e a atividade proposta</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da descrição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da descrição (0,5)</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1,0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b/>
                <w:bCs/>
                <w:color w:val="000000"/>
                <w:sz w:val="18"/>
                <w:szCs w:val="18"/>
              </w:rPr>
            </w:pPr>
            <w:r>
              <w:rPr>
                <w:rFonts w:cs="Arial" w:ascii="Arial" w:hAnsi="Arial"/>
                <w:b/>
                <w:bCs/>
                <w:color w:val="000000"/>
                <w:sz w:val="18"/>
                <w:szCs w:val="18"/>
              </w:rPr>
            </w:r>
          </w:p>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(D) Adequação da proposta ao valor total de recursos disponibilizados para a celebração da parceria constante do Edital, com menção expressa ao valor global da proposta</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valor global proposto é, pelo menos, 10% (dez por cento) mais baixo do que o valor total de recursos disponibilizados para a celebração da parceria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valor global proposto é igual ou até 10% (dez por cento), exclusive, mais baixo do que o valor total de recursos disponibilizados para a celebração da parceria (0,5)</w:t>
            </w:r>
          </w:p>
          <w:p>
            <w:pPr>
              <w:pStyle w:val="Standard2"/>
              <w:snapToGrid w:val="false"/>
              <w:spacing w:lineRule="auto" w:line="360"/>
              <w:ind w:left="52" w:right="141"/>
              <w:jc w:val="center"/>
              <w:rPr>
                <w:rFonts w:ascii="Arial" w:hAnsi="Arial" w:cs="Arial"/>
                <w:sz w:val="18"/>
                <w:szCs w:val="18"/>
              </w:rPr>
            </w:pPr>
            <w:r>
              <w:rPr>
                <w:rFonts w:cs="Arial" w:ascii="Arial" w:hAnsi="Arial"/>
                <w:color w:val="000000"/>
                <w:sz w:val="18"/>
                <w:szCs w:val="18"/>
              </w:rPr>
              <w:t xml:space="preserve"> </w:t>
            </w:r>
            <w:r>
              <w:rPr>
                <w:rFonts w:cs="Arial" w:ascii="Arial" w:hAnsi="Arial"/>
                <w:color w:val="000000"/>
                <w:sz w:val="18"/>
                <w:szCs w:val="18"/>
              </w:rPr>
              <w:t>- O valor global proposto é superior ao valor total de recursos disponibilizados para a celebração da parceria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1,0</w:t>
            </w:r>
          </w:p>
        </w:tc>
      </w:tr>
      <w:tr>
        <w:trPr/>
        <w:tc>
          <w:tcPr>
            <w:tcW w:w="3565" w:type="dxa"/>
            <w:tcBorders>
              <w:top w:val="single" w:sz="4" w:space="0" w:color="000001"/>
              <w:left w:val="single" w:sz="4" w:space="0" w:color="000001"/>
              <w:bottom w:val="single" w:sz="4" w:space="0" w:color="000001"/>
            </w:tcBorders>
            <w:shd w:color="auto" w:fill="CCCCCC" w:val="clear"/>
            <w:vAlign w:val="center"/>
          </w:tcPr>
          <w:p>
            <w:pPr>
              <w:pStyle w:val="Standard2"/>
              <w:snapToGrid w:val="false"/>
              <w:spacing w:lineRule="auto" w:line="360"/>
              <w:ind w:left="142" w:right="180"/>
              <w:jc w:val="center"/>
              <w:rPr>
                <w:rFonts w:ascii="Arial" w:hAnsi="Arial" w:cs="Arial"/>
                <w:color w:val="000000"/>
                <w:sz w:val="18"/>
                <w:szCs w:val="18"/>
              </w:rPr>
            </w:pPr>
            <w:r>
              <w:rPr>
                <w:rFonts w:cs="Arial" w:ascii="Arial" w:hAnsi="Arial"/>
                <w:color w:val="000000"/>
                <w:sz w:val="18"/>
                <w:szCs w:val="18"/>
              </w:rPr>
              <w:t>(E) Capacidade técnico-operacional da instituição proponente, por meio de experiência comprovada no portfólio de realizações na gestão de atividades relacionadas ao objeto da parceria ou de natureza semelhante</w:t>
            </w:r>
          </w:p>
        </w:tc>
        <w:tc>
          <w:tcPr>
            <w:tcW w:w="5103" w:type="dxa"/>
            <w:tcBorders>
              <w:top w:val="single" w:sz="4" w:space="0" w:color="000001"/>
              <w:left w:val="single" w:sz="4" w:space="0" w:color="000001"/>
              <w:bottom w:val="single" w:sz="4" w:space="0" w:color="000001"/>
            </w:tcBorders>
            <w:vAlign w:val="center"/>
          </w:tcPr>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pleno de capacidade técnico-operacional (2,0)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Grau satisfatório de capacidade técnico-operacional (1,0)</w:t>
            </w:r>
          </w:p>
          <w:p>
            <w:pPr>
              <w:pStyle w:val="Standard2"/>
              <w:snapToGrid w:val="false"/>
              <w:spacing w:lineRule="auto" w:line="360"/>
              <w:ind w:left="52" w:right="141"/>
              <w:jc w:val="center"/>
              <w:rPr>
                <w:rFonts w:ascii="Arial" w:hAnsi="Arial" w:cs="Arial"/>
                <w:color w:val="000000"/>
                <w:sz w:val="18"/>
                <w:szCs w:val="18"/>
              </w:rPr>
            </w:pPr>
            <w:r>
              <w:rPr>
                <w:rFonts w:cs="Arial" w:ascii="Arial" w:hAnsi="Arial"/>
                <w:color w:val="000000"/>
                <w:sz w:val="18"/>
                <w:szCs w:val="18"/>
              </w:rPr>
              <w:t>- O não atendimento ou o atendimento insatisfatório do requisito de capacidade técnico-operacional (0,0)</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Standard2"/>
              <w:snapToGrid w:val="false"/>
              <w:spacing w:lineRule="auto" w:line="360"/>
              <w:ind w:right="141"/>
              <w:jc w:val="center"/>
              <w:rPr>
                <w:rFonts w:ascii="Arial" w:hAnsi="Arial" w:cs="Arial"/>
                <w:b/>
                <w:bCs/>
                <w:color w:val="000000"/>
                <w:sz w:val="18"/>
                <w:szCs w:val="18"/>
              </w:rPr>
            </w:pPr>
            <w:r>
              <w:rPr>
                <w:rFonts w:cs="Arial" w:ascii="Arial" w:hAnsi="Arial"/>
                <w:b/>
                <w:bCs/>
                <w:color w:val="000000"/>
                <w:sz w:val="18"/>
                <w:szCs w:val="18"/>
              </w:rPr>
              <w:t>2,0</w:t>
            </w:r>
          </w:p>
        </w:tc>
      </w:tr>
    </w:tbl>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sz w:val="22"/>
          <w:szCs w:val="22"/>
        </w:rPr>
      </w:r>
    </w:p>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center"/>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ab/>
        <w:t>Local, ___________________________</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u w:val="single"/>
        </w:rPr>
        <w:t>(NOME DO MEMBRO DA COMISSÃO DE SELEÇÃO)</w:t>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t>(MODELO)</w:t>
      </w:r>
    </w:p>
    <w:p>
      <w:pPr>
        <w:pStyle w:val="Standard"/>
        <w:spacing w:lineRule="auto" w:line="360"/>
        <w:jc w:val="center"/>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ANEXO VII - DECLARAÇÃO DE NÃO OCORRÊNCIA DE IMPEDIMENTOS</w:t>
      </w:r>
    </w:p>
    <w:p>
      <w:pPr>
        <w:pStyle w:val="Standard"/>
        <w:tabs>
          <w:tab w:val="clear" w:pos="709"/>
          <w:tab w:val="left" w:pos="567" w:leader="none"/>
        </w:tab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ind w:firstLine="567"/>
        <w:jc w:val="both"/>
        <w:rPr>
          <w:rFonts w:ascii="Arial" w:hAnsi="Arial" w:cs="Arial"/>
          <w:sz w:val="22"/>
          <w:szCs w:val="22"/>
        </w:rPr>
      </w:pPr>
      <w:r>
        <w:rPr>
          <w:rFonts w:cs="Arial" w:ascii="Arial" w:hAnsi="Arial"/>
          <w:color w:val="000000"/>
          <w:sz w:val="22"/>
          <w:szCs w:val="22"/>
        </w:rPr>
        <w:t>Declaro para os devidos fins e efeitos de direitos, que a [identificação da organização da sociedade civil – OSC] e seus dirigentes não incorrem em quaisquer das vedações previstas no art. 39 da Lei nº 13.019/14. Nesse sentido, a entidade:</w:t>
      </w:r>
    </w:p>
    <w:p>
      <w:pPr>
        <w:pStyle w:val="PargrafodaLista1"/>
        <w:numPr>
          <w:ilvl w:val="0"/>
          <w:numId w:val="2"/>
        </w:numPr>
        <w:tabs>
          <w:tab w:val="clear" w:pos="709"/>
          <w:tab w:val="left" w:pos="993" w:leader="none"/>
        </w:tabs>
        <w:suppressAutoHyphens w:val="false"/>
        <w:spacing w:lineRule="auto" w:line="360"/>
        <w:jc w:val="both"/>
        <w:textAlignment w:val="baseline"/>
        <w:rPr>
          <w:rFonts w:ascii="Arial" w:hAnsi="Arial" w:cs="Arial"/>
        </w:rPr>
      </w:pPr>
      <w:r>
        <w:rPr>
          <w:rFonts w:cs="Arial" w:ascii="Arial" w:hAnsi="Arial"/>
          <w:color w:val="000000"/>
        </w:rPr>
        <w:t>Está regularmente constituída ou, se estrangeira, está autorizada a funcionar no território nacional;</w:t>
      </w:r>
    </w:p>
    <w:p>
      <w:pPr>
        <w:pStyle w:val="PargrafodaLista1"/>
        <w:numPr>
          <w:ilvl w:val="0"/>
          <w:numId w:val="2"/>
        </w:numPr>
        <w:tabs>
          <w:tab w:val="clear" w:pos="709"/>
          <w:tab w:val="left" w:pos="993" w:leader="none"/>
        </w:tabs>
        <w:suppressAutoHyphens w:val="false"/>
        <w:spacing w:lineRule="auto" w:line="360"/>
        <w:jc w:val="both"/>
        <w:textAlignment w:val="baseline"/>
        <w:rPr>
          <w:rFonts w:ascii="Arial" w:hAnsi="Arial" w:cs="Arial"/>
        </w:rPr>
      </w:pPr>
      <w:r>
        <w:rPr>
          <w:rFonts w:cs="Arial" w:ascii="Arial" w:hAnsi="Arial"/>
          <w:color w:val="000000"/>
        </w:rPr>
        <w:t>Não foi omissa no dever de prestar contas de parceria anteriormente celebrada;</w:t>
      </w:r>
    </w:p>
    <w:p>
      <w:pPr>
        <w:pStyle w:val="PargrafodaLista1"/>
        <w:numPr>
          <w:ilvl w:val="0"/>
          <w:numId w:val="2"/>
        </w:numPr>
        <w:tabs>
          <w:tab w:val="clear" w:pos="709"/>
          <w:tab w:val="left" w:pos="993" w:leader="none"/>
        </w:tabs>
        <w:suppressAutoHyphens w:val="false"/>
        <w:spacing w:lineRule="auto" w:line="360"/>
        <w:jc w:val="both"/>
        <w:textAlignment w:val="baseline"/>
        <w:rPr>
          <w:rFonts w:ascii="Arial" w:hAnsi="Arial" w:cs="Arial"/>
        </w:rPr>
      </w:pPr>
      <w:r>
        <w:rPr>
          <w:rFonts w:cs="Arial" w:ascii="Arial" w:hAnsi="Arial"/>
          <w:color w:val="000000"/>
        </w:rPr>
        <w:t>Não teve as contas rejeitadas pela administração pública nos últimos 5 (cinco) anos, observadas as exceções previstas no art. 39, caput, inciso IV, alíneas “a” a “c”, da Lei nº 13.019/14;</w:t>
      </w:r>
    </w:p>
    <w:p>
      <w:pPr>
        <w:pStyle w:val="PargrafodaLista1"/>
        <w:numPr>
          <w:ilvl w:val="0"/>
          <w:numId w:val="2"/>
        </w:numPr>
        <w:tabs>
          <w:tab w:val="clear" w:pos="709"/>
          <w:tab w:val="left" w:pos="993" w:leader="none"/>
        </w:tabs>
        <w:suppressAutoHyphens w:val="false"/>
        <w:spacing w:lineRule="auto" w:line="360"/>
        <w:jc w:val="both"/>
        <w:textAlignment w:val="baseline"/>
        <w:rPr>
          <w:rFonts w:ascii="Arial" w:hAnsi="Arial" w:cs="Arial"/>
        </w:rPr>
      </w:pPr>
      <w:r>
        <w:rPr>
          <w:rFonts w:cs="Arial" w:ascii="Arial" w:hAnsi="Arial"/>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PargrafodaLista1"/>
        <w:numPr>
          <w:ilvl w:val="0"/>
          <w:numId w:val="2"/>
        </w:numPr>
        <w:tabs>
          <w:tab w:val="clear" w:pos="709"/>
          <w:tab w:val="left" w:pos="993" w:leader="none"/>
        </w:tabs>
        <w:suppressAutoHyphens w:val="false"/>
        <w:spacing w:lineRule="auto" w:line="360"/>
        <w:jc w:val="both"/>
        <w:textAlignment w:val="baseline"/>
        <w:rPr>
          <w:rFonts w:ascii="Arial" w:hAnsi="Arial" w:cs="Arial"/>
        </w:rPr>
      </w:pPr>
      <w:r>
        <w:rPr>
          <w:rFonts w:cs="Arial" w:ascii="Arial" w:hAnsi="Arial"/>
          <w:color w:val="000000"/>
        </w:rPr>
        <w:t>Não teve contas de parceria julgadas irregulares ou rejeitadas por Tribunal ou Conselho de Contas de qualquer esfera da Federação, em decisão irrecorrível, nos últimos 8 (oito) anos; e,</w:t>
      </w:r>
    </w:p>
    <w:p>
      <w:pPr>
        <w:pStyle w:val="PargrafodaLista1"/>
        <w:widowControl w:val="false"/>
        <w:numPr>
          <w:ilvl w:val="0"/>
          <w:numId w:val="2"/>
        </w:numPr>
        <w:tabs>
          <w:tab w:val="clear" w:pos="709"/>
          <w:tab w:val="left" w:pos="993" w:leader="none"/>
        </w:tabs>
        <w:suppressAutoHyphens w:val="false"/>
        <w:spacing w:lineRule="auto" w:line="360"/>
        <w:jc w:val="both"/>
        <w:textAlignment w:val="baseline"/>
        <w:rPr>
          <w:rFonts w:ascii="Arial" w:hAnsi="Arial" w:cs="Arial"/>
        </w:rPr>
      </w:pPr>
      <w:r>
        <w:rPr>
          <w:rFonts w:cs="Arial" w:ascii="Arial" w:hAnsi="Arial"/>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pPr>
        <w:pStyle w:val="Standard"/>
        <w:tabs>
          <w:tab w:val="clear" w:pos="709"/>
          <w:tab w:val="left" w:pos="567" w:leader="none"/>
        </w:tabs>
        <w:spacing w:lineRule="auto" w:line="360"/>
        <w:ind w:firstLine="567"/>
        <w:jc w:val="both"/>
        <w:rPr>
          <w:rFonts w:ascii="Arial" w:hAnsi="Arial" w:eastAsia="Times New Roman" w:cs="Arial"/>
          <w:color w:val="000000"/>
          <w:sz w:val="22"/>
          <w:szCs w:val="22"/>
        </w:rPr>
      </w:pPr>
      <w:r>
        <w:rPr>
          <w:rFonts w:eastAsia="Times New Roman" w:cs="Arial" w:ascii="Arial" w:hAnsi="Arial"/>
          <w:color w:val="000000"/>
          <w:sz w:val="22"/>
          <w:szCs w:val="22"/>
        </w:rPr>
      </w:r>
    </w:p>
    <w:p>
      <w:pPr>
        <w:pStyle w:val="Standard"/>
        <w:tabs>
          <w:tab w:val="clear" w:pos="709"/>
          <w:tab w:val="left" w:pos="567" w:leader="none"/>
        </w:tabs>
        <w:spacing w:lineRule="auto" w:line="360"/>
        <w:ind w:firstLine="567"/>
        <w:jc w:val="both"/>
        <w:rPr>
          <w:rFonts w:ascii="Arial" w:hAnsi="Arial" w:cs="Arial"/>
          <w:sz w:val="22"/>
          <w:szCs w:val="22"/>
        </w:rPr>
      </w:pPr>
      <w:r>
        <w:rPr>
          <w:rFonts w:eastAsia="Times New Roman" w:cs="Arial" w:ascii="Arial" w:hAnsi="Arial"/>
          <w:color w:val="000000"/>
          <w:sz w:val="22"/>
          <w:szCs w:val="22"/>
        </w:rPr>
        <w:t xml:space="preserve"> </w:t>
      </w:r>
      <w:r>
        <w:rPr>
          <w:rFonts w:cs="Arial" w:ascii="Arial" w:hAnsi="Arial"/>
          <w:color w:val="000000"/>
          <w:sz w:val="22"/>
          <w:szCs w:val="22"/>
        </w:rPr>
        <w:tab/>
        <w:t>Local, xx de xxxx de xxxxx.</w:t>
      </w:r>
    </w:p>
    <w:p>
      <w:pPr>
        <w:pStyle w:val="Standard"/>
        <w:tabs>
          <w:tab w:val="clear" w:pos="709"/>
          <w:tab w:val="left" w:pos="567" w:leader="none"/>
        </w:tabs>
        <w:spacing w:lineRule="auto" w:line="360"/>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(NOME DO DIRIGENTE DA OSC)</w:t>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r>
    </w:p>
    <w:p>
      <w:pPr>
        <w:pStyle w:val="Standard"/>
        <w:spacing w:lineRule="auto" w:line="360"/>
        <w:jc w:val="center"/>
        <w:rPr>
          <w:rFonts w:ascii="Arial" w:hAnsi="Arial" w:cs="Arial"/>
          <w:sz w:val="22"/>
          <w:szCs w:val="22"/>
        </w:rPr>
      </w:pPr>
      <w:r>
        <w:rPr>
          <w:rFonts w:cs="Arial" w:ascii="Arial" w:hAnsi="Arial"/>
          <w:b/>
          <w:bCs/>
          <w:sz w:val="22"/>
          <w:szCs w:val="22"/>
        </w:rPr>
        <w:t>(MODELO)</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VIII</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rPr>
        <w:t>DECLARAÇÃO DE ENDEREÇO ELETRÔNICO</w:t>
      </w:r>
    </w:p>
    <w:p>
      <w:pPr>
        <w:pStyle w:val="Standard"/>
        <w:tabs>
          <w:tab w:val="clear" w:pos="709"/>
          <w:tab w:val="left" w:pos="567" w:leader="none"/>
        </w:tab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ind w:firstLine="567"/>
        <w:jc w:val="both"/>
        <w:rPr>
          <w:rFonts w:ascii="Arial" w:hAnsi="Arial" w:cs="Arial"/>
          <w:sz w:val="22"/>
          <w:szCs w:val="22"/>
        </w:rPr>
      </w:pPr>
      <w:r>
        <w:rPr>
          <w:rFonts w:cs="Arial" w:ascii="Arial" w:hAnsi="Arial"/>
          <w:color w:val="000000"/>
          <w:sz w:val="22"/>
          <w:szCs w:val="22"/>
        </w:rPr>
        <w:t>Declaro para os devidos fins e efeitos de direitos, que a [identificação da organização da sociedade civil – OSC], possui o endereço eletrônico [identificação do endereço eletrônico da entidade], onde receberá toda e qualquer informação/notificação/convocação, decorrentes do Chamamento Público e consequente Termo de Colaboração.</w:t>
      </w:r>
    </w:p>
    <w:p>
      <w:pPr>
        <w:pStyle w:val="Standard"/>
        <w:spacing w:lineRule="auto" w:line="360"/>
        <w:ind w:right="51"/>
        <w:jc w:val="both"/>
        <w:rPr>
          <w:rFonts w:ascii="Arial" w:hAnsi="Arial" w:cs="Arial"/>
          <w:color w:val="000000"/>
          <w:sz w:val="22"/>
          <w:szCs w:val="22"/>
        </w:rPr>
      </w:pPr>
      <w:r>
        <w:rPr>
          <w:rFonts w:cs="Arial" w:ascii="Arial" w:hAnsi="Arial"/>
          <w:color w:val="000000"/>
          <w:sz w:val="22"/>
          <w:szCs w:val="22"/>
        </w:rPr>
      </w:r>
    </w:p>
    <w:p>
      <w:pPr>
        <w:pStyle w:val="Standard"/>
        <w:spacing w:lineRule="auto" w:line="360"/>
        <w:ind w:right="51"/>
        <w:jc w:val="both"/>
        <w:rPr>
          <w:rFonts w:ascii="Arial" w:hAnsi="Arial" w:cs="Arial"/>
          <w:sz w:val="22"/>
          <w:szCs w:val="22"/>
        </w:rPr>
      </w:pPr>
      <w:r>
        <w:rPr>
          <w:rFonts w:cs="Arial" w:ascii="Arial" w:hAnsi="Arial"/>
          <w:color w:val="000000"/>
          <w:sz w:val="22"/>
          <w:szCs w:val="22"/>
        </w:rPr>
        <w:tab/>
        <w:t>A entidade está ciente que em caso de alteração do endereço eletrônico acima informado, deverá comunicar imediatamente a Prefeitura do Município de Itatiba o novo endereço eletrônico, estando ciente da validade das notificações e comunicações enviadas pela Prefeitura do Município de Itatiba ao endereço eletrônico acima indicado, caso não seja informado formalmente a sua eventual alteração.</w:t>
      </w:r>
    </w:p>
    <w:p>
      <w:pPr>
        <w:pStyle w:val="Standard"/>
        <w:spacing w:lineRule="auto" w:line="360"/>
        <w:ind w:right="51"/>
        <w:jc w:val="both"/>
        <w:rPr>
          <w:rFonts w:ascii="Arial" w:hAnsi="Arial" w:cs="Arial"/>
          <w:color w:val="000000"/>
          <w:sz w:val="22"/>
          <w:szCs w:val="22"/>
        </w:rPr>
      </w:pPr>
      <w:r>
        <w:rPr>
          <w:rFonts w:cs="Arial" w:ascii="Arial" w:hAnsi="Arial"/>
          <w:color w:val="000000"/>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ab/>
        <w:t>Local, ___________________________</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(NOME DO DIRIGENTE DA OSC)</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Standard"/>
        <w:spacing w:lineRule="auto" w:line="360"/>
        <w:jc w:val="both"/>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Standard"/>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Standard"/>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Standard"/>
        <w:spacing w:lineRule="auto" w:line="360"/>
        <w:jc w:val="center"/>
        <w:rPr>
          <w:rFonts w:ascii="Arial" w:hAnsi="Arial" w:cs="Arial"/>
          <w:sz w:val="22"/>
          <w:szCs w:val="22"/>
        </w:rPr>
      </w:pPr>
      <w:r>
        <w:rPr>
          <w:rFonts w:cs="Arial" w:ascii="Arial" w:hAnsi="Arial"/>
          <w:b/>
          <w:bCs/>
          <w:color w:val="000000"/>
          <w:sz w:val="22"/>
          <w:szCs w:val="22"/>
        </w:rPr>
        <w:t>(MODELO)</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IX</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rPr>
        <w:t>MINUTA DO TERMO DE COLABORAÇÃO</w:t>
      </w:r>
    </w:p>
    <w:p>
      <w:pPr>
        <w:pStyle w:val="Standard"/>
        <w:spacing w:lineRule="auto" w:line="360"/>
        <w:jc w:val="center"/>
        <w:rPr>
          <w:rFonts w:ascii="Arial" w:hAnsi="Arial" w:cs="Arial"/>
          <w:sz w:val="22"/>
          <w:szCs w:val="22"/>
        </w:rPr>
      </w:pPr>
      <w:r>
        <w:rPr>
          <w:rFonts w:cs="Arial" w:ascii="Arial" w:hAnsi="Arial"/>
          <w:b/>
          <w:bCs/>
          <w:color w:val="000000"/>
          <w:sz w:val="22"/>
          <w:szCs w:val="22"/>
          <w:lang w:val="pt-PT"/>
        </w:rPr>
        <w:t>TERMO DE COLABORAÇÃO Nº XXXX/XXXX</w:t>
      </w:r>
    </w:p>
    <w:p>
      <w:pPr>
        <w:pStyle w:val="Standard"/>
        <w:spacing w:lineRule="auto" w:line="360"/>
        <w:jc w:val="both"/>
        <w:rPr>
          <w:rFonts w:ascii="Arial" w:hAnsi="Arial" w:cs="Arial"/>
          <w:b/>
          <w:bCs/>
          <w:color w:val="000000"/>
          <w:sz w:val="22"/>
          <w:szCs w:val="22"/>
          <w:lang w:val="pt-PT"/>
        </w:rPr>
      </w:pPr>
      <w:r>
        <w:rPr>
          <w:rFonts w:cs="Arial" w:ascii="Arial" w:hAnsi="Arial"/>
          <w:b/>
          <w:bCs/>
          <w:color w:val="000000"/>
          <w:sz w:val="22"/>
          <w:szCs w:val="22"/>
          <w:lang w:val="pt-PT"/>
        </w:rPr>
      </w:r>
    </w:p>
    <w:p>
      <w:pPr>
        <w:pStyle w:val="Standard"/>
        <w:spacing w:lineRule="auto" w:line="360"/>
        <w:ind w:left="3119"/>
        <w:jc w:val="both"/>
        <w:rPr>
          <w:rFonts w:ascii="Arial" w:hAnsi="Arial" w:cs="Arial"/>
          <w:b/>
          <w:bCs/>
          <w:color w:val="000000"/>
          <w:sz w:val="22"/>
          <w:szCs w:val="22"/>
          <w:lang w:val="pt-PT"/>
        </w:rPr>
      </w:pPr>
      <w:r>
        <w:rPr>
          <w:rFonts w:cs="Arial" w:ascii="Arial" w:hAnsi="Arial"/>
          <w:b/>
          <w:bCs/>
          <w:color w:val="000000"/>
          <w:sz w:val="22"/>
          <w:szCs w:val="22"/>
          <w:lang w:val="pt-PT"/>
        </w:rPr>
        <w:t xml:space="preserve">TERMO DE COLABORAÇÃO QUE ENTRE SI CELEBRAM A PREFEITURA DO MUNICÍPIO DE ITATIBA, POR INTERMÉDIO DA SECRETARIA MUNICIPAL DE SAÚDE, COM AUTORIZAÇÃO DO CHEFE DO PODER EXECUTIVO, E A ORGANIZAÇÃO DA SOCIEDADE CIVIL SEM FINS LUCRATIVOS (OSC) _____ PARA A CONSECUÇÃO DE FINALIDADE DE INTERESSE PÚBLICO E RECÍPROCO, EM REGIME DE MÚTUA COOPERAÇÃO E COM A UNIÃO DE ESFORÇOS, ENVOLVENDO A TRANSFERÊNCIA DE RECURSOS FINANCEIROS, </w:t>
      </w:r>
      <w:r>
        <w:rPr>
          <w:rFonts w:cs="Arial" w:ascii="Arial" w:hAnsi="Arial"/>
          <w:b/>
          <w:bCs/>
          <w:color w:val="000000"/>
          <w:sz w:val="22"/>
          <w:szCs w:val="22"/>
        </w:rPr>
        <w:t>para oferta de até 10 (dez) vagas, para o serviço de acolhimento de pessoas, em caráter voluntário, com problemas associados ao uso nocivo ou dependência de substância psicoativa, caracterizadas como COMUNIDADES TERAPÊUTICAS</w:t>
      </w:r>
      <w:r>
        <w:rPr>
          <w:rFonts w:eastAsia="Times New Roman" w:cs="Arial" w:ascii="Arial" w:hAnsi="Arial"/>
          <w:b/>
          <w:bCs/>
          <w:sz w:val="22"/>
          <w:szCs w:val="22"/>
        </w:rPr>
        <w:t xml:space="preserve">, </w:t>
      </w:r>
      <w:r>
        <w:rPr>
          <w:rFonts w:cs="Arial" w:ascii="Arial" w:hAnsi="Arial"/>
          <w:b/>
          <w:bCs/>
          <w:color w:val="000000"/>
          <w:sz w:val="22"/>
          <w:szCs w:val="22"/>
          <w:lang w:val="pt-PT"/>
        </w:rPr>
        <w:t>NOS TERMOS E CONDIÇÕES ESPECIFICADOS NO EDITAL, EM SEUS ANEXOS E NESTE TERMO DE COLABORAÇÃO.</w:t>
      </w:r>
    </w:p>
    <w:p>
      <w:pPr>
        <w:pStyle w:val="Standard"/>
        <w:spacing w:lineRule="auto" w:line="360"/>
        <w:jc w:val="both"/>
        <w:rPr>
          <w:rFonts w:ascii="Arial" w:hAnsi="Arial" w:cs="Arial"/>
          <w:b/>
          <w:bCs/>
          <w:color w:val="000000"/>
          <w:sz w:val="22"/>
          <w:szCs w:val="22"/>
          <w:lang w:val="pt-PT"/>
        </w:rPr>
      </w:pPr>
      <w:r>
        <w:rPr>
          <w:rFonts w:cs="Arial" w:ascii="Arial" w:hAnsi="Arial"/>
          <w:b/>
          <w:bCs/>
          <w:color w:val="000000"/>
          <w:sz w:val="22"/>
          <w:szCs w:val="22"/>
          <w:lang w:val="pt-PT"/>
        </w:rPr>
      </w:r>
    </w:p>
    <w:p>
      <w:pPr>
        <w:pStyle w:val="Standard"/>
        <w:spacing w:lineRule="auto" w:line="360"/>
        <w:jc w:val="both"/>
        <w:rPr>
          <w:rFonts w:ascii="Arial" w:hAnsi="Arial" w:cs="Arial"/>
          <w:sz w:val="22"/>
          <w:szCs w:val="22"/>
        </w:rPr>
      </w:pPr>
      <w:r>
        <w:rPr>
          <w:rFonts w:cs="Arial" w:ascii="Arial" w:hAnsi="Arial"/>
          <w:color w:val="000000"/>
          <w:sz w:val="22"/>
          <w:szCs w:val="22"/>
        </w:rPr>
        <w:tab/>
        <w:t>Pelo presente instrumento, de um lado, a</w:t>
      </w:r>
      <w:r>
        <w:rPr>
          <w:rFonts w:cs="Arial" w:ascii="Arial" w:hAnsi="Arial"/>
          <w:b/>
          <w:color w:val="000000"/>
          <w:sz w:val="22"/>
          <w:szCs w:val="22"/>
        </w:rPr>
        <w:t xml:space="preserve"> </w:t>
      </w:r>
      <w:r>
        <w:rPr>
          <w:rFonts w:cs="Arial" w:ascii="Arial" w:hAnsi="Arial"/>
          <w:b/>
          <w:bCs/>
          <w:color w:val="000000"/>
          <w:sz w:val="22"/>
          <w:szCs w:val="22"/>
        </w:rPr>
        <w:t>PREFEITURA DO MUNICÍPIO DE ITATIBA</w:t>
      </w:r>
      <w:r>
        <w:rPr>
          <w:rFonts w:cs="Arial" w:ascii="Arial" w:hAnsi="Arial"/>
          <w:color w:val="000000"/>
          <w:sz w:val="22"/>
          <w:szCs w:val="22"/>
        </w:rPr>
        <w:t>, com endereço na Av. Luciano Consoline, 600, Jardim de Lucca, em Itatiba, Estado de São Paulo, inscrita no CNPJ sob o nº 50.122.571/0001-77, representada por (</w:t>
      </w:r>
      <w:r>
        <w:rPr>
          <w:rFonts w:cs="Arial" w:ascii="Arial" w:hAnsi="Arial"/>
          <w:color w:val="000000"/>
          <w:sz w:val="22"/>
          <w:szCs w:val="22"/>
          <w:u w:val="single"/>
        </w:rPr>
        <w:t>qualificação completa</w:t>
      </w:r>
      <w:r>
        <w:rPr>
          <w:rFonts w:cs="Arial" w:ascii="Arial" w:hAnsi="Arial"/>
          <w:color w:val="000000"/>
          <w:sz w:val="22"/>
          <w:szCs w:val="22"/>
        </w:rPr>
        <w:t xml:space="preserve">), doravante denominada apenas </w:t>
      </w:r>
      <w:r>
        <w:rPr>
          <w:rFonts w:cs="Arial" w:ascii="Arial" w:hAnsi="Arial"/>
          <w:b/>
          <w:bCs/>
          <w:color w:val="000000"/>
          <w:sz w:val="22"/>
          <w:szCs w:val="22"/>
        </w:rPr>
        <w:t>ADMINISTRAÇÃO PÚBLICA MUNICIPAL</w:t>
      </w:r>
      <w:r>
        <w:rPr>
          <w:rFonts w:cs="Arial" w:ascii="Arial" w:hAnsi="Arial"/>
          <w:color w:val="000000"/>
          <w:sz w:val="22"/>
          <w:szCs w:val="22"/>
        </w:rPr>
        <w:t xml:space="preserve"> e, de outro lado, a </w:t>
      </w:r>
      <w:r>
        <w:rPr>
          <w:rFonts w:cs="Arial" w:ascii="Arial" w:hAnsi="Arial"/>
          <w:b/>
          <w:bCs/>
          <w:color w:val="000000"/>
          <w:sz w:val="22"/>
          <w:szCs w:val="22"/>
          <w:lang w:val="pt-PT"/>
        </w:rPr>
        <w:t>ORGANIZAÇÃO DA SOCIEDADE CIVIL SEM FINS LUCRATIVOS __________</w:t>
      </w:r>
      <w:r>
        <w:rPr>
          <w:rFonts w:cs="Arial" w:ascii="Arial" w:hAnsi="Arial"/>
          <w:color w:val="000000"/>
          <w:sz w:val="22"/>
          <w:szCs w:val="22"/>
          <w:lang w:val="pt-PT"/>
        </w:rPr>
        <w:t xml:space="preserve"> qualificação completa, representada por (qualificação completa), doravante denominada apenas</w:t>
      </w:r>
      <w:r>
        <w:rPr>
          <w:rFonts w:cs="Arial" w:ascii="Arial" w:hAnsi="Arial"/>
          <w:b/>
          <w:bCs/>
          <w:color w:val="000000"/>
          <w:sz w:val="22"/>
          <w:szCs w:val="22"/>
          <w:lang w:val="pt-PT"/>
        </w:rPr>
        <w:t xml:space="preserve"> OSC</w:t>
      </w:r>
      <w:r>
        <w:rPr>
          <w:rFonts w:cs="Arial" w:ascii="Arial" w:hAnsi="Arial"/>
          <w:color w:val="000000"/>
          <w:sz w:val="22"/>
          <w:szCs w:val="22"/>
          <w:lang w:val="pt-PT"/>
        </w:rPr>
        <w:t xml:space="preserve">, com fundamento no artigo 2°, inciso VII da Lei Federal n° 13.019/2014, </w:t>
      </w:r>
      <w:r>
        <w:rPr>
          <w:rFonts w:cs="Arial" w:ascii="Arial" w:hAnsi="Arial"/>
          <w:color w:val="000000"/>
          <w:sz w:val="22"/>
          <w:szCs w:val="22"/>
        </w:rPr>
        <w:t xml:space="preserve">e demais legislação aplicável à espécie, </w:t>
      </w:r>
      <w:r>
        <w:rPr>
          <w:rFonts w:cs="Arial" w:ascii="Arial" w:hAnsi="Arial"/>
          <w:color w:val="000000"/>
          <w:sz w:val="22"/>
          <w:szCs w:val="22"/>
          <w:lang w:val="pt-PT"/>
        </w:rPr>
        <w:t>celebram a presente parceria, nos termos e cláusulas que seguem:</w:t>
      </w:r>
    </w:p>
    <w:p>
      <w:pPr>
        <w:pStyle w:val="Standard"/>
        <w:spacing w:lineRule="auto" w:line="360"/>
        <w:jc w:val="both"/>
        <w:rPr>
          <w:rFonts w:ascii="Arial" w:hAnsi="Arial" w:cs="Arial"/>
          <w:b/>
          <w:bCs/>
          <w:color w:val="000000"/>
          <w:sz w:val="22"/>
          <w:szCs w:val="22"/>
          <w:lang w:val="pt-PT"/>
        </w:rPr>
      </w:pPr>
      <w:r>
        <w:rPr>
          <w:rFonts w:cs="Arial" w:ascii="Arial" w:hAnsi="Arial"/>
          <w:b/>
          <w:bCs/>
          <w:color w:val="000000"/>
          <w:sz w:val="22"/>
          <w:szCs w:val="22"/>
          <w:lang w:val="pt-PT"/>
        </w:rPr>
      </w:r>
    </w:p>
    <w:p>
      <w:pPr>
        <w:pStyle w:val="Standard"/>
        <w:spacing w:lineRule="auto" w:line="360"/>
        <w:jc w:val="both"/>
        <w:rPr>
          <w:rFonts w:ascii="Arial" w:hAnsi="Arial" w:cs="Arial"/>
          <w:sz w:val="22"/>
          <w:szCs w:val="22"/>
        </w:rPr>
      </w:pPr>
      <w:r>
        <w:rPr>
          <w:rFonts w:cs="Arial" w:ascii="Arial" w:hAnsi="Arial"/>
          <w:b/>
          <w:bCs/>
          <w:color w:val="000000"/>
          <w:sz w:val="22"/>
          <w:szCs w:val="22"/>
          <w:lang w:val="pt-PT"/>
        </w:rPr>
        <w:tab/>
        <w:t>CLÁUSULA PRIMEIRA – DO OBJETO DO TERMO DE COLABORAÇÃO</w:t>
      </w:r>
    </w:p>
    <w:p>
      <w:pPr>
        <w:pStyle w:val="Normal"/>
        <w:spacing w:lineRule="auto" w:line="360"/>
        <w:jc w:val="both"/>
        <w:rPr>
          <w:rFonts w:ascii="Arial" w:hAnsi="Arial" w:cs="Arial"/>
          <w:sz w:val="22"/>
          <w:szCs w:val="22"/>
        </w:rPr>
      </w:pPr>
      <w:r>
        <w:rPr>
          <w:rFonts w:cs="Arial" w:ascii="Arial" w:hAnsi="Arial"/>
          <w:color w:val="000000"/>
          <w:sz w:val="22"/>
          <w:szCs w:val="22"/>
          <w:lang w:val="pt-PT"/>
        </w:rPr>
        <w:tab/>
        <w:t xml:space="preserve">1.1. O presente Termo de </w:t>
      </w:r>
      <w:r>
        <w:rPr>
          <w:rFonts w:cs="Arial" w:ascii="Arial" w:hAnsi="Arial"/>
          <w:color w:val="000000"/>
          <w:sz w:val="22"/>
          <w:szCs w:val="22"/>
        </w:rPr>
        <w:t>Colaboração</w:t>
      </w:r>
      <w:r>
        <w:rPr>
          <w:rFonts w:cs="Arial" w:ascii="Arial" w:hAnsi="Arial"/>
          <w:color w:val="000000"/>
          <w:sz w:val="22"/>
          <w:szCs w:val="22"/>
          <w:lang w:val="pt-PT"/>
        </w:rPr>
        <w:t xml:space="preserve"> tem por objeto</w:t>
      </w:r>
      <w:r>
        <w:rPr>
          <w:rFonts w:cs="Arial" w:ascii="Arial" w:hAnsi="Arial"/>
          <w:bCs/>
          <w:color w:val="000000"/>
          <w:sz w:val="22"/>
          <w:szCs w:val="22"/>
        </w:rPr>
        <w:t xml:space="preserve"> e</w:t>
      </w:r>
      <w:r>
        <w:rPr>
          <w:rFonts w:cs="Arial" w:ascii="Arial" w:hAnsi="Arial"/>
          <w:color w:val="000000"/>
          <w:sz w:val="22"/>
          <w:szCs w:val="22"/>
        </w:rPr>
        <w:t xml:space="preserve">stabelecer parceria entre a Prefeitura do Município de Itatiba através da Secretaria de Saúde e OSC - Organização da Sociedade Civil, para oferta de até </w:t>
      </w:r>
      <w:r>
        <w:rPr>
          <w:rFonts w:cs="Arial" w:ascii="Arial" w:hAnsi="Arial"/>
          <w:b/>
          <w:bCs/>
          <w:sz w:val="22"/>
          <w:szCs w:val="22"/>
        </w:rPr>
        <w:t>10 (dez) vagas, para o serviço de acolhimento de pessoas, em caráter voluntário, com problemas associados ao uso nocivo ou dependência de substância psicoativa, caracterizadas como COMUNIDADES TERAPÊUTICAS.</w:t>
      </w:r>
    </w:p>
    <w:p>
      <w:pPr>
        <w:pStyle w:val="Standard"/>
        <w:widowControl/>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1.2. O detalhamento pormenorizado das atividades que serão realizadas consta do Plano de Trabalho proposto pela </w:t>
      </w:r>
      <w:r>
        <w:rPr>
          <w:rFonts w:cs="Arial" w:ascii="Arial" w:hAnsi="Arial"/>
          <w:b/>
          <w:bCs/>
          <w:color w:val="000000"/>
          <w:sz w:val="22"/>
          <w:szCs w:val="22"/>
        </w:rPr>
        <w:t>OSC</w:t>
      </w:r>
      <w:r>
        <w:rPr>
          <w:rFonts w:cs="Arial" w:ascii="Arial" w:hAnsi="Arial"/>
          <w:color w:val="000000"/>
          <w:sz w:val="22"/>
          <w:szCs w:val="22"/>
        </w:rPr>
        <w:t xml:space="preserve">, aprovado </w:t>
      </w:r>
      <w:r>
        <w:rPr>
          <w:rFonts w:cs="Arial" w:ascii="Arial" w:hAnsi="Arial"/>
          <w:b/>
          <w:bCs/>
          <w:color w:val="000000"/>
          <w:sz w:val="22"/>
          <w:szCs w:val="22"/>
        </w:rPr>
        <w:t>ADMINISTRAÇÃO PÚBLICA MUNICIPAL</w:t>
      </w:r>
      <w:r>
        <w:rPr>
          <w:rFonts w:cs="Arial" w:ascii="Arial" w:hAnsi="Arial"/>
          <w:color w:val="000000"/>
          <w:sz w:val="22"/>
          <w:szCs w:val="22"/>
        </w:rPr>
        <w:t>, o qual integra este Termo de Colaboração, para todos os efeitos, independentemente de transcrição.</w:t>
      </w:r>
    </w:p>
    <w:p>
      <w:pPr>
        <w:pStyle w:val="PargrafodaLista1"/>
        <w:widowControl w:val="false"/>
        <w:spacing w:lineRule="auto" w:line="360"/>
        <w:ind w:left="0"/>
        <w:jc w:val="both"/>
        <w:rPr>
          <w:rFonts w:ascii="Arial" w:hAnsi="Arial" w:cs="Arial"/>
          <w:color w:val="000000"/>
          <w:lang w:val="pt-PT"/>
        </w:rPr>
      </w:pPr>
      <w:r>
        <w:rPr>
          <w:rFonts w:cs="Arial" w:ascii="Arial" w:hAnsi="Arial"/>
          <w:color w:val="000000"/>
          <w:lang w:val="pt-PT"/>
        </w:rPr>
        <w:tab/>
        <w:t xml:space="preserve">1.3. Faz parte do presente Termo de </w:t>
      </w:r>
      <w:r>
        <w:rPr>
          <w:rFonts w:cs="Arial" w:ascii="Arial" w:hAnsi="Arial"/>
          <w:color w:val="000000"/>
        </w:rPr>
        <w:t>Colaboração</w:t>
      </w:r>
      <w:r>
        <w:rPr>
          <w:rFonts w:cs="Arial" w:ascii="Arial" w:hAnsi="Arial"/>
          <w:color w:val="000000"/>
          <w:lang w:val="pt-PT"/>
        </w:rPr>
        <w:t xml:space="preserve">, independentemente de transcrição, obrigando ambas as parcerias, o plano de trabalho e a proposta apresentados pela </w:t>
      </w:r>
      <w:r>
        <w:rPr>
          <w:rFonts w:cs="Arial" w:ascii="Arial" w:hAnsi="Arial"/>
          <w:b/>
          <w:bCs/>
          <w:color w:val="000000"/>
          <w:lang w:val="pt-PT"/>
        </w:rPr>
        <w:t>OSC</w:t>
      </w:r>
      <w:r>
        <w:rPr>
          <w:rFonts w:cs="Arial" w:ascii="Arial" w:hAnsi="Arial"/>
          <w:color w:val="000000"/>
          <w:lang w:val="pt-PT"/>
        </w:rPr>
        <w:t>, bem como o Edital do Chamamento Público e seus anexos.</w:t>
      </w:r>
    </w:p>
    <w:p>
      <w:pPr>
        <w:pStyle w:val="PargrafodaLista1"/>
        <w:widowControl w:val="false"/>
        <w:spacing w:lineRule="auto" w:line="360"/>
        <w:ind w:left="0"/>
        <w:jc w:val="both"/>
        <w:rPr>
          <w:rFonts w:ascii="Arial" w:hAnsi="Arial" w:cs="Arial"/>
        </w:rPr>
      </w:pPr>
      <w:r>
        <w:rPr>
          <w:rFonts w:cs="Arial" w:ascii="Arial" w:hAnsi="Arial"/>
          <w:color w:val="000000"/>
          <w:lang w:val="pt-PT"/>
        </w:rPr>
        <w:tab/>
        <w:t xml:space="preserve">1.4. Fica vedada a subcontratação para a realização das atividades objeto deste Termo de </w:t>
      </w:r>
      <w:r>
        <w:rPr>
          <w:rFonts w:cs="Arial" w:ascii="Arial" w:hAnsi="Arial"/>
          <w:color w:val="000000"/>
        </w:rPr>
        <w:t>Colaboração</w:t>
      </w:r>
      <w:r>
        <w:rPr>
          <w:rFonts w:cs="Arial" w:ascii="Arial" w:hAnsi="Arial"/>
          <w:color w:val="000000"/>
          <w:lang w:val="pt-PT"/>
        </w:rPr>
        <w:t>.</w:t>
      </w:r>
    </w:p>
    <w:p>
      <w:pPr>
        <w:pStyle w:val="Standard"/>
        <w:spacing w:lineRule="auto" w:line="360"/>
        <w:jc w:val="both"/>
        <w:rPr>
          <w:rFonts w:ascii="Arial" w:hAnsi="Arial" w:cs="Arial"/>
          <w:bCs/>
          <w:color w:val="000000"/>
          <w:sz w:val="22"/>
          <w:szCs w:val="22"/>
          <w:lang w:val="pt-PT"/>
        </w:rPr>
      </w:pPr>
      <w:r>
        <w:rPr>
          <w:rFonts w:cs="Arial" w:ascii="Arial" w:hAnsi="Arial"/>
          <w:bCs/>
          <w:color w:val="000000"/>
          <w:sz w:val="22"/>
          <w:szCs w:val="22"/>
          <w:lang w:val="pt-PT"/>
        </w:rPr>
      </w:r>
    </w:p>
    <w:p>
      <w:pPr>
        <w:pStyle w:val="Standard"/>
        <w:spacing w:lineRule="auto" w:line="360"/>
        <w:jc w:val="both"/>
        <w:rPr>
          <w:rFonts w:ascii="Arial" w:hAnsi="Arial" w:cs="Arial"/>
          <w:sz w:val="22"/>
          <w:szCs w:val="22"/>
        </w:rPr>
      </w:pPr>
      <w:r>
        <w:rPr>
          <w:rFonts w:cs="Arial" w:ascii="Arial" w:hAnsi="Arial"/>
          <w:b/>
          <w:bCs/>
          <w:color w:val="000000"/>
          <w:sz w:val="22"/>
          <w:szCs w:val="22"/>
        </w:rPr>
        <w:tab/>
        <w:t>CLÁUSULA SEGUNDA - DO PRAZO DA PARCERIA E DA ALTERAÇÃO DO PLANO DE TRABALHO</w:t>
      </w:r>
    </w:p>
    <w:p>
      <w:pPr>
        <w:pStyle w:val="Standard"/>
        <w:spacing w:lineRule="auto" w:line="360"/>
        <w:jc w:val="both"/>
        <w:rPr>
          <w:rFonts w:ascii="Arial" w:hAnsi="Arial" w:cs="Arial"/>
          <w:sz w:val="22"/>
          <w:szCs w:val="22"/>
        </w:rPr>
      </w:pPr>
      <w:r>
        <w:rPr>
          <w:rFonts w:cs="Arial" w:ascii="Arial" w:hAnsi="Arial"/>
          <w:color w:val="000000"/>
          <w:sz w:val="22"/>
          <w:szCs w:val="22"/>
        </w:rPr>
        <w:tab/>
      </w:r>
      <w:r>
        <w:rPr>
          <w:rFonts w:cs="Arial" w:ascii="Arial" w:hAnsi="Arial"/>
          <w:color w:val="000000"/>
          <w:sz w:val="22"/>
          <w:szCs w:val="22"/>
          <w:highlight w:val="yellow"/>
        </w:rPr>
        <w:t xml:space="preserve">2.1. O prazo inicial da parceria será de 12 (doze) meses, a contar da assinatura do Termo de Colaboração, podendo ser renovada por iguais e sucessivos períodos, a critério da </w:t>
      </w:r>
      <w:r>
        <w:rPr>
          <w:rFonts w:cs="Arial" w:ascii="Arial" w:hAnsi="Arial"/>
          <w:b/>
          <w:bCs/>
          <w:color w:val="000000"/>
          <w:sz w:val="22"/>
          <w:szCs w:val="22"/>
          <w:highlight w:val="yellow"/>
        </w:rPr>
        <w:t>ADMINISTRAÇÃO PÚBLICA MUNICIPAL</w:t>
      </w:r>
      <w:r>
        <w:rPr>
          <w:rFonts w:cs="Arial" w:ascii="Arial" w:hAnsi="Arial"/>
          <w:color w:val="000000"/>
          <w:sz w:val="22"/>
          <w:szCs w:val="22"/>
          <w:highlight w:val="yellow"/>
        </w:rPr>
        <w:t xml:space="preserve"> e em concordância da </w:t>
      </w:r>
      <w:r>
        <w:rPr>
          <w:rFonts w:cs="Arial" w:ascii="Arial" w:hAnsi="Arial"/>
          <w:b/>
          <w:bCs/>
          <w:color w:val="000000"/>
          <w:sz w:val="22"/>
          <w:szCs w:val="22"/>
          <w:highlight w:val="yellow"/>
        </w:rPr>
        <w:t>OSC</w:t>
      </w:r>
      <w:r>
        <w:rPr>
          <w:rFonts w:cs="Arial" w:ascii="Arial" w:hAnsi="Arial"/>
          <w:color w:val="000000"/>
          <w:sz w:val="22"/>
          <w:szCs w:val="22"/>
          <w:highlight w:val="yellow"/>
        </w:rPr>
        <w:t>, até o prazo máximo de 120 (cento e vinte) meses.</w:t>
      </w:r>
    </w:p>
    <w:p>
      <w:pPr>
        <w:pStyle w:val="Standard"/>
        <w:spacing w:lineRule="auto" w:line="360"/>
        <w:ind w:left="709"/>
        <w:jc w:val="both"/>
        <w:rPr>
          <w:rFonts w:ascii="Arial" w:hAnsi="Arial" w:cs="Arial"/>
          <w:sz w:val="22"/>
          <w:szCs w:val="22"/>
        </w:rPr>
      </w:pPr>
      <w:r>
        <w:rPr>
          <w:rFonts w:cs="Arial" w:ascii="Arial" w:hAnsi="Arial"/>
          <w:color w:val="000000"/>
          <w:sz w:val="22"/>
          <w:szCs w:val="22"/>
        </w:rPr>
        <w:t xml:space="preserve">2.1.1 – </w:t>
      </w:r>
      <w:r>
        <w:rPr>
          <w:rFonts w:cs="Arial" w:ascii="Arial" w:hAnsi="Arial"/>
          <w:sz w:val="22"/>
          <w:szCs w:val="22"/>
        </w:rPr>
        <w:t>Após 12 (doze) meses, o valor contratado poderá ser reajustado com base na variação do IPCA-IBGE, considerando-se como data-base a data do orçamento estimado.</w:t>
      </w:r>
    </w:p>
    <w:p>
      <w:pPr>
        <w:pStyle w:val="Standard"/>
        <w:spacing w:lineRule="auto" w:line="360"/>
        <w:ind w:firstLine="709"/>
        <w:jc w:val="both"/>
        <w:rPr>
          <w:rFonts w:ascii="Arial" w:hAnsi="Arial" w:cs="Arial"/>
          <w:sz w:val="22"/>
          <w:szCs w:val="22"/>
        </w:rPr>
      </w:pPr>
      <w:r>
        <w:rPr>
          <w:rFonts w:cs="Arial" w:ascii="Arial" w:hAnsi="Arial"/>
          <w:color w:val="000000"/>
          <w:sz w:val="22"/>
          <w:szCs w:val="22"/>
        </w:rPr>
        <w:t xml:space="preserve">2.2. A vigência da parceria poderá ser alterada mediante solicitação da </w:t>
      </w:r>
      <w:r>
        <w:rPr>
          <w:rFonts w:cs="Arial" w:ascii="Arial" w:hAnsi="Arial"/>
          <w:b/>
          <w:bCs/>
          <w:color w:val="000000"/>
          <w:sz w:val="22"/>
          <w:szCs w:val="22"/>
        </w:rPr>
        <w:t>OSC</w:t>
      </w:r>
      <w:r>
        <w:rPr>
          <w:rFonts w:cs="Arial" w:ascii="Arial" w:hAnsi="Arial"/>
          <w:color w:val="000000"/>
          <w:sz w:val="22"/>
          <w:szCs w:val="22"/>
        </w:rPr>
        <w:t xml:space="preserve">, devidamente formalizada e justificada, a ser apresentada à </w:t>
      </w:r>
      <w:r>
        <w:rPr>
          <w:rFonts w:cs="Arial" w:ascii="Arial" w:hAnsi="Arial"/>
          <w:b/>
          <w:bCs/>
          <w:color w:val="000000"/>
          <w:sz w:val="22"/>
          <w:szCs w:val="22"/>
        </w:rPr>
        <w:t xml:space="preserve">ADMINISTRAÇÃO PÚBLICA MUNICIPAL </w:t>
      </w:r>
      <w:r>
        <w:rPr>
          <w:rFonts w:cs="Arial" w:ascii="Arial" w:hAnsi="Arial"/>
          <w:color w:val="000000"/>
          <w:sz w:val="22"/>
          <w:szCs w:val="22"/>
        </w:rPr>
        <w:t xml:space="preserve">em, no mínimo, 30 (trinta) dias antes do termo inicialmente previsto, sendo que a prorrogação de ofício da vigência do Termo de Colaboração deve ser feita pela </w:t>
      </w:r>
      <w:r>
        <w:rPr>
          <w:rFonts w:cs="Arial" w:ascii="Arial" w:hAnsi="Arial"/>
          <w:b/>
          <w:bCs/>
          <w:color w:val="000000"/>
          <w:sz w:val="22"/>
          <w:szCs w:val="22"/>
        </w:rPr>
        <w:t xml:space="preserve">ADMINISTRAÇÃO PÚBLICA MUNICIPAL </w:t>
      </w:r>
      <w:r>
        <w:rPr>
          <w:rFonts w:cs="Arial" w:ascii="Arial" w:hAnsi="Arial"/>
          <w:color w:val="000000"/>
          <w:sz w:val="22"/>
          <w:szCs w:val="22"/>
        </w:rPr>
        <w:t>quando ela der causa a atraso na liberação de recursos financeiros, limitada ao exato período do atraso verificado (art. 55, caput e parágrafo único, da Lei nº 13.019/14).</w:t>
      </w:r>
    </w:p>
    <w:p>
      <w:pPr>
        <w:pStyle w:val="Textbody"/>
        <w:widowControl w:val="false"/>
        <w:spacing w:lineRule="auto" w:line="360" w:before="0" w:after="0"/>
        <w:ind w:firstLine="525"/>
        <w:jc w:val="both"/>
        <w:rPr>
          <w:rFonts w:ascii="Arial" w:hAnsi="Arial" w:cs="Arial"/>
        </w:rPr>
      </w:pPr>
      <w:r>
        <w:rPr>
          <w:rFonts w:cs="Arial" w:ascii="Arial" w:hAnsi="Arial"/>
          <w:color w:val="000000"/>
        </w:rPr>
        <w:t>2.3. O plano de trabalho da parceria poderá ser revisto para alteração de valores ou de metas, mediante termo aditivo ou por apostila ao plano de trabalho original (art. 57 da Lei nº 13.019/14).</w:t>
      </w:r>
    </w:p>
    <w:p>
      <w:pPr>
        <w:pStyle w:val="Standard"/>
        <w:spacing w:lineRule="auto" w:line="360"/>
        <w:jc w:val="both"/>
        <w:rPr>
          <w:rFonts w:ascii="Arial" w:hAnsi="Arial" w:cs="Arial"/>
          <w:b/>
          <w:color w:val="000000"/>
          <w:sz w:val="22"/>
          <w:szCs w:val="22"/>
          <w:lang w:val="pt-PT"/>
        </w:rPr>
      </w:pPr>
      <w:r>
        <w:rPr>
          <w:rFonts w:cs="Arial" w:ascii="Arial" w:hAnsi="Arial"/>
          <w:b/>
          <w:color w:val="000000"/>
          <w:sz w:val="22"/>
          <w:szCs w:val="22"/>
          <w:lang w:val="pt-PT"/>
        </w:rPr>
      </w:r>
    </w:p>
    <w:p>
      <w:pPr>
        <w:pStyle w:val="Standard"/>
        <w:spacing w:lineRule="auto" w:line="360"/>
        <w:jc w:val="both"/>
        <w:rPr>
          <w:rFonts w:ascii="Arial" w:hAnsi="Arial" w:cs="Arial"/>
          <w:sz w:val="22"/>
          <w:szCs w:val="22"/>
        </w:rPr>
      </w:pPr>
      <w:r>
        <w:rPr>
          <w:rFonts w:cs="Arial" w:ascii="Arial" w:hAnsi="Arial"/>
          <w:b/>
          <w:bCs/>
          <w:color w:val="000000"/>
          <w:sz w:val="22"/>
          <w:szCs w:val="22"/>
          <w:lang w:val="pt-PT"/>
        </w:rPr>
        <w:tab/>
        <w:t>CLÁUSULA TERCEIRA – DOS RECURSOS FINANCEIROS E DO CRONOGRAMA DE DESEMBOLSO</w:t>
      </w:r>
    </w:p>
    <w:p>
      <w:pPr>
        <w:pStyle w:val="Standard"/>
        <w:tabs>
          <w:tab w:val="clear" w:pos="709"/>
          <w:tab w:val="left" w:pos="567" w:leader="none"/>
        </w:tabs>
        <w:spacing w:lineRule="auto" w:line="360"/>
        <w:jc w:val="both"/>
        <w:rPr>
          <w:rFonts w:ascii="Arial" w:hAnsi="Arial" w:cs="Arial"/>
          <w:color w:val="000000"/>
          <w:sz w:val="22"/>
          <w:szCs w:val="22"/>
        </w:rPr>
      </w:pPr>
      <w:r>
        <w:rPr>
          <w:rFonts w:cs="Arial" w:ascii="Arial" w:hAnsi="Arial"/>
          <w:color w:val="000000"/>
          <w:sz w:val="22"/>
          <w:szCs w:val="22"/>
        </w:rPr>
        <w:tab/>
        <w:t>3.1. Os créditos orçamentários necessários ao custeio de despesas relativas ao presente Edital são provenientes da dotação orçamentária 3.3.50.39.00 – Outros Serviços de Terceiros-Pessoa Jurídica; 10.302.0007.2.028 – Manutenção da Secretaria de Saúde/Fundo Municipal de Saúde/Assistência Hospitalar e Ambulatorial.</w:t>
        <w:tab/>
      </w:r>
    </w:p>
    <w:p>
      <w:pPr>
        <w:pStyle w:val="Standard"/>
        <w:tabs>
          <w:tab w:val="clear" w:pos="709"/>
          <w:tab w:val="left" w:pos="567" w:leader="none"/>
        </w:tabs>
        <w:spacing w:lineRule="auto" w:line="360"/>
        <w:ind w:firstLine="567"/>
        <w:jc w:val="both"/>
        <w:rPr>
          <w:rFonts w:ascii="Arial" w:hAnsi="Arial" w:cs="Arial"/>
          <w:sz w:val="22"/>
          <w:szCs w:val="22"/>
        </w:rPr>
      </w:pPr>
      <w:r>
        <w:rPr>
          <w:rFonts w:cs="Arial" w:ascii="Arial" w:hAnsi="Arial"/>
          <w:color w:val="000000"/>
          <w:sz w:val="22"/>
          <w:szCs w:val="22"/>
        </w:rPr>
        <w:t>3.2. O valor total de recursos disponibilizados para a celebração da parceria será de R$ ______ (XXXXX).</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rPr>
        <w:tab/>
      </w:r>
      <w:r>
        <w:rPr>
          <w:rFonts w:cs="Arial" w:ascii="Arial" w:hAnsi="Arial"/>
          <w:color w:val="000000"/>
          <w:sz w:val="22"/>
          <w:szCs w:val="22"/>
        </w:rPr>
        <w:t xml:space="preserve">3.3. Nos termos do art. 48 da Lei nº 13.019/14, as parcelas dos recursos transferidos no âmbito desta parceria serão liberadas em estrita conformidade com o respectivo cronograma de desembolso constante do plano de trabalho apresentado pela </w:t>
      </w:r>
      <w:r>
        <w:rPr>
          <w:rFonts w:cs="Arial" w:ascii="Arial" w:hAnsi="Arial"/>
          <w:b/>
          <w:bCs/>
          <w:color w:val="000000"/>
          <w:sz w:val="22"/>
          <w:szCs w:val="22"/>
        </w:rPr>
        <w:t>OSC</w:t>
      </w:r>
      <w:r>
        <w:rPr>
          <w:rFonts w:cs="Arial" w:ascii="Arial" w:hAnsi="Arial"/>
          <w:color w:val="000000"/>
          <w:sz w:val="22"/>
          <w:szCs w:val="22"/>
        </w:rPr>
        <w:t>, exceto nos casos a seguir, nos quais ficarão retidas até o saneamento das impropriedades:</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I - quando houver evidências de irregularidade na aplicação de parcela anteriormente recebida;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 xml:space="preserve">II - quando constatado desvio de finalidade na aplicação dos recursos ou o inadimplemento da </w:t>
      </w:r>
      <w:r>
        <w:rPr>
          <w:rFonts w:cs="Arial" w:ascii="Arial" w:hAnsi="Arial"/>
          <w:b/>
          <w:bCs/>
          <w:color w:val="000000"/>
          <w:sz w:val="22"/>
          <w:szCs w:val="22"/>
        </w:rPr>
        <w:t>OSC</w:t>
      </w:r>
      <w:r>
        <w:rPr>
          <w:rFonts w:cs="Arial" w:ascii="Arial" w:hAnsi="Arial"/>
          <w:color w:val="000000"/>
          <w:sz w:val="22"/>
          <w:szCs w:val="22"/>
        </w:rPr>
        <w:t xml:space="preserve"> em relação a obrigações estabelecidas no termo de Colaboração;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 xml:space="preserve">III - quando a </w:t>
      </w:r>
      <w:r>
        <w:rPr>
          <w:rFonts w:cs="Arial" w:ascii="Arial" w:hAnsi="Arial"/>
          <w:b/>
          <w:bCs/>
          <w:color w:val="000000"/>
          <w:sz w:val="22"/>
          <w:szCs w:val="22"/>
        </w:rPr>
        <w:t>OSC</w:t>
      </w:r>
      <w:r>
        <w:rPr>
          <w:rFonts w:cs="Arial" w:ascii="Arial" w:hAnsi="Arial"/>
          <w:color w:val="000000"/>
          <w:sz w:val="22"/>
          <w:szCs w:val="22"/>
        </w:rPr>
        <w:t xml:space="preserve"> deixar de adotar sem justificativa suficiente as medidas saneadoras apontadas pela administração pública ou pelos órgãos de controle interno ou externo.</w:t>
      </w:r>
    </w:p>
    <w:p>
      <w:pPr>
        <w:pStyle w:val="Textbody"/>
        <w:spacing w:lineRule="auto" w:line="360" w:before="0" w:after="0"/>
        <w:ind w:firstLine="525"/>
        <w:jc w:val="both"/>
        <w:rPr>
          <w:rFonts w:ascii="Arial" w:hAnsi="Arial" w:cs="Arial"/>
        </w:rPr>
      </w:pPr>
      <w:r>
        <w:rPr>
          <w:rFonts w:cs="Arial" w:ascii="Arial" w:hAnsi="Arial"/>
          <w:color w:val="000000"/>
        </w:rPr>
        <w:t xml:space="preserve">34. Os recursos recebidos em decorrência desta parceria serão depositados em conta-corrente específica isenta de tarifa bancária na instituição financeira pública determinada pela </w:t>
      </w:r>
      <w:r>
        <w:rPr>
          <w:rFonts w:cs="Arial" w:ascii="Arial" w:hAnsi="Arial"/>
          <w:b/>
          <w:bCs/>
          <w:color w:val="000000"/>
        </w:rPr>
        <w:t>ADMINISTRAÇÃO PÚBLICA MUNICIPAL</w:t>
      </w:r>
      <w:r>
        <w:rPr>
          <w:rFonts w:cs="Arial" w:ascii="Arial" w:hAnsi="Arial"/>
          <w:color w:val="000000"/>
        </w:rPr>
        <w:t>,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360" w:before="0" w:after="0"/>
        <w:ind w:firstLine="525"/>
        <w:jc w:val="both"/>
        <w:rPr>
          <w:rFonts w:ascii="Arial" w:hAnsi="Arial" w:cs="Arial"/>
        </w:rPr>
      </w:pPr>
      <w:bookmarkStart w:id="33" w:name="m_4136101817286224392_art52.1"/>
      <w:bookmarkStart w:id="34" w:name="m_4136101817286224392_art521"/>
      <w:bookmarkEnd w:id="33"/>
      <w:bookmarkEnd w:id="34"/>
      <w:r>
        <w:rPr>
          <w:rFonts w:cs="Arial" w:ascii="Arial" w:hAnsi="Arial"/>
          <w:color w:val="000000"/>
        </w:rPr>
        <w:t xml:space="preserve">3.5. Por ocasião da conclusão, denúncia, rescisão ou extinção da parceria, os saldos financeiros remanescentes, inclusive os provenientes das receitas obtidas das aplicações financeiras realizadas, serão devolvidos à </w:t>
      </w:r>
      <w:r>
        <w:rPr>
          <w:rFonts w:cs="Arial" w:ascii="Arial" w:hAnsi="Arial"/>
          <w:b/>
          <w:bCs/>
          <w:color w:val="000000"/>
        </w:rPr>
        <w:t>ADMINISTRAÇÃO PÚBLICA MUNICIPAL</w:t>
      </w:r>
      <w:r>
        <w:rPr>
          <w:rFonts w:cs="Arial" w:ascii="Arial" w:hAnsi="Arial"/>
          <w:color w:val="000000"/>
        </w:rPr>
        <w:t xml:space="preserve">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360" w:before="0" w:after="0"/>
        <w:jc w:val="both"/>
        <w:rPr>
          <w:rFonts w:ascii="Arial" w:hAnsi="Arial" w:cs="Arial"/>
        </w:rPr>
      </w:pPr>
      <w:r>
        <w:rPr>
          <w:rFonts w:cs="Arial" w:ascii="Arial" w:hAnsi="Arial"/>
          <w:color w:val="000000"/>
        </w:rPr>
        <w:tab/>
        <w:t xml:space="preserve">3.6. Caso a </w:t>
      </w:r>
      <w:r>
        <w:rPr>
          <w:rFonts w:cs="Arial" w:ascii="Arial" w:hAnsi="Arial"/>
          <w:b/>
          <w:bCs/>
          <w:color w:val="000000"/>
        </w:rPr>
        <w:t>OSC</w:t>
      </w:r>
      <w:r>
        <w:rPr>
          <w:rFonts w:cs="Arial" w:ascii="Arial" w:hAnsi="Arial"/>
          <w:color w:val="000000"/>
        </w:rPr>
        <w:t xml:space="preserve"> adquira equipamentos e materiais permanentes com recursos provenientes da celebração da parceria, o bem será gravado com cláusula de inalienabilidade, e esta deverá formalizar promessa de transferência da propriedade à </w:t>
      </w:r>
      <w:r>
        <w:rPr>
          <w:rFonts w:cs="Arial" w:ascii="Arial" w:hAnsi="Arial"/>
          <w:b/>
          <w:bCs/>
          <w:color w:val="000000"/>
        </w:rPr>
        <w:t>ADMINISTRAÇÃO PÚBLICA MUNICIPAL</w:t>
      </w:r>
      <w:r>
        <w:rPr>
          <w:rFonts w:cs="Arial" w:ascii="Arial" w:hAnsi="Arial"/>
          <w:color w:val="000000"/>
        </w:rPr>
        <w:t>, na hipótese de sua extinção (art. 35, § 5º da Lei nº 13.019/14).</w:t>
      </w:r>
    </w:p>
    <w:p>
      <w:pPr>
        <w:pStyle w:val="Textbody"/>
        <w:spacing w:lineRule="auto" w:line="360" w:before="0" w:after="0"/>
        <w:ind w:firstLine="525"/>
        <w:jc w:val="both"/>
        <w:rPr>
          <w:rFonts w:ascii="Arial" w:hAnsi="Arial" w:cs="Arial"/>
        </w:rPr>
      </w:pPr>
      <w:r>
        <w:rPr>
          <w:rFonts w:cs="Arial" w:ascii="Arial" w:hAnsi="Arial"/>
          <w:color w:val="000000"/>
        </w:rPr>
        <w:tab/>
        <w:t>3.7. No caso do item 4.6 deste Termo de Colaboração,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360" w:before="0" w:after="0"/>
        <w:ind w:firstLine="525"/>
        <w:jc w:val="both"/>
        <w:rPr>
          <w:rFonts w:ascii="Arial" w:hAnsi="Arial" w:cs="Arial"/>
        </w:rPr>
      </w:pPr>
      <w:r>
        <w:rPr>
          <w:rFonts w:cs="Arial" w:ascii="Arial" w:hAnsi="Arial"/>
          <w:color w:val="000000"/>
        </w:rPr>
        <w:t>3.8.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360" w:before="0" w:after="0"/>
        <w:jc w:val="both"/>
        <w:rPr>
          <w:rFonts w:ascii="Arial" w:hAnsi="Arial" w:cs="Arial"/>
        </w:rPr>
      </w:pPr>
      <w:r>
        <w:rPr>
          <w:rFonts w:cs="Arial" w:ascii="Arial" w:hAnsi="Arial"/>
          <w:color w:val="000000"/>
        </w:rPr>
        <w:tab/>
        <w:t>3.9. As despesas relacionadas à execução da parceria serão executadas nos termos dos incisos XIX e XX do art. 42 da Lei nº 13.019/14, sendo vedado:</w:t>
      </w:r>
    </w:p>
    <w:p>
      <w:pPr>
        <w:pStyle w:val="Textbody"/>
        <w:tabs>
          <w:tab w:val="clear" w:pos="709"/>
          <w:tab w:val="left" w:pos="567" w:leader="none"/>
        </w:tabs>
        <w:spacing w:lineRule="auto" w:line="360" w:before="0" w:after="0"/>
        <w:jc w:val="both"/>
        <w:rPr>
          <w:rFonts w:ascii="Arial" w:hAnsi="Arial" w:cs="Arial"/>
        </w:rPr>
      </w:pPr>
      <w:r>
        <w:rPr>
          <w:rFonts w:cs="Arial" w:ascii="Arial" w:hAnsi="Arial"/>
          <w:color w:val="000000"/>
        </w:rPr>
        <w:tab/>
        <w:t>I - utilizar recursos para finalidade alheia ao objeto da parceria;</w:t>
      </w:r>
      <w:bookmarkStart w:id="35" w:name="m_4136101817286224392_art45ii2"/>
      <w:bookmarkEnd w:id="35"/>
    </w:p>
    <w:p>
      <w:pPr>
        <w:pStyle w:val="Textbody"/>
        <w:tabs>
          <w:tab w:val="clear" w:pos="709"/>
          <w:tab w:val="left" w:pos="567" w:leader="none"/>
        </w:tabs>
        <w:spacing w:lineRule="auto" w:line="360" w:before="0" w:after="0"/>
        <w:jc w:val="both"/>
        <w:rPr>
          <w:rFonts w:ascii="Arial" w:hAnsi="Arial" w:cs="Arial"/>
        </w:rPr>
      </w:pPr>
      <w:r>
        <w:rPr>
          <w:rFonts w:cs="Arial" w:ascii="Arial" w:hAnsi="Arial"/>
          <w:color w:val="000000"/>
        </w:rPr>
        <w:tab/>
        <w:t xml:space="preserve">II - remunerar, a qualquer título, servidor ou empregado público, </w:t>
      </w:r>
      <w:r>
        <w:rPr>
          <w:rFonts w:cs="Arial" w:ascii="Arial" w:hAnsi="Arial"/>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Arial" w:ascii="Arial" w:hAnsi="Arial"/>
          <w:color w:val="000000"/>
        </w:rPr>
        <w:t xml:space="preserve"> com recursos vinculados à parceria, salvo nas hipóteses previstas em lei específica e na lei de diretrizes orçamentárias (art. 45 da Lei nº 13.019/14).</w:t>
      </w:r>
    </w:p>
    <w:p>
      <w:pPr>
        <w:pStyle w:val="Textbody"/>
        <w:spacing w:lineRule="auto" w:line="360" w:before="0" w:after="0"/>
        <w:ind w:firstLine="525"/>
        <w:jc w:val="both"/>
        <w:rPr>
          <w:rFonts w:ascii="Arial" w:hAnsi="Arial" w:cs="Arial"/>
        </w:rPr>
      </w:pPr>
      <w:bookmarkStart w:id="36" w:name="m_4136101817286224392_art46.1"/>
      <w:bookmarkStart w:id="37" w:name="m_4136101817286224392_art45iii1"/>
      <w:bookmarkEnd w:id="36"/>
      <w:bookmarkEnd w:id="37"/>
      <w:r>
        <w:rPr>
          <w:rFonts w:cs="Arial" w:ascii="Arial" w:hAnsi="Arial"/>
          <w:color w:val="000000"/>
        </w:rPr>
        <w:t>3.10. Todos os recursos da parceria deverão ser utilizados para satisfação de seu objeto, sendo admitidas, dentre outras despesas previstas e aprovadas no plano de trabalho, com recursos vinculados à parceria:</w:t>
      </w:r>
    </w:p>
    <w:p>
      <w:pPr>
        <w:pStyle w:val="Textbody"/>
        <w:spacing w:lineRule="auto" w:line="360" w:before="0" w:after="0"/>
        <w:ind w:firstLine="525"/>
        <w:jc w:val="both"/>
        <w:rPr>
          <w:rFonts w:ascii="Arial" w:hAnsi="Arial" w:cs="Arial"/>
        </w:rPr>
      </w:pPr>
      <w:r>
        <w:rPr>
          <w:rFonts w:cs="Arial" w:ascii="Arial" w:hAnsi="Arial"/>
          <w:color w:val="000000"/>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Textbody"/>
        <w:spacing w:lineRule="auto" w:line="360" w:before="0" w:after="0"/>
        <w:ind w:firstLine="525"/>
        <w:jc w:val="both"/>
        <w:rPr>
          <w:rFonts w:ascii="Arial" w:hAnsi="Arial" w:cs="Arial"/>
        </w:rPr>
      </w:pPr>
      <w:r>
        <w:rPr>
          <w:rFonts w:cs="Arial" w:ascii="Arial" w:hAnsi="Arial"/>
          <w:color w:val="000000"/>
        </w:rPr>
        <w:t>II - diárias referentes a deslocamento, hospedagem e alimentação nos casos em que a execução do objeto da parceria assim o exija;</w:t>
      </w:r>
    </w:p>
    <w:p>
      <w:pPr>
        <w:pStyle w:val="Textbody"/>
        <w:spacing w:lineRule="auto" w:line="360" w:before="0" w:after="0"/>
        <w:ind w:firstLine="525"/>
        <w:jc w:val="both"/>
        <w:rPr>
          <w:rFonts w:ascii="Arial" w:hAnsi="Arial" w:cs="Arial"/>
        </w:rPr>
      </w:pPr>
      <w:r>
        <w:rPr>
          <w:rFonts w:cs="Arial" w:ascii="Arial" w:hAnsi="Arial"/>
          <w:color w:val="000000"/>
        </w:rPr>
        <w:t>III - custos indiretos necessários à execução do objeto, seja qual for a proporção em relação ao valor total da parceria (aluguel, telefone, assessoria jurídica, contador, água, energia, dentre outros);</w:t>
      </w:r>
    </w:p>
    <w:p>
      <w:pPr>
        <w:pStyle w:val="Textbody"/>
        <w:spacing w:lineRule="auto" w:line="360" w:before="0" w:after="0"/>
        <w:ind w:firstLine="525"/>
        <w:jc w:val="both"/>
        <w:rPr>
          <w:rFonts w:ascii="Arial" w:hAnsi="Arial" w:cs="Arial"/>
        </w:rPr>
      </w:pPr>
      <w:r>
        <w:rPr>
          <w:rFonts w:cs="Arial" w:ascii="Arial" w:hAnsi="Arial"/>
          <w:color w:val="000000"/>
        </w:rPr>
        <w:t>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360" w:before="0" w:after="0"/>
        <w:ind w:firstLine="525"/>
        <w:jc w:val="both"/>
        <w:rPr>
          <w:rFonts w:ascii="Arial" w:hAnsi="Arial" w:cs="Arial"/>
        </w:rPr>
      </w:pPr>
      <w:r>
        <w:rPr>
          <w:rFonts w:cs="Arial" w:ascii="Arial" w:hAnsi="Arial"/>
          <w:color w:val="000000"/>
        </w:rPr>
        <w:t xml:space="preserve">3.11. A inadimplência da </w:t>
      </w:r>
      <w:r>
        <w:rPr>
          <w:rFonts w:cs="Arial" w:ascii="Arial" w:hAnsi="Arial"/>
          <w:b/>
          <w:bCs/>
          <w:color w:val="000000"/>
        </w:rPr>
        <w:t>ADMINISTRAÇÃO PÚBLICA MUNICIPAL</w:t>
      </w:r>
      <w:r>
        <w:rPr>
          <w:rFonts w:cs="Arial" w:ascii="Arial" w:hAnsi="Arial"/>
          <w:color w:val="000000"/>
        </w:rPr>
        <w:t xml:space="preserve"> não transfere à </w:t>
      </w:r>
      <w:r>
        <w:rPr>
          <w:rFonts w:cs="Arial" w:ascii="Arial" w:hAnsi="Arial"/>
          <w:b/>
          <w:bCs/>
          <w:color w:val="000000"/>
        </w:rPr>
        <w:t>OSC</w:t>
      </w:r>
      <w:r>
        <w:rPr>
          <w:rFonts w:cs="Arial" w:ascii="Arial" w:hAnsi="Arial"/>
          <w:color w:val="000000"/>
        </w:rPr>
        <w:t xml:space="preserve"> a responsabilidade pelo pagamento de obrigações vinculadas à parceria com recursos próprios (art. 46, § 1º da Lei nº 13.019/14).</w:t>
      </w:r>
    </w:p>
    <w:p>
      <w:pPr>
        <w:pStyle w:val="Textbody"/>
        <w:spacing w:lineRule="auto" w:line="360" w:before="0" w:after="0"/>
        <w:ind w:firstLine="525"/>
        <w:jc w:val="both"/>
        <w:rPr>
          <w:rFonts w:ascii="Arial" w:hAnsi="Arial" w:cs="Arial"/>
        </w:rPr>
      </w:pPr>
      <w:r>
        <w:rPr>
          <w:rFonts w:cs="Arial" w:ascii="Arial" w:hAnsi="Arial"/>
          <w:color w:val="000000"/>
        </w:rPr>
        <w:t xml:space="preserve">3.12. A inadimplência da </w:t>
      </w:r>
      <w:r>
        <w:rPr>
          <w:rFonts w:cs="Arial" w:ascii="Arial" w:hAnsi="Arial"/>
          <w:b/>
          <w:bCs/>
          <w:color w:val="000000"/>
        </w:rPr>
        <w:t>OSC</w:t>
      </w:r>
      <w:r>
        <w:rPr>
          <w:rFonts w:cs="Arial" w:ascii="Arial" w:hAnsi="Arial"/>
          <w:color w:val="000000"/>
        </w:rPr>
        <w:t xml:space="preserve"> em decorrência de atrasos na liberação de repasses relacionados à parceria não poderá acarretar restrições à liberação de parcelas subsequentes (art. 46, § 2º da Lei nº 13.019/14).</w:t>
      </w:r>
    </w:p>
    <w:p>
      <w:pPr>
        <w:pStyle w:val="Textbody"/>
        <w:spacing w:lineRule="auto" w:line="360" w:before="0" w:after="0"/>
        <w:ind w:firstLine="525"/>
        <w:jc w:val="both"/>
        <w:rPr>
          <w:rFonts w:ascii="Arial" w:hAnsi="Arial" w:cs="Arial"/>
        </w:rPr>
      </w:pPr>
      <w:r>
        <w:rPr>
          <w:rFonts w:cs="Arial" w:ascii="Arial" w:hAnsi="Arial"/>
          <w:color w:val="000000"/>
        </w:rPr>
        <w:t xml:space="preserve">4.13. O pagamento de remuneração da equipe contratada pela </w:t>
      </w:r>
      <w:r>
        <w:rPr>
          <w:rFonts w:cs="Arial" w:ascii="Arial" w:hAnsi="Arial"/>
          <w:b/>
          <w:bCs/>
          <w:color w:val="000000"/>
        </w:rPr>
        <w:t>OSC</w:t>
      </w:r>
      <w:r>
        <w:rPr>
          <w:rFonts w:cs="Arial" w:ascii="Arial" w:hAnsi="Arial"/>
          <w:color w:val="000000"/>
        </w:rPr>
        <w:t xml:space="preserve"> com recursos da parceria não gera vínculo trabalhista com a </w:t>
      </w:r>
      <w:r>
        <w:rPr>
          <w:rFonts w:cs="Arial" w:ascii="Arial" w:hAnsi="Arial"/>
          <w:b/>
          <w:bCs/>
          <w:color w:val="000000"/>
        </w:rPr>
        <w:t>ADMINISTRAÇÃO PÚBLICA MUNICIPAL</w:t>
      </w:r>
      <w:r>
        <w:rPr>
          <w:rFonts w:cs="Arial" w:ascii="Arial" w:hAnsi="Arial"/>
          <w:color w:val="000000"/>
        </w:rPr>
        <w:t xml:space="preserve"> (art. 46, § 3º da Lei nº 13.019/14).</w:t>
      </w:r>
    </w:p>
    <w:p>
      <w:pPr>
        <w:pStyle w:val="Textbody"/>
        <w:spacing w:lineRule="auto" w:line="360" w:before="0" w:after="0"/>
        <w:ind w:firstLine="525"/>
        <w:jc w:val="both"/>
        <w:rPr>
          <w:rFonts w:ascii="Arial" w:hAnsi="Arial" w:cs="Arial"/>
          <w:color w:val="000000"/>
        </w:rPr>
      </w:pPr>
      <w:r>
        <w:rPr>
          <w:rFonts w:cs="Arial" w:ascii="Arial" w:hAnsi="Arial"/>
          <w:color w:val="000000"/>
        </w:rPr>
      </w:r>
    </w:p>
    <w:p>
      <w:pPr>
        <w:pStyle w:val="Standard"/>
        <w:tabs>
          <w:tab w:val="left" w:pos="709" w:leader="none"/>
        </w:tabs>
        <w:spacing w:lineRule="auto" w:line="360"/>
        <w:jc w:val="both"/>
        <w:rPr>
          <w:rFonts w:ascii="Arial" w:hAnsi="Arial" w:cs="Arial"/>
          <w:sz w:val="22"/>
          <w:szCs w:val="22"/>
        </w:rPr>
      </w:pPr>
      <w:r>
        <w:rPr>
          <w:rFonts w:cs="Arial" w:ascii="Arial" w:hAnsi="Arial"/>
          <w:b/>
          <w:bCs/>
          <w:color w:val="000000"/>
          <w:sz w:val="22"/>
          <w:szCs w:val="22"/>
        </w:rPr>
        <w:tab/>
        <w:t>CLÁUSULA QUARTA – DA PUBLICIDADE DO TERMO DE COLABORAÇÃO</w:t>
      </w:r>
    </w:p>
    <w:p>
      <w:pPr>
        <w:pStyle w:val="Standard"/>
        <w:tabs>
          <w:tab w:val="left" w:pos="709" w:leader="none"/>
        </w:tabs>
        <w:spacing w:lineRule="auto" w:line="360"/>
        <w:jc w:val="both"/>
        <w:rPr>
          <w:rFonts w:ascii="Arial" w:hAnsi="Arial" w:cs="Arial"/>
          <w:sz w:val="22"/>
          <w:szCs w:val="22"/>
        </w:rPr>
      </w:pPr>
      <w:r>
        <w:rPr>
          <w:rFonts w:eastAsia="Calibri" w:cs="Arial" w:ascii="Arial" w:hAnsi="Arial"/>
          <w:color w:val="000000"/>
          <w:sz w:val="22"/>
          <w:szCs w:val="22"/>
          <w:lang w:eastAsia="en-US"/>
        </w:rPr>
        <w:tab/>
        <w:t xml:space="preserve">4.1. O Termo de </w:t>
      </w:r>
      <w:r>
        <w:rPr>
          <w:rFonts w:cs="Arial" w:ascii="Arial" w:hAnsi="Arial"/>
          <w:color w:val="000000"/>
          <w:sz w:val="22"/>
          <w:szCs w:val="22"/>
        </w:rPr>
        <w:t>Colaboração</w:t>
      </w:r>
      <w:r>
        <w:rPr>
          <w:rFonts w:eastAsia="Calibri" w:cs="Arial" w:ascii="Arial" w:hAnsi="Arial"/>
          <w:color w:val="000000"/>
          <w:sz w:val="22"/>
          <w:szCs w:val="22"/>
          <w:lang w:eastAsia="en-US"/>
        </w:rPr>
        <w:t xml:space="preserve"> somente produzirá efeitos jurídicos após a publicação do respectivo extrato no meio oficial de publicidade da </w:t>
      </w:r>
      <w:r>
        <w:rPr>
          <w:rFonts w:eastAsia="Calibri" w:cs="Arial" w:ascii="Arial" w:hAnsi="Arial"/>
          <w:b/>
          <w:bCs/>
          <w:color w:val="000000"/>
          <w:sz w:val="22"/>
          <w:szCs w:val="22"/>
          <w:lang w:eastAsia="en-US"/>
        </w:rPr>
        <w:t>ADMINISTRAÇÃO PÚBLICA MUNICIPAL</w:t>
      </w:r>
      <w:r>
        <w:rPr>
          <w:rFonts w:eastAsia="Calibri" w:cs="Arial" w:ascii="Arial" w:hAnsi="Arial"/>
          <w:color w:val="000000"/>
          <w:sz w:val="22"/>
          <w:szCs w:val="22"/>
          <w:lang w:eastAsia="en-US"/>
        </w:rPr>
        <w:t xml:space="preserve"> (art. 38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4.2. A Administração Pública Municipal deverá manter, em seu sítio oficial (</w:t>
      </w:r>
      <w:hyperlink r:id="rId12">
        <w:r>
          <w:rPr>
            <w:rStyle w:val="Hyperlink"/>
            <w:rFonts w:cs="Arial" w:ascii="Arial" w:hAnsi="Arial"/>
            <w:color w:val="000000"/>
            <w:sz w:val="22"/>
            <w:szCs w:val="22"/>
          </w:rPr>
          <w:t>www.itatiba.sp.gov.br</w:t>
        </w:r>
      </w:hyperlink>
      <w:r>
        <w:rPr>
          <w:rFonts w:cs="Arial" w:ascii="Arial" w:hAnsi="Arial"/>
          <w:color w:val="000000"/>
          <w:sz w:val="22"/>
          <w:szCs w:val="22"/>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nesta parceria (art. 12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4.3. A </w:t>
      </w:r>
      <w:r>
        <w:rPr>
          <w:rFonts w:cs="Arial" w:ascii="Arial" w:hAnsi="Arial"/>
          <w:b/>
          <w:bCs/>
          <w:color w:val="000000"/>
          <w:sz w:val="22"/>
          <w:szCs w:val="22"/>
        </w:rPr>
        <w:t>OSC</w:t>
      </w:r>
      <w:r>
        <w:rPr>
          <w:rFonts w:cs="Arial" w:ascii="Arial" w:hAnsi="Arial"/>
          <w:color w:val="000000"/>
          <w:sz w:val="22"/>
          <w:szCs w:val="22"/>
        </w:rPr>
        <w:t xml:space="preserve"> deverá divulgar na internet, em seu sítio oficial, e em locais visíveis de suas sedes sociais e dos estabelecimentos em que exerça suas ações a parceria celebrada com a </w:t>
      </w:r>
      <w:r>
        <w:rPr>
          <w:rFonts w:cs="Arial" w:ascii="Arial" w:hAnsi="Arial"/>
          <w:b/>
          <w:bCs/>
          <w:color w:val="000000"/>
          <w:sz w:val="22"/>
          <w:szCs w:val="22"/>
        </w:rPr>
        <w:t>ADMINISTRAÇÃO PÚBLICA MUNICIPAL</w:t>
      </w:r>
      <w:r>
        <w:rPr>
          <w:rFonts w:cs="Arial" w:ascii="Arial" w:hAnsi="Arial"/>
          <w:color w:val="000000"/>
          <w:sz w:val="22"/>
          <w:szCs w:val="22"/>
        </w:rPr>
        <w:t>, sendo que as informações deverão incluir, no mínimo:</w:t>
      </w:r>
    </w:p>
    <w:p>
      <w:pPr>
        <w:pStyle w:val="Standard"/>
        <w:spacing w:lineRule="auto" w:line="360"/>
        <w:jc w:val="both"/>
        <w:rPr>
          <w:rFonts w:ascii="Arial" w:hAnsi="Arial" w:cs="Arial"/>
          <w:sz w:val="22"/>
          <w:szCs w:val="22"/>
        </w:rPr>
      </w:pPr>
      <w:r>
        <w:rPr>
          <w:rFonts w:cs="Arial" w:ascii="Arial" w:hAnsi="Arial"/>
          <w:color w:val="000000"/>
          <w:sz w:val="22"/>
          <w:szCs w:val="22"/>
        </w:rPr>
        <w:tab/>
        <w:t>I - data de assinatura e identificação do instrumento de parceria e do órgão da administração pública responsável;</w:t>
      </w:r>
    </w:p>
    <w:p>
      <w:pPr>
        <w:pStyle w:val="Standard"/>
        <w:spacing w:lineRule="auto" w:line="360"/>
        <w:jc w:val="both"/>
        <w:rPr>
          <w:rFonts w:ascii="Arial" w:hAnsi="Arial" w:cs="Arial"/>
          <w:sz w:val="22"/>
          <w:szCs w:val="22"/>
        </w:rPr>
      </w:pPr>
      <w:r>
        <w:rPr>
          <w:rFonts w:cs="Arial" w:ascii="Arial" w:hAnsi="Arial"/>
          <w:color w:val="000000"/>
          <w:sz w:val="22"/>
          <w:szCs w:val="22"/>
        </w:rPr>
        <w:tab/>
        <w:t>II - nome da organização da sociedade civil e seu número de inscrição no Cadastro Nacional da Pessoa Jurídica - CNPJ da Secretaria da Receita Federal do Brasil – RFB;</w:t>
      </w:r>
    </w:p>
    <w:p>
      <w:pPr>
        <w:pStyle w:val="Standard"/>
        <w:spacing w:lineRule="auto" w:line="360"/>
        <w:jc w:val="both"/>
        <w:rPr>
          <w:rFonts w:ascii="Arial" w:hAnsi="Arial" w:cs="Arial"/>
          <w:sz w:val="22"/>
          <w:szCs w:val="22"/>
        </w:rPr>
      </w:pPr>
      <w:r>
        <w:rPr>
          <w:rFonts w:cs="Arial" w:ascii="Arial" w:hAnsi="Arial"/>
          <w:color w:val="000000"/>
          <w:sz w:val="22"/>
          <w:szCs w:val="22"/>
        </w:rPr>
        <w:tab/>
        <w:t>III - descrição do objeto da parceria;</w:t>
      </w:r>
    </w:p>
    <w:p>
      <w:pPr>
        <w:pStyle w:val="Standard"/>
        <w:spacing w:lineRule="auto" w:line="360"/>
        <w:jc w:val="both"/>
        <w:rPr>
          <w:rFonts w:ascii="Arial" w:hAnsi="Arial" w:cs="Arial"/>
          <w:sz w:val="22"/>
          <w:szCs w:val="22"/>
        </w:rPr>
      </w:pPr>
      <w:r>
        <w:rPr>
          <w:rFonts w:cs="Arial" w:ascii="Arial" w:hAnsi="Arial"/>
          <w:color w:val="000000"/>
          <w:sz w:val="22"/>
          <w:szCs w:val="22"/>
        </w:rPr>
        <w:tab/>
        <w:t>IV - valor total da parceria e valores liberados, quando for o caso;</w:t>
      </w:r>
    </w:p>
    <w:p>
      <w:pPr>
        <w:pStyle w:val="Standard"/>
        <w:spacing w:lineRule="auto" w:line="360"/>
        <w:jc w:val="both"/>
        <w:rPr>
          <w:rFonts w:ascii="Arial" w:hAnsi="Arial" w:cs="Arial"/>
          <w:sz w:val="22"/>
          <w:szCs w:val="22"/>
        </w:rPr>
      </w:pPr>
      <w:r>
        <w:rPr>
          <w:rFonts w:cs="Arial" w:ascii="Arial" w:hAnsi="Arial"/>
          <w:color w:val="000000"/>
          <w:sz w:val="22"/>
          <w:szCs w:val="22"/>
        </w:rPr>
        <w:tab/>
        <w:t>V - situação da prestação de contas da parceria, que deverá informar a data prevista para a sua apresentação, a data em que foi apresentada, o prazo para a sua análise e o resultado conclusivo; e,</w:t>
      </w:r>
    </w:p>
    <w:p>
      <w:pPr>
        <w:pStyle w:val="Standard"/>
        <w:spacing w:lineRule="auto" w:line="360"/>
        <w:jc w:val="both"/>
        <w:rPr>
          <w:rFonts w:ascii="Arial" w:hAnsi="Arial" w:cs="Arial"/>
          <w:sz w:val="22"/>
          <w:szCs w:val="22"/>
        </w:rPr>
      </w:pPr>
      <w:r>
        <w:rPr>
          <w:rFonts w:cs="Arial" w:ascii="Arial" w:hAnsi="Arial"/>
          <w:color w:val="000000"/>
          <w:sz w:val="22"/>
          <w:szCs w:val="22"/>
        </w:rPr>
        <w:tab/>
        <w:t>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spacing w:lineRule="auto" w:line="360"/>
        <w:ind w:firstLine="525"/>
        <w:jc w:val="both"/>
        <w:rPr>
          <w:rFonts w:ascii="Arial" w:hAnsi="Arial" w:cs="Arial"/>
          <w:sz w:val="22"/>
          <w:szCs w:val="22"/>
        </w:rPr>
      </w:pPr>
      <w:r>
        <w:rPr>
          <w:rFonts w:cs="Arial" w:ascii="Arial" w:hAnsi="Arial"/>
          <w:color w:val="000000"/>
          <w:sz w:val="22"/>
          <w:szCs w:val="22"/>
          <w:lang w:val="pt-PT"/>
        </w:rPr>
        <w:t xml:space="preserve">4.4. Será responsável pela boa administração e aplicação dos recursos recebidos, por parte da </w:t>
      </w:r>
      <w:r>
        <w:rPr>
          <w:rFonts w:cs="Arial" w:ascii="Arial" w:hAnsi="Arial"/>
          <w:b/>
          <w:bCs/>
          <w:color w:val="000000"/>
          <w:sz w:val="22"/>
          <w:szCs w:val="22"/>
          <w:lang w:val="pt-PT"/>
        </w:rPr>
        <w:t>OSC</w:t>
      </w:r>
      <w:r>
        <w:rPr>
          <w:rFonts w:cs="Arial" w:ascii="Arial" w:hAnsi="Arial"/>
          <w:color w:val="000000"/>
          <w:sz w:val="22"/>
          <w:szCs w:val="22"/>
          <w:lang w:val="pt-PT"/>
        </w:rPr>
        <w:t xml:space="preserve">, o Sr(a). </w:t>
      </w:r>
      <w:r>
        <w:rPr>
          <w:rFonts w:cs="Arial" w:ascii="Arial" w:hAnsi="Arial"/>
          <w:b/>
          <w:bCs/>
          <w:color w:val="000000"/>
          <w:sz w:val="22"/>
          <w:szCs w:val="22"/>
          <w:lang w:val="pt-PT"/>
        </w:rPr>
        <w:t>NOME COMPLETO E QUALIFICAÇÃO</w:t>
      </w:r>
      <w:r>
        <w:rPr>
          <w:rFonts w:cs="Arial" w:ascii="Arial" w:hAnsi="Arial"/>
          <w:color w:val="000000"/>
          <w:sz w:val="22"/>
          <w:szCs w:val="22"/>
          <w:lang w:val="pt-PT"/>
        </w:rPr>
        <w:t>, conforme Termo de Responsabilidade Pessoal lavrado e assinado por este</w:t>
      </w:r>
      <w:r>
        <w:rPr>
          <w:rFonts w:cs="Arial" w:ascii="Arial" w:hAnsi="Arial"/>
          <w:b/>
          <w:bCs/>
          <w:color w:val="000000"/>
          <w:sz w:val="22"/>
          <w:szCs w:val="22"/>
          <w:lang w:val="pt-PT"/>
        </w:rPr>
        <w:t>.</w:t>
      </w:r>
    </w:p>
    <w:p>
      <w:pPr>
        <w:pStyle w:val="Standard"/>
        <w:spacing w:lineRule="auto" w:line="360"/>
        <w:ind w:firstLine="525"/>
        <w:jc w:val="both"/>
        <w:rPr>
          <w:rFonts w:ascii="Arial" w:hAnsi="Arial" w:cs="Arial"/>
          <w:color w:val="000000"/>
          <w:sz w:val="22"/>
          <w:szCs w:val="22"/>
          <w:lang w:val="pt-PT"/>
        </w:rPr>
      </w:pPr>
      <w:r>
        <w:rPr>
          <w:rFonts w:cs="Arial" w:ascii="Arial" w:hAnsi="Arial"/>
          <w:color w:val="000000"/>
          <w:sz w:val="22"/>
          <w:szCs w:val="22"/>
          <w:lang w:val="pt-PT"/>
        </w:rPr>
      </w:r>
    </w:p>
    <w:p>
      <w:pPr>
        <w:pStyle w:val="Textbody"/>
        <w:spacing w:lineRule="auto" w:line="360" w:before="0" w:after="0"/>
        <w:ind w:firstLine="525"/>
        <w:jc w:val="both"/>
        <w:rPr>
          <w:rFonts w:ascii="Arial" w:hAnsi="Arial" w:cs="Arial"/>
        </w:rPr>
      </w:pPr>
      <w:r>
        <w:rPr>
          <w:rFonts w:cs="Arial" w:ascii="Arial" w:hAnsi="Arial"/>
          <w:b/>
          <w:bCs/>
        </w:rPr>
        <w:t>CLÁUSULA QUINTA - DAS OBRIGAÇÕES E RESPONSABILIDADES</w:t>
      </w:r>
    </w:p>
    <w:p>
      <w:pPr>
        <w:pStyle w:val="Textbody"/>
        <w:spacing w:lineRule="auto" w:line="360" w:before="0" w:after="0"/>
        <w:ind w:firstLine="525"/>
        <w:jc w:val="both"/>
        <w:rPr>
          <w:rFonts w:ascii="Arial" w:hAnsi="Arial" w:cs="Arial"/>
        </w:rPr>
      </w:pPr>
      <w:r>
        <w:rPr>
          <w:rFonts w:cs="Arial" w:ascii="Arial" w:hAnsi="Arial"/>
        </w:rPr>
        <w:t xml:space="preserve">5.1. A </w:t>
      </w:r>
      <w:r>
        <w:rPr>
          <w:rFonts w:cs="Arial" w:ascii="Arial" w:hAnsi="Arial"/>
          <w:b/>
          <w:bCs/>
        </w:rPr>
        <w:t>OSC</w:t>
      </w:r>
      <w:r>
        <w:rPr>
          <w:rFonts w:cs="Arial" w:ascii="Arial" w:hAnsi="Arial"/>
        </w:rPr>
        <w:t xml:space="preserve"> é obrigada a:</w:t>
      </w:r>
    </w:p>
    <w:p>
      <w:pPr>
        <w:pStyle w:val="Textbody"/>
        <w:spacing w:lineRule="auto" w:line="360" w:before="0" w:after="0"/>
        <w:ind w:firstLine="525"/>
        <w:jc w:val="both"/>
        <w:rPr>
          <w:rFonts w:ascii="Arial" w:hAnsi="Arial" w:cs="Arial"/>
        </w:rPr>
      </w:pPr>
      <w:r>
        <w:rPr>
          <w:rFonts w:cs="Arial" w:ascii="Arial" w:hAnsi="Arial"/>
        </w:rPr>
        <w:t xml:space="preserve">I - </w:t>
      </w:r>
      <w:r>
        <w:rPr>
          <w:rFonts w:cs="Arial" w:ascii="Arial" w:hAnsi="Arial"/>
          <w:lang w:val="pt-PT"/>
        </w:rPr>
        <w:t>executar com fidelidade o Plano de Trabalho apresentado, bem como o Edital do Chamamento Público e seus anexos, zelando pela boa qualidade das atividades desenvolvidas, buscando o aprimoramento constante da eficiência, eficácia, efetividade e economicidade em suas atividades e no uso dos recursos recebidos para a execução da parceria;</w:t>
      </w:r>
    </w:p>
    <w:p>
      <w:pPr>
        <w:pStyle w:val="Textbody"/>
        <w:spacing w:lineRule="auto" w:line="360" w:before="0" w:after="0"/>
        <w:ind w:firstLine="525"/>
        <w:jc w:val="both"/>
        <w:rPr>
          <w:rFonts w:ascii="Arial" w:hAnsi="Arial" w:cs="Arial"/>
        </w:rPr>
      </w:pPr>
      <w:r>
        <w:rPr>
          <w:rFonts w:cs="Arial" w:ascii="Arial" w:hAnsi="Arial"/>
          <w:lang w:val="pt-PT"/>
        </w:rPr>
        <w:t xml:space="preserve">II – Observar e anteder, no curso da execução de suas atividades, as orientações emanadas pela </w:t>
      </w:r>
      <w:r>
        <w:rPr>
          <w:rFonts w:cs="Arial" w:ascii="Arial" w:hAnsi="Arial"/>
          <w:b/>
          <w:bCs/>
          <w:lang w:val="pt-PT"/>
        </w:rPr>
        <w:t>ADMINISTRAÇÃO PÚBLICA MUNICIPAL</w:t>
      </w:r>
      <w:r>
        <w:rPr>
          <w:rFonts w:cs="Arial" w:ascii="Arial" w:hAnsi="Arial"/>
          <w:lang w:val="pt-PT"/>
        </w:rPr>
        <w:t>, elaboradas com base no monitoramento e fiscalização;</w:t>
      </w:r>
    </w:p>
    <w:p>
      <w:pPr>
        <w:pStyle w:val="Textbody"/>
        <w:spacing w:lineRule="auto" w:line="360" w:before="0" w:after="0"/>
        <w:ind w:firstLine="525"/>
        <w:jc w:val="both"/>
        <w:rPr>
          <w:rFonts w:ascii="Arial" w:hAnsi="Arial" w:cs="Arial"/>
        </w:rPr>
      </w:pPr>
      <w:r>
        <w:rPr>
          <w:rFonts w:cs="Arial" w:ascii="Arial" w:hAnsi="Arial"/>
          <w:lang w:val="pt-PT"/>
        </w:rPr>
        <w:t>III - zelar pelo correto e pontual cumprimento de todas obrigações legais referentes aos aprendizes e à equipe de trabalho empregada na realização do Plano de Trabalho;</w:t>
      </w:r>
    </w:p>
    <w:p>
      <w:pPr>
        <w:pStyle w:val="Textbody"/>
        <w:spacing w:lineRule="auto" w:line="360" w:before="0" w:after="0"/>
        <w:ind w:firstLine="525"/>
        <w:jc w:val="both"/>
        <w:rPr>
          <w:rFonts w:ascii="Arial" w:hAnsi="Arial" w:cs="Arial"/>
        </w:rPr>
      </w:pPr>
      <w:r>
        <w:rPr>
          <w:rFonts w:cs="Arial" w:ascii="Arial" w:hAnsi="Arial"/>
          <w:lang w:val="pt-PT"/>
        </w:rPr>
        <w:t xml:space="preserve">IV – prestar contas à </w:t>
      </w:r>
      <w:r>
        <w:rPr>
          <w:rFonts w:cs="Arial" w:ascii="Arial" w:hAnsi="Arial"/>
          <w:b/>
          <w:bCs/>
          <w:lang w:val="pt-PT"/>
        </w:rPr>
        <w:t>ADMINISTRAÇÃO PÚBLICA MUNICIPAL</w:t>
      </w:r>
      <w:r>
        <w:rPr>
          <w:rFonts w:cs="Arial" w:ascii="Arial" w:hAnsi="Arial"/>
          <w:lang w:val="pt-PT"/>
        </w:rPr>
        <w:t xml:space="preserve">, nos termos previstos no Edital e neste Termo de </w:t>
      </w:r>
      <w:r>
        <w:rPr>
          <w:rFonts w:cs="Arial" w:ascii="Arial" w:hAnsi="Arial"/>
        </w:rPr>
        <w:t>Colaboração</w:t>
      </w:r>
      <w:r>
        <w:rPr>
          <w:rFonts w:cs="Arial" w:ascii="Arial" w:hAnsi="Arial"/>
          <w:lang w:val="pt-PT"/>
        </w:rPr>
        <w:t>;</w:t>
      </w:r>
    </w:p>
    <w:p>
      <w:pPr>
        <w:pStyle w:val="Standard"/>
        <w:spacing w:lineRule="auto" w:line="360"/>
        <w:ind w:firstLine="525"/>
        <w:jc w:val="both"/>
        <w:rPr>
          <w:rFonts w:ascii="Arial" w:hAnsi="Arial" w:cs="Arial"/>
          <w:sz w:val="22"/>
          <w:szCs w:val="22"/>
        </w:rPr>
      </w:pPr>
      <w:r>
        <w:rPr>
          <w:rFonts w:cs="Arial" w:ascii="Arial" w:hAnsi="Arial"/>
          <w:sz w:val="22"/>
          <w:szCs w:val="22"/>
          <w:lang w:val="pt-PT"/>
        </w:rPr>
        <w:t>V – indicar um responsável pela boa administração e aplicação dos recursos recebidos;</w:t>
      </w:r>
    </w:p>
    <w:p>
      <w:pPr>
        <w:pStyle w:val="Standard"/>
        <w:spacing w:lineRule="auto" w:line="360"/>
        <w:ind w:firstLine="525"/>
        <w:jc w:val="both"/>
        <w:rPr>
          <w:rFonts w:ascii="Arial" w:hAnsi="Arial" w:cs="Arial"/>
          <w:sz w:val="22"/>
          <w:szCs w:val="22"/>
        </w:rPr>
      </w:pPr>
      <w:r>
        <w:rPr>
          <w:rFonts w:cs="Arial" w:ascii="Arial" w:hAnsi="Arial"/>
          <w:sz w:val="22"/>
          <w:szCs w:val="22"/>
          <w:lang w:val="pt-PT"/>
        </w:rPr>
        <w:t>VI - observar, no que couber, os dispositivos da IN 02/2016 do TCE/SP e alterações.</w:t>
      </w:r>
    </w:p>
    <w:p>
      <w:pPr>
        <w:pStyle w:val="Textbody"/>
        <w:spacing w:lineRule="auto" w:line="360" w:before="0" w:after="0"/>
        <w:ind w:firstLine="525"/>
        <w:jc w:val="both"/>
        <w:rPr>
          <w:rFonts w:ascii="Arial" w:hAnsi="Arial" w:cs="Arial"/>
        </w:rPr>
      </w:pPr>
      <w:r>
        <w:rPr>
          <w:rFonts w:cs="Arial" w:ascii="Arial" w:hAnsi="Arial"/>
        </w:rPr>
        <w:t xml:space="preserve">5.2. A </w:t>
      </w:r>
      <w:r>
        <w:rPr>
          <w:rFonts w:cs="Arial" w:ascii="Arial" w:hAnsi="Arial"/>
          <w:b/>
          <w:bCs/>
        </w:rPr>
        <w:t>OSC</w:t>
      </w:r>
      <w:r>
        <w:rPr>
          <w:rFonts w:cs="Arial" w:ascii="Arial" w:hAnsi="Arial"/>
        </w:rPr>
        <w:t xml:space="preserve">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360" w:before="0" w:after="0"/>
        <w:ind w:firstLine="525"/>
        <w:jc w:val="both"/>
        <w:rPr>
          <w:rFonts w:ascii="Arial" w:hAnsi="Arial" w:cs="Arial"/>
        </w:rPr>
      </w:pPr>
      <w:r>
        <w:rPr>
          <w:rFonts w:cs="Arial" w:ascii="Arial" w:hAnsi="Arial"/>
        </w:rPr>
        <w:t xml:space="preserve">5.3. A </w:t>
      </w:r>
      <w:r>
        <w:rPr>
          <w:rFonts w:cs="Arial" w:ascii="Arial" w:hAnsi="Arial"/>
          <w:b/>
          <w:bCs/>
        </w:rPr>
        <w:t>OSC</w:t>
      </w:r>
      <w:r>
        <w:rPr>
          <w:rFonts w:cs="Arial" w:ascii="Arial" w:hAnsi="Arial"/>
        </w:rPr>
        <w:t xml:space="preserve"> é exclusivamente responsável pelo pagamento dos encargos trabalhistas, previdenciários, fiscais e comerciais relacionados à execução do objeto previsto no termo de Colaboração, não implicando responsabilidade solidária ou subsidiária da </w:t>
      </w:r>
      <w:r>
        <w:rPr>
          <w:rFonts w:cs="Arial" w:ascii="Arial" w:hAnsi="Arial"/>
          <w:b/>
          <w:bCs/>
        </w:rPr>
        <w:t>ADMINISTRAÇÃO PÚBLICA MUNICIPAL</w:t>
      </w:r>
      <w:r>
        <w:rPr>
          <w:rFonts w:cs="Arial" w:ascii="Arial" w:hAnsi="Arial"/>
        </w:rPr>
        <w:t xml:space="preserve"> a inadimplência da </w:t>
      </w:r>
      <w:r>
        <w:rPr>
          <w:rFonts w:cs="Arial" w:ascii="Arial" w:hAnsi="Arial"/>
          <w:b/>
          <w:bCs/>
        </w:rPr>
        <w:t>OSC</w:t>
      </w:r>
      <w:r>
        <w:rPr>
          <w:rFonts w:cs="Arial" w:ascii="Arial" w:hAnsi="Arial"/>
        </w:rPr>
        <w:t xml:space="preserve">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360"/>
        <w:jc w:val="both"/>
        <w:rPr>
          <w:rFonts w:ascii="Arial" w:hAnsi="Arial" w:cs="Arial"/>
          <w:b/>
          <w:sz w:val="22"/>
          <w:szCs w:val="22"/>
        </w:rPr>
      </w:pPr>
      <w:r>
        <w:rPr>
          <w:rFonts w:cs="Arial" w:ascii="Arial" w:hAnsi="Arial"/>
          <w:b/>
          <w:sz w:val="22"/>
          <w:szCs w:val="22"/>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color w:val="000000"/>
          <w:sz w:val="22"/>
          <w:szCs w:val="22"/>
          <w:lang w:val="pt-PT"/>
        </w:rPr>
        <w:tab/>
      </w:r>
      <w:r>
        <w:rPr>
          <w:rFonts w:cs="Arial" w:ascii="Arial" w:hAnsi="Arial"/>
          <w:color w:val="000000"/>
          <w:sz w:val="22"/>
          <w:szCs w:val="22"/>
          <w:lang w:val="pt-PT"/>
        </w:rPr>
        <w:t>5.4.</w:t>
      </w:r>
      <w:r>
        <w:rPr>
          <w:rFonts w:cs="Arial" w:ascii="Arial" w:hAnsi="Arial"/>
          <w:b/>
          <w:color w:val="000000"/>
          <w:sz w:val="22"/>
          <w:szCs w:val="22"/>
          <w:lang w:val="pt-PT"/>
        </w:rPr>
        <w:t xml:space="preserve"> </w:t>
      </w:r>
      <w:r>
        <w:rPr>
          <w:rFonts w:cs="Arial" w:ascii="Arial" w:hAnsi="Arial"/>
          <w:color w:val="000000"/>
          <w:sz w:val="22"/>
          <w:szCs w:val="22"/>
          <w:lang w:val="pt-PT"/>
        </w:rPr>
        <w:t xml:space="preserve">A </w:t>
      </w:r>
      <w:r>
        <w:rPr>
          <w:rFonts w:cs="Arial" w:ascii="Arial" w:hAnsi="Arial"/>
          <w:b/>
          <w:bCs/>
          <w:color w:val="000000"/>
          <w:sz w:val="22"/>
          <w:szCs w:val="22"/>
          <w:lang w:val="pt-PT"/>
        </w:rPr>
        <w:t>ADMINISTRAÇÃO PÚBLICA MUNICIPAL</w:t>
      </w:r>
      <w:r>
        <w:rPr>
          <w:rFonts w:cs="Arial" w:ascii="Arial" w:hAnsi="Arial"/>
          <w:color w:val="000000"/>
          <w:sz w:val="22"/>
          <w:szCs w:val="22"/>
          <w:lang w:val="pt-PT"/>
        </w:rPr>
        <w:t xml:space="preserve"> é obrigada: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lang w:val="pt-PT"/>
        </w:rPr>
        <w:tab/>
        <w:t xml:space="preserve">I - acompanhar, supervisionar e fiscalizar a execução deste Termo de </w:t>
      </w:r>
      <w:r>
        <w:rPr>
          <w:rFonts w:cs="Arial" w:ascii="Arial" w:hAnsi="Arial"/>
          <w:color w:val="000000"/>
          <w:sz w:val="22"/>
          <w:szCs w:val="22"/>
        </w:rPr>
        <w:t>Colaboração</w:t>
      </w:r>
      <w:r>
        <w:rPr>
          <w:rFonts w:cs="Arial" w:ascii="Arial" w:hAnsi="Arial"/>
          <w:color w:val="000000"/>
          <w:sz w:val="22"/>
          <w:szCs w:val="22"/>
          <w:lang w:val="pt-PT"/>
        </w:rPr>
        <w:t xml:space="preserve">, de acordo com o Plano de Trabalho apresentado e nos termos previstos no Edital e neste Termo de </w:t>
      </w:r>
      <w:r>
        <w:rPr>
          <w:rFonts w:cs="Arial" w:ascii="Arial" w:hAnsi="Arial"/>
          <w:color w:val="000000"/>
          <w:sz w:val="22"/>
          <w:szCs w:val="22"/>
        </w:rPr>
        <w:t>Colaboração</w:t>
      </w:r>
      <w:r>
        <w:rPr>
          <w:rFonts w:cs="Arial" w:ascii="Arial" w:hAnsi="Arial"/>
          <w:color w:val="000000"/>
          <w:sz w:val="22"/>
          <w:szCs w:val="22"/>
          <w:lang w:val="pt-PT"/>
        </w:rPr>
        <w:t>;</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lang w:val="pt-PT"/>
        </w:rPr>
        <w:tab/>
        <w:t xml:space="preserve">II - repassar os recursos financeiros à </w:t>
      </w:r>
      <w:r>
        <w:rPr>
          <w:rFonts w:cs="Arial" w:ascii="Arial" w:hAnsi="Arial"/>
          <w:b/>
          <w:bCs/>
          <w:color w:val="000000"/>
          <w:sz w:val="22"/>
          <w:szCs w:val="22"/>
          <w:lang w:val="pt-PT"/>
        </w:rPr>
        <w:t>OSC,</w:t>
      </w:r>
      <w:r>
        <w:rPr>
          <w:rFonts w:cs="Arial" w:ascii="Arial" w:hAnsi="Arial"/>
          <w:color w:val="000000"/>
          <w:sz w:val="22"/>
          <w:szCs w:val="22"/>
          <w:lang w:val="pt-PT"/>
        </w:rPr>
        <w:t xml:space="preserve"> nos prazos e termos estabelecidos no cronograma de desembolso constante do Plano de Trabalho apresentado;</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lang w:val="pt-PT"/>
        </w:rPr>
        <w:tab/>
        <w:t xml:space="preserve">III - designar a Comissão de Monitoramento e Avaliação, para os fins de acompanhamento e fiscalização do desempenho da </w:t>
      </w:r>
      <w:r>
        <w:rPr>
          <w:rFonts w:cs="Arial" w:ascii="Arial" w:hAnsi="Arial"/>
          <w:b/>
          <w:bCs/>
          <w:color w:val="000000"/>
          <w:sz w:val="22"/>
          <w:szCs w:val="22"/>
          <w:lang w:val="pt-PT"/>
        </w:rPr>
        <w:t xml:space="preserve">OSC </w:t>
      </w:r>
      <w:r>
        <w:rPr>
          <w:rFonts w:cs="Arial" w:ascii="Arial" w:hAnsi="Arial"/>
          <w:color w:val="000000"/>
          <w:sz w:val="22"/>
          <w:szCs w:val="22"/>
          <w:lang w:val="pt-PT"/>
        </w:rPr>
        <w:t>na execução da parceria;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lang w:val="pt-PT"/>
        </w:rPr>
        <w:tab/>
        <w:t>IV - designar o Gestor da Parceria, para fins de acompanhamento e fiscalização da execução da parceria;</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lang w:val="pt-PT"/>
        </w:rPr>
        <w:tab/>
        <w:t xml:space="preserve">V - no âmbito de suas específicas atribuições, prestar o apoio necessário à </w:t>
      </w:r>
      <w:r>
        <w:rPr>
          <w:rFonts w:cs="Arial" w:ascii="Arial" w:hAnsi="Arial"/>
          <w:b/>
          <w:bCs/>
          <w:color w:val="000000"/>
          <w:sz w:val="22"/>
          <w:szCs w:val="22"/>
          <w:lang w:val="pt-PT"/>
        </w:rPr>
        <w:t>OSC</w:t>
      </w:r>
      <w:r>
        <w:rPr>
          <w:rFonts w:cs="Arial" w:ascii="Arial" w:hAnsi="Arial"/>
          <w:color w:val="000000"/>
          <w:sz w:val="22"/>
          <w:szCs w:val="22"/>
          <w:lang w:val="pt-PT"/>
        </w:rPr>
        <w:t xml:space="preserve"> com vistas ao integral aperfeiçoamento e cumprimento do objeto avençado neste Termo de </w:t>
      </w:r>
      <w:r>
        <w:rPr>
          <w:rFonts w:cs="Arial" w:ascii="Arial" w:hAnsi="Arial"/>
          <w:color w:val="000000"/>
          <w:sz w:val="22"/>
          <w:szCs w:val="22"/>
        </w:rPr>
        <w:t>Colaboração</w:t>
      </w:r>
      <w:r>
        <w:rPr>
          <w:rFonts w:cs="Arial" w:ascii="Arial" w:hAnsi="Arial"/>
          <w:color w:val="000000"/>
          <w:sz w:val="22"/>
          <w:szCs w:val="22"/>
          <w:lang w:val="pt-PT"/>
        </w:rPr>
        <w:t>;</w:t>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lang w:val="pt-PT"/>
        </w:rPr>
        <w:tab/>
        <w:t xml:space="preserve">VI - não praticar atos de ingerência direta na seleção e contratação dos aprendizes e profissionais pela </w:t>
      </w:r>
      <w:r>
        <w:rPr>
          <w:rFonts w:cs="Arial" w:ascii="Arial" w:hAnsi="Arial"/>
          <w:b/>
          <w:bCs/>
          <w:color w:val="000000"/>
          <w:sz w:val="22"/>
          <w:szCs w:val="22"/>
          <w:lang w:val="pt-PT"/>
        </w:rPr>
        <w:t>OSC</w:t>
      </w:r>
      <w:r>
        <w:rPr>
          <w:rFonts w:cs="Arial" w:ascii="Arial" w:hAnsi="Arial"/>
          <w:color w:val="000000"/>
          <w:sz w:val="22"/>
          <w:szCs w:val="22"/>
          <w:lang w:val="pt-PT"/>
        </w:rPr>
        <w:t xml:space="preserve"> ou que direcionem o recrutamento de pessoas para trabalhar ou prestar serviços na referida entidade.  </w:t>
      </w:r>
    </w:p>
    <w:p>
      <w:pPr>
        <w:pStyle w:val="Standard"/>
        <w:spacing w:lineRule="auto" w:line="360"/>
        <w:jc w:val="both"/>
        <w:rPr>
          <w:rFonts w:ascii="Arial" w:hAnsi="Arial" w:cs="Arial"/>
          <w:color w:val="000000"/>
          <w:sz w:val="22"/>
          <w:szCs w:val="22"/>
          <w:lang w:val="pt-PT"/>
        </w:rPr>
      </w:pPr>
      <w:r>
        <w:rPr>
          <w:rFonts w:cs="Arial" w:ascii="Arial" w:hAnsi="Arial"/>
          <w:color w:val="000000"/>
          <w:sz w:val="22"/>
          <w:szCs w:val="22"/>
          <w:lang w:val="pt-PT"/>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b/>
          <w:bCs/>
          <w:color w:val="000000"/>
          <w:sz w:val="22"/>
          <w:szCs w:val="22"/>
        </w:rPr>
        <w:tab/>
        <w:tab/>
        <w:t>CLÁUSULA SEXTA - DO MONITORAMENTO E AVALIAÇÃO DO TERMO DE COLABORAÇÃO</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ab/>
        <w:tab/>
        <w:t xml:space="preserve">6.1. A </w:t>
      </w:r>
      <w:r>
        <w:rPr>
          <w:rFonts w:cs="Arial" w:ascii="Arial" w:hAnsi="Arial"/>
          <w:b/>
          <w:bCs/>
          <w:color w:val="000000"/>
          <w:sz w:val="22"/>
          <w:szCs w:val="22"/>
        </w:rPr>
        <w:t>ADMINISTRAÇÃO PÚBLICA MUNICIPAL</w:t>
      </w:r>
      <w:r>
        <w:rPr>
          <w:rFonts w:cs="Arial" w:ascii="Arial" w:hAnsi="Arial"/>
          <w:color w:val="000000"/>
          <w:sz w:val="22"/>
          <w:szCs w:val="22"/>
        </w:rPr>
        <w:t xml:space="preserve"> promoverá o monitoramento e a avaliação do cumprimento do objeto da parceria (art. 58, caput, da Lei nº 13.019/14).</w:t>
      </w:r>
    </w:p>
    <w:p>
      <w:pPr>
        <w:pStyle w:val="Standard"/>
        <w:tabs>
          <w:tab w:val="left" w:pos="709" w:leader="none"/>
        </w:tabs>
        <w:spacing w:lineRule="auto" w:line="360"/>
        <w:jc w:val="both"/>
        <w:rPr>
          <w:rFonts w:ascii="Arial" w:hAnsi="Arial" w:cs="Arial"/>
          <w:sz w:val="22"/>
          <w:szCs w:val="22"/>
        </w:rPr>
      </w:pPr>
      <w:r>
        <w:rPr>
          <w:rFonts w:cs="Arial" w:ascii="Arial" w:hAnsi="Arial"/>
          <w:color w:val="000000"/>
          <w:sz w:val="22"/>
          <w:szCs w:val="22"/>
        </w:rPr>
        <w:tab/>
        <w:t xml:space="preserve">6.2. Para tanto, em cumprimento ao que dispõe o art. 35, inc. V, als. “g” e “h” da Lei nº 13.019/14, foram nomeadas, pelo Chefe do Poder Executivo, a Comissão de Monitoramento e Avaliação e o Gestor da Parceria, por meio do Decreto nº </w:t>
      </w:r>
      <w:r>
        <w:rPr>
          <w:rFonts w:cs="Arial" w:ascii="Arial" w:hAnsi="Arial"/>
          <w:b/>
          <w:bCs/>
          <w:color w:val="000000"/>
          <w:sz w:val="22"/>
          <w:szCs w:val="22"/>
        </w:rPr>
        <w:t>6980 de 19/10/2017</w:t>
      </w:r>
      <w:r>
        <w:rPr>
          <w:rFonts w:cs="Arial" w:ascii="Arial" w:hAnsi="Arial"/>
          <w:color w:val="000000"/>
          <w:sz w:val="22"/>
          <w:szCs w:val="22"/>
        </w:rPr>
        <w:t>, ambos com poderes de controle e fiscalização, observadas as vedações constantes do art. 35, §§ 6º e 7º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6.3. A </w:t>
      </w:r>
      <w:r>
        <w:rPr>
          <w:rFonts w:cs="Arial" w:ascii="Arial" w:hAnsi="Arial"/>
          <w:b/>
          <w:bCs/>
          <w:color w:val="000000"/>
          <w:sz w:val="22"/>
          <w:szCs w:val="22"/>
        </w:rPr>
        <w:t>ADMINISTRAÇÃO PÚBLICA MUNICIPAL</w:t>
      </w:r>
      <w:r>
        <w:rPr>
          <w:rFonts w:cs="Arial" w:ascii="Arial" w:hAnsi="Arial"/>
          <w:color w:val="000000"/>
          <w:sz w:val="22"/>
          <w:szCs w:val="22"/>
        </w:rPr>
        <w:t xml:space="preserve">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w:t>
      </w:r>
      <w:r>
        <w:rPr>
          <w:rFonts w:cs="Arial" w:ascii="Arial" w:hAnsi="Arial"/>
          <w:b/>
          <w:bCs/>
          <w:color w:val="000000"/>
          <w:sz w:val="22"/>
          <w:szCs w:val="22"/>
        </w:rPr>
        <w:t>OSC</w:t>
      </w:r>
      <w:r>
        <w:rPr>
          <w:rFonts w:cs="Arial" w:ascii="Arial" w:hAnsi="Arial"/>
          <w:color w:val="000000"/>
          <w:sz w:val="22"/>
          <w:szCs w:val="22"/>
        </w:rPr>
        <w:t xml:space="preserve"> (art. 59,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6.4. O relatório técnico de monitoramento e avaliação da parceria, a ser elaborado pela </w:t>
      </w:r>
      <w:r>
        <w:rPr>
          <w:rFonts w:cs="Arial" w:ascii="Arial" w:hAnsi="Arial"/>
          <w:b/>
          <w:bCs/>
          <w:color w:val="000000"/>
          <w:sz w:val="22"/>
          <w:szCs w:val="22"/>
        </w:rPr>
        <w:t>ADMINISTRAÇÃO PÚBLICA MUNICIPAL</w:t>
      </w:r>
      <w:r>
        <w:rPr>
          <w:rFonts w:cs="Arial" w:ascii="Arial" w:hAnsi="Arial"/>
          <w:color w:val="000000"/>
          <w:sz w:val="22"/>
          <w:szCs w:val="22"/>
        </w:rPr>
        <w:t>, sem prejuízo de outros elementos, deverá conter:</w:t>
      </w:r>
    </w:p>
    <w:p>
      <w:pPr>
        <w:pStyle w:val="Standard"/>
        <w:spacing w:lineRule="auto" w:line="360"/>
        <w:jc w:val="both"/>
        <w:rPr>
          <w:rFonts w:ascii="Arial" w:hAnsi="Arial" w:cs="Arial"/>
          <w:sz w:val="22"/>
          <w:szCs w:val="22"/>
        </w:rPr>
      </w:pPr>
      <w:r>
        <w:rPr>
          <w:rFonts w:cs="Arial" w:ascii="Arial" w:hAnsi="Arial"/>
          <w:color w:val="000000"/>
          <w:sz w:val="22"/>
          <w:szCs w:val="22"/>
        </w:rPr>
        <w:tab/>
        <w:t>a.) descrição sumária das atividades e metas estabelecidas;</w:t>
      </w:r>
    </w:p>
    <w:p>
      <w:pPr>
        <w:pStyle w:val="Standard"/>
        <w:spacing w:lineRule="auto" w:line="360"/>
        <w:jc w:val="both"/>
        <w:rPr>
          <w:rFonts w:ascii="Arial" w:hAnsi="Arial" w:cs="Arial"/>
          <w:sz w:val="22"/>
          <w:szCs w:val="22"/>
        </w:rPr>
      </w:pPr>
      <w:r>
        <w:rPr>
          <w:rFonts w:cs="Arial" w:ascii="Arial" w:hAnsi="Arial"/>
          <w:color w:val="000000"/>
          <w:sz w:val="22"/>
          <w:szCs w:val="22"/>
        </w:rPr>
        <w:tab/>
        <w:t>b.) análise das atividades realizadas, do cumprimento das metas e do impacto do benefício social obtido em razão da execução do objeto até o período, com base nos indicadores estabelecidos e aprovados no plano de trabalho;</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c.) valores efetivamente transferidos pela </w:t>
      </w:r>
      <w:r>
        <w:rPr>
          <w:rFonts w:cs="Arial" w:ascii="Arial" w:hAnsi="Arial"/>
          <w:b/>
          <w:bCs/>
          <w:color w:val="000000"/>
          <w:sz w:val="22"/>
          <w:szCs w:val="22"/>
        </w:rPr>
        <w:t>ADMINISTRAÇÃO PÚBLICA MUNICIPAL</w:t>
      </w:r>
      <w:r>
        <w:rPr>
          <w:rFonts w:cs="Arial" w:ascii="Arial" w:hAnsi="Arial"/>
          <w:color w:val="000000"/>
          <w:sz w:val="22"/>
          <w:szCs w:val="22"/>
        </w:rPr>
        <w:t>;</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d.) análise dos documentos comprobatórios das despesas apresentados pela </w:t>
      </w:r>
      <w:r>
        <w:rPr>
          <w:rFonts w:cs="Arial" w:ascii="Arial" w:hAnsi="Arial"/>
          <w:b/>
          <w:bCs/>
          <w:color w:val="000000"/>
          <w:sz w:val="22"/>
          <w:szCs w:val="22"/>
        </w:rPr>
        <w:t>OSC</w:t>
      </w:r>
      <w:r>
        <w:rPr>
          <w:rFonts w:cs="Arial" w:ascii="Arial" w:hAnsi="Arial"/>
          <w:color w:val="000000"/>
          <w:sz w:val="22"/>
          <w:szCs w:val="22"/>
        </w:rPr>
        <w:t xml:space="preserve"> na prestação de contas, quando não for comprovado o alcance das metas e resultados estabelecidos no respectivo Termo de Colaboração;</w:t>
      </w:r>
    </w:p>
    <w:p>
      <w:pPr>
        <w:pStyle w:val="Standard"/>
        <w:spacing w:lineRule="auto" w:line="360"/>
        <w:jc w:val="both"/>
        <w:rPr>
          <w:rFonts w:ascii="Arial" w:hAnsi="Arial" w:cs="Arial"/>
          <w:sz w:val="22"/>
          <w:szCs w:val="22"/>
        </w:rPr>
      </w:pPr>
      <w:r>
        <w:rPr>
          <w:rFonts w:cs="Arial" w:ascii="Arial" w:hAnsi="Arial"/>
          <w:color w:val="000000"/>
          <w:sz w:val="22"/>
          <w:szCs w:val="22"/>
        </w:rPr>
        <w:tab/>
        <w:t>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6.5. São obrigações do Gestor da Parceria:</w:t>
      </w:r>
    </w:p>
    <w:p>
      <w:pPr>
        <w:pStyle w:val="Standard"/>
        <w:spacing w:lineRule="auto" w:line="360"/>
        <w:jc w:val="both"/>
        <w:rPr>
          <w:rFonts w:ascii="Arial" w:hAnsi="Arial" w:cs="Arial"/>
          <w:sz w:val="22"/>
          <w:szCs w:val="22"/>
        </w:rPr>
      </w:pPr>
      <w:r>
        <w:rPr>
          <w:rFonts w:cs="Arial" w:ascii="Arial" w:hAnsi="Arial"/>
          <w:color w:val="000000"/>
          <w:sz w:val="22"/>
          <w:szCs w:val="22"/>
        </w:rPr>
        <w:tab/>
        <w:t>a.) acompanhar e fiscalizar a execução da parceria;</w:t>
      </w:r>
    </w:p>
    <w:p>
      <w:pPr>
        <w:pStyle w:val="Standard"/>
        <w:spacing w:lineRule="auto" w:line="360"/>
        <w:jc w:val="both"/>
        <w:rPr>
          <w:rFonts w:ascii="Arial" w:hAnsi="Arial" w:cs="Arial"/>
          <w:sz w:val="22"/>
          <w:szCs w:val="22"/>
        </w:rPr>
      </w:pPr>
      <w:r>
        <w:rPr>
          <w:rFonts w:cs="Arial" w:ascii="Arial" w:hAnsi="Arial"/>
          <w:color w:val="000000"/>
          <w:sz w:val="22"/>
          <w:szCs w:val="22"/>
        </w:rPr>
        <w:tab/>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360"/>
        <w:jc w:val="both"/>
        <w:rPr>
          <w:rFonts w:ascii="Arial" w:hAnsi="Arial" w:cs="Arial"/>
          <w:sz w:val="22"/>
          <w:szCs w:val="22"/>
        </w:rPr>
      </w:pPr>
      <w:r>
        <w:rPr>
          <w:rFonts w:cs="Arial" w:ascii="Arial" w:hAnsi="Arial"/>
          <w:color w:val="000000"/>
          <w:sz w:val="22"/>
          <w:szCs w:val="22"/>
        </w:rPr>
        <w:tab/>
        <w:t>c.) emitir parecer técnico conclusivo de análise da prestação de contas final, levando em consideração o conteúdo do relatório técnico de monitoramento e avaliação de que tratam os itens 7.3 e 7.4 deste Termo de Colaboração;</w:t>
      </w:r>
    </w:p>
    <w:p>
      <w:pPr>
        <w:pStyle w:val="Standard"/>
        <w:spacing w:lineRule="auto" w:line="360"/>
        <w:jc w:val="both"/>
        <w:rPr>
          <w:rFonts w:ascii="Arial" w:hAnsi="Arial" w:cs="Arial"/>
          <w:sz w:val="22"/>
          <w:szCs w:val="22"/>
        </w:rPr>
      </w:pPr>
      <w:r>
        <w:rPr>
          <w:rFonts w:cs="Arial" w:ascii="Arial" w:hAnsi="Arial"/>
          <w:color w:val="000000"/>
          <w:sz w:val="22"/>
          <w:szCs w:val="22"/>
        </w:rPr>
        <w:tab/>
        <w:t>d.) disponibilizar materiais e equipamentos tecnológicos necessários às atividades de monitoramento e avaliação (art. 61, caput, I a V da Lei nº 13.019/14).</w:t>
      </w:r>
    </w:p>
    <w:p>
      <w:pPr>
        <w:pStyle w:val="Standard"/>
        <w:spacing w:lineRule="auto" w:line="360"/>
        <w:jc w:val="both"/>
        <w:rPr>
          <w:rFonts w:ascii="Arial" w:hAnsi="Arial" w:cs="Arial"/>
          <w:color w:val="000000"/>
          <w:sz w:val="22"/>
          <w:szCs w:val="22"/>
        </w:rPr>
      </w:pPr>
      <w:r>
        <w:rPr>
          <w:rFonts w:cs="Arial" w:ascii="Arial" w:hAnsi="Arial"/>
          <w:color w:val="000000"/>
          <w:sz w:val="22"/>
          <w:szCs w:val="22"/>
        </w:rPr>
        <w:tab/>
        <w:t>6.6.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360"/>
        <w:jc w:val="both"/>
        <w:rPr>
          <w:rFonts w:ascii="Arial" w:hAnsi="Arial" w:cs="Arial"/>
          <w:sz w:val="22"/>
          <w:szCs w:val="22"/>
        </w:rPr>
      </w:pPr>
      <w:r>
        <w:rPr>
          <w:rFonts w:cs="Arial" w:ascii="Arial" w:hAnsi="Arial"/>
          <w:sz w:val="22"/>
          <w:szCs w:val="22"/>
        </w:rPr>
      </w:r>
    </w:p>
    <w:p>
      <w:pPr>
        <w:pStyle w:val="Standard"/>
        <w:spacing w:lineRule="auto" w:line="360"/>
        <w:jc w:val="both"/>
        <w:rPr>
          <w:rFonts w:ascii="Arial" w:hAnsi="Arial" w:cs="Arial"/>
          <w:sz w:val="22"/>
          <w:szCs w:val="22"/>
        </w:rPr>
      </w:pPr>
      <w:r>
        <w:rPr>
          <w:rFonts w:cs="Arial" w:ascii="Arial" w:hAnsi="Arial"/>
          <w:color w:val="000000"/>
          <w:sz w:val="22"/>
          <w:szCs w:val="22"/>
        </w:rPr>
        <w:tab/>
      </w:r>
      <w:r>
        <w:rPr>
          <w:rFonts w:cs="Arial" w:ascii="Arial" w:hAnsi="Arial"/>
          <w:b/>
          <w:bCs/>
          <w:color w:val="000000"/>
          <w:sz w:val="22"/>
          <w:szCs w:val="22"/>
        </w:rPr>
        <w:t>CLÁUSULA SÉTIMA - DA PRESTAÇÃO DE CONTAS</w:t>
      </w:r>
    </w:p>
    <w:p>
      <w:pPr>
        <w:pStyle w:val="Textbody"/>
        <w:spacing w:lineRule="auto" w:line="360" w:before="0" w:after="0"/>
        <w:jc w:val="both"/>
        <w:rPr>
          <w:rFonts w:ascii="Arial" w:hAnsi="Arial" w:cs="Arial"/>
        </w:rPr>
      </w:pPr>
      <w:r>
        <w:rPr>
          <w:rFonts w:cs="Arial" w:ascii="Arial" w:hAnsi="Arial"/>
          <w:color w:val="000000"/>
        </w:rPr>
        <w:tab/>
        <w:t>7.1. A prestação de contas é o procedimento em que se analisa e se avalia a execução da parceria, pelo qual seja possível verificar o cumprimento do objeto da parceria e o alcance das metas e dos resultados previstos, compreendendo duas fases:</w:t>
      </w:r>
    </w:p>
    <w:p>
      <w:pPr>
        <w:pStyle w:val="Textbody"/>
        <w:spacing w:lineRule="auto" w:line="360" w:before="0" w:after="0"/>
        <w:jc w:val="both"/>
        <w:rPr>
          <w:rFonts w:ascii="Arial" w:hAnsi="Arial" w:cs="Arial"/>
        </w:rPr>
      </w:pPr>
      <w:r>
        <w:rPr>
          <w:rFonts w:cs="Arial" w:ascii="Arial" w:hAnsi="Arial"/>
          <w:color w:val="000000"/>
        </w:rPr>
        <w:tab/>
        <w:t xml:space="preserve">a) apresentação das contas, de responsabilidade da </w:t>
      </w:r>
      <w:r>
        <w:rPr>
          <w:rFonts w:cs="Arial" w:ascii="Arial" w:hAnsi="Arial"/>
          <w:b/>
          <w:bCs/>
          <w:color w:val="000000"/>
        </w:rPr>
        <w:t>OSC</w:t>
      </w:r>
      <w:r>
        <w:rPr>
          <w:rFonts w:cs="Arial" w:ascii="Arial" w:hAnsi="Arial"/>
          <w:color w:val="000000"/>
        </w:rPr>
        <w:t>;</w:t>
      </w:r>
      <w:bookmarkStart w:id="38" w:name="m_4136101817286224392_art2xivb1"/>
      <w:bookmarkEnd w:id="38"/>
    </w:p>
    <w:p>
      <w:pPr>
        <w:pStyle w:val="Textbody"/>
        <w:spacing w:lineRule="auto" w:line="360" w:before="0" w:after="0"/>
        <w:jc w:val="both"/>
        <w:rPr>
          <w:rFonts w:ascii="Arial" w:hAnsi="Arial" w:cs="Arial"/>
        </w:rPr>
      </w:pPr>
      <w:r>
        <w:rPr>
          <w:rFonts w:cs="Arial" w:ascii="Arial" w:hAnsi="Arial"/>
          <w:color w:val="000000"/>
        </w:rPr>
        <w:tab/>
        <w:t xml:space="preserve">b) análise e manifestação conclusiva das contas, de responsabilidade da </w:t>
      </w:r>
      <w:r>
        <w:rPr>
          <w:rFonts w:cs="Arial" w:ascii="Arial" w:hAnsi="Arial"/>
          <w:b/>
          <w:bCs/>
          <w:color w:val="000000"/>
        </w:rPr>
        <w:t>ADMINISTRAÇÃO PÚBLICA MUNICIPAL</w:t>
      </w:r>
      <w:r>
        <w:rPr>
          <w:rFonts w:cs="Arial" w:ascii="Arial" w:hAnsi="Arial"/>
          <w:color w:val="000000"/>
        </w:rPr>
        <w:t>, sem prejuízo da atuação dos órgãos de controle (art. 2º, XIV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7.2. A prestação de contas apresentada pela </w:t>
      </w:r>
      <w:r>
        <w:rPr>
          <w:rFonts w:cs="Arial" w:ascii="Arial" w:hAnsi="Arial"/>
          <w:b/>
          <w:bCs/>
          <w:color w:val="000000"/>
          <w:sz w:val="22"/>
          <w:szCs w:val="22"/>
        </w:rPr>
        <w:t>OSC</w:t>
      </w:r>
      <w:r>
        <w:rPr>
          <w:rFonts w:cs="Arial" w:ascii="Arial" w:hAnsi="Arial"/>
          <w:color w:val="000000"/>
          <w:sz w:val="22"/>
          <w:szCs w:val="22"/>
        </w:rPr>
        <w:t xml:space="preserve">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7.3. Serão glosados valores relacionados a metas e resultados descumpridos sem justificativa suficiente (art. 64,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7.5. A prestação de contas pela </w:t>
      </w:r>
      <w:r>
        <w:rPr>
          <w:rFonts w:cs="Arial" w:ascii="Arial" w:hAnsi="Arial"/>
          <w:b/>
          <w:bCs/>
          <w:color w:val="000000"/>
          <w:sz w:val="22"/>
          <w:szCs w:val="22"/>
        </w:rPr>
        <w:t>OSC</w:t>
      </w:r>
      <w:r>
        <w:rPr>
          <w:rFonts w:cs="Arial" w:ascii="Arial" w:hAnsi="Arial"/>
          <w:color w:val="000000"/>
          <w:sz w:val="22"/>
          <w:szCs w:val="22"/>
        </w:rPr>
        <w:t xml:space="preserve"> e todos os atos que dela decorram dar-se-ão em plataforma eletrônica, permitindo a visualização por qualquer interessado (art. 65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ab/>
        <w:tab/>
        <w:t xml:space="preserve">7.6. A </w:t>
      </w:r>
      <w:r>
        <w:rPr>
          <w:rFonts w:cs="Arial" w:ascii="Arial" w:hAnsi="Arial"/>
          <w:b/>
          <w:bCs/>
          <w:color w:val="000000"/>
          <w:sz w:val="22"/>
          <w:szCs w:val="22"/>
        </w:rPr>
        <w:t>OSC</w:t>
      </w:r>
      <w:r>
        <w:rPr>
          <w:rFonts w:cs="Arial" w:ascii="Arial" w:hAnsi="Arial"/>
          <w:color w:val="000000"/>
          <w:sz w:val="22"/>
          <w:szCs w:val="22"/>
        </w:rPr>
        <w:t xml:space="preserve"> deverá apresentar prestação de contas da boa e regular aplicação dos recursos recebidos no prazo de </w:t>
      </w:r>
      <w:r>
        <w:rPr>
          <w:rFonts w:cs="Arial" w:ascii="Arial" w:hAnsi="Arial"/>
          <w:b/>
          <w:bCs/>
          <w:color w:val="000000"/>
          <w:sz w:val="22"/>
          <w:szCs w:val="22"/>
          <w:u w:val="single"/>
        </w:rPr>
        <w:t>até 90 (noventa) dias corridos</w:t>
      </w:r>
      <w:r>
        <w:rPr>
          <w:rFonts w:cs="Arial" w:ascii="Arial" w:hAnsi="Arial"/>
          <w:color w:val="000000"/>
          <w:sz w:val="22"/>
          <w:szCs w:val="22"/>
        </w:rPr>
        <w:t xml:space="preserve">, a partir do término da vigência da parceria, ou </w:t>
      </w:r>
      <w:r>
        <w:rPr>
          <w:rFonts w:cs="Arial" w:ascii="Arial" w:hAnsi="Arial"/>
          <w:b/>
          <w:bCs/>
          <w:color w:val="000000"/>
          <w:sz w:val="22"/>
          <w:szCs w:val="22"/>
          <w:u w:val="single"/>
        </w:rPr>
        <w:t>no final de cada exercício</w:t>
      </w:r>
      <w:r>
        <w:rPr>
          <w:rFonts w:cs="Arial" w:ascii="Arial" w:hAnsi="Arial"/>
          <w:color w:val="000000"/>
          <w:sz w:val="22"/>
          <w:szCs w:val="22"/>
        </w:rPr>
        <w:t>, se a duração da parceria exceder um ano (arts. 67, § 2º e 69, caput,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7.6.1. A prestação de contas dar-se-á mediante os seguintes relatórios, a serem elaborados e apresentados pela Organização da Sociedade Civil, no prazo previsto no item 8.6. deste Edital:</w:t>
      </w:r>
    </w:p>
    <w:p>
      <w:pPr>
        <w:pStyle w:val="Standard"/>
        <w:spacing w:lineRule="auto" w:line="360"/>
        <w:jc w:val="both"/>
        <w:rPr>
          <w:rFonts w:ascii="Arial" w:hAnsi="Arial" w:cs="Arial"/>
          <w:sz w:val="22"/>
          <w:szCs w:val="22"/>
        </w:rPr>
      </w:pPr>
      <w:r>
        <w:rPr>
          <w:rFonts w:cs="Arial" w:ascii="Arial" w:hAnsi="Arial"/>
          <w:color w:val="000000"/>
          <w:sz w:val="22"/>
          <w:szCs w:val="22"/>
        </w:rPr>
        <w:tab/>
        <w:t>a.) relatório de execução do objeto, contendo as atividades desenvolvidas para o cumprimento do objeto e o comparativo de metas propostas com os resultados alcançados; e,</w:t>
      </w:r>
    </w:p>
    <w:p>
      <w:pPr>
        <w:pStyle w:val="Standard"/>
        <w:spacing w:lineRule="auto" w:line="360"/>
        <w:jc w:val="both"/>
        <w:rPr>
          <w:rFonts w:ascii="Arial" w:hAnsi="Arial" w:cs="Arial"/>
          <w:sz w:val="22"/>
          <w:szCs w:val="22"/>
        </w:rPr>
      </w:pPr>
      <w:r>
        <w:rPr>
          <w:rFonts w:cs="Arial" w:ascii="Arial" w:hAnsi="Arial"/>
          <w:color w:val="000000"/>
          <w:sz w:val="22"/>
          <w:szCs w:val="22"/>
        </w:rPr>
        <w:tab/>
        <w:t>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ab/>
        <w:tab/>
        <w:t xml:space="preserve">7.6.2. O prazo poderá ser prorrogado por </w:t>
      </w:r>
      <w:r>
        <w:rPr>
          <w:rFonts w:cs="Arial" w:ascii="Arial" w:hAnsi="Arial"/>
          <w:b/>
          <w:bCs/>
          <w:color w:val="000000"/>
          <w:sz w:val="22"/>
          <w:szCs w:val="22"/>
          <w:u w:val="single"/>
        </w:rPr>
        <w:t>até 30 (trinta) dias</w:t>
      </w:r>
      <w:r>
        <w:rPr>
          <w:rFonts w:cs="Arial" w:ascii="Arial" w:hAnsi="Arial"/>
          <w:color w:val="000000"/>
          <w:sz w:val="22"/>
          <w:szCs w:val="22"/>
        </w:rPr>
        <w:t xml:space="preserve">, a requerimento da </w:t>
      </w:r>
      <w:r>
        <w:rPr>
          <w:rFonts w:cs="Arial" w:ascii="Arial" w:hAnsi="Arial"/>
          <w:b/>
          <w:bCs/>
          <w:color w:val="000000"/>
          <w:sz w:val="22"/>
          <w:szCs w:val="22"/>
        </w:rPr>
        <w:t>OSC</w:t>
      </w:r>
      <w:r>
        <w:rPr>
          <w:rFonts w:cs="Arial" w:ascii="Arial" w:hAnsi="Arial"/>
          <w:color w:val="000000"/>
          <w:sz w:val="22"/>
          <w:szCs w:val="22"/>
        </w:rPr>
        <w:t>, desde que devidamente justificado (art. 69, § 4º, da Lei nº 13.019/14).</w:t>
      </w:r>
    </w:p>
    <w:p>
      <w:pPr>
        <w:pStyle w:val="Standard"/>
        <w:tabs>
          <w:tab w:val="clear" w:pos="709"/>
          <w:tab w:val="left" w:pos="284" w:leader="none"/>
        </w:tabs>
        <w:spacing w:lineRule="auto" w:line="360"/>
        <w:jc w:val="both"/>
        <w:rPr>
          <w:rFonts w:ascii="Arial" w:hAnsi="Arial" w:cs="Arial"/>
          <w:sz w:val="22"/>
          <w:szCs w:val="22"/>
        </w:rPr>
      </w:pPr>
      <w:r>
        <w:rPr>
          <w:rFonts w:cs="Arial" w:ascii="Arial" w:hAnsi="Arial"/>
          <w:color w:val="000000"/>
          <w:sz w:val="22"/>
          <w:szCs w:val="22"/>
        </w:rPr>
        <w:tab/>
        <w:tab/>
        <w:t xml:space="preserve">7.7. A prestação de contas não impede que a </w:t>
      </w:r>
      <w:r>
        <w:rPr>
          <w:rFonts w:cs="Arial" w:ascii="Arial" w:hAnsi="Arial"/>
          <w:b/>
          <w:bCs/>
          <w:color w:val="000000"/>
          <w:sz w:val="22"/>
          <w:szCs w:val="22"/>
        </w:rPr>
        <w:t>ADMINISTRAÇÃO PÚBLICA MUNICIPAL</w:t>
      </w:r>
      <w:r>
        <w:rPr>
          <w:rFonts w:cs="Arial" w:ascii="Arial" w:hAnsi="Arial"/>
          <w:color w:val="000000"/>
          <w:sz w:val="22"/>
          <w:szCs w:val="22"/>
        </w:rPr>
        <w:t xml:space="preserve">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7.8. O Gestor da Parceria emitirá parecer técnico conclusivo acerca da prestação de contas apresentada pela </w:t>
      </w:r>
      <w:r>
        <w:rPr>
          <w:rFonts w:cs="Arial" w:ascii="Arial" w:hAnsi="Arial"/>
          <w:b/>
          <w:bCs/>
          <w:color w:val="000000"/>
          <w:sz w:val="22"/>
          <w:szCs w:val="22"/>
        </w:rPr>
        <w:t>OSC</w:t>
      </w:r>
      <w:r>
        <w:rPr>
          <w:rFonts w:cs="Arial" w:ascii="Arial" w:hAnsi="Arial"/>
          <w:color w:val="000000"/>
          <w:sz w:val="22"/>
          <w:szCs w:val="22"/>
        </w:rPr>
        <w:t xml:space="preserve">, no prazo de </w:t>
      </w:r>
      <w:r>
        <w:rPr>
          <w:rFonts w:cs="Arial" w:ascii="Arial" w:hAnsi="Arial"/>
          <w:b/>
          <w:bCs/>
          <w:color w:val="000000"/>
          <w:sz w:val="22"/>
          <w:szCs w:val="22"/>
          <w:u w:val="single"/>
        </w:rPr>
        <w:t>até 30 (trinta) dias corridos</w:t>
      </w:r>
      <w:r>
        <w:rPr>
          <w:rFonts w:cs="Arial" w:ascii="Arial" w:hAnsi="Arial"/>
          <w:color w:val="000000"/>
          <w:sz w:val="22"/>
          <w:szCs w:val="22"/>
        </w:rPr>
        <w:t>, a contar da apresentação da prestação de contas, para fins de avaliação do cumprimento do objeto da parceria (art. 67, caput e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7.8.1. Para fins de avaliação quanto à eficácia e efetividade das ações em execução ou que já foram realizadas, o parecer técnico elaborado pelo Gestor da Parceria deverá, obrigatoriamente, mencionar:</w:t>
      </w:r>
    </w:p>
    <w:p>
      <w:pPr>
        <w:pStyle w:val="Standard"/>
        <w:spacing w:lineRule="auto" w:line="360"/>
        <w:jc w:val="both"/>
        <w:rPr>
          <w:rFonts w:ascii="Arial" w:hAnsi="Arial" w:cs="Arial"/>
          <w:sz w:val="22"/>
          <w:szCs w:val="22"/>
        </w:rPr>
      </w:pPr>
      <w:r>
        <w:rPr>
          <w:rFonts w:cs="Arial" w:ascii="Arial" w:hAnsi="Arial"/>
          <w:color w:val="000000"/>
          <w:sz w:val="22"/>
          <w:szCs w:val="22"/>
        </w:rPr>
        <w:tab/>
        <w:t>I - os resultados já alcançados e seus benefícios;</w:t>
      </w:r>
    </w:p>
    <w:p>
      <w:pPr>
        <w:pStyle w:val="Standard"/>
        <w:spacing w:lineRule="auto" w:line="360"/>
        <w:jc w:val="both"/>
        <w:rPr>
          <w:rFonts w:ascii="Arial" w:hAnsi="Arial" w:cs="Arial"/>
          <w:sz w:val="22"/>
          <w:szCs w:val="22"/>
        </w:rPr>
      </w:pPr>
      <w:r>
        <w:rPr>
          <w:rFonts w:cs="Arial" w:ascii="Arial" w:hAnsi="Arial"/>
          <w:color w:val="000000"/>
          <w:sz w:val="22"/>
          <w:szCs w:val="22"/>
        </w:rPr>
        <w:tab/>
        <w:t>II - os impactos econômicos ou sociais;</w:t>
      </w:r>
    </w:p>
    <w:p>
      <w:pPr>
        <w:pStyle w:val="Standard"/>
        <w:spacing w:lineRule="auto" w:line="360"/>
        <w:jc w:val="both"/>
        <w:rPr>
          <w:rFonts w:ascii="Arial" w:hAnsi="Arial" w:cs="Arial"/>
          <w:sz w:val="22"/>
          <w:szCs w:val="22"/>
        </w:rPr>
      </w:pPr>
      <w:r>
        <w:rPr>
          <w:rFonts w:cs="Arial" w:ascii="Arial" w:hAnsi="Arial"/>
          <w:color w:val="000000"/>
          <w:sz w:val="22"/>
          <w:szCs w:val="22"/>
        </w:rPr>
        <w:tab/>
        <w:t>III - o grau de satisfação do público-alvo;</w:t>
      </w:r>
    </w:p>
    <w:p>
      <w:pPr>
        <w:pStyle w:val="Standard"/>
        <w:spacing w:lineRule="auto" w:line="360"/>
        <w:jc w:val="both"/>
        <w:rPr>
          <w:rFonts w:ascii="Arial" w:hAnsi="Arial" w:cs="Arial"/>
          <w:sz w:val="22"/>
          <w:szCs w:val="22"/>
        </w:rPr>
      </w:pPr>
      <w:r>
        <w:rPr>
          <w:rFonts w:cs="Arial" w:ascii="Arial" w:hAnsi="Arial"/>
          <w:color w:val="000000"/>
          <w:sz w:val="22"/>
          <w:szCs w:val="22"/>
        </w:rPr>
        <w:tab/>
        <w:t>IV - a possibilidade de sustentabilidade das ações após a conclusão do objeto pactuado (art. 67, § 4º, I a IV,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7.8.2. Ao final, o parecer técnico deverá concluir, alternativamente, pela:</w:t>
      </w:r>
    </w:p>
    <w:p>
      <w:pPr>
        <w:pStyle w:val="Standard"/>
        <w:spacing w:lineRule="auto" w:line="360"/>
        <w:jc w:val="both"/>
        <w:rPr>
          <w:rFonts w:ascii="Arial" w:hAnsi="Arial" w:cs="Arial"/>
          <w:sz w:val="22"/>
          <w:szCs w:val="22"/>
        </w:rPr>
      </w:pPr>
      <w:r>
        <w:rPr>
          <w:rFonts w:cs="Arial" w:ascii="Arial" w:hAnsi="Arial"/>
          <w:color w:val="000000"/>
          <w:sz w:val="22"/>
          <w:szCs w:val="22"/>
        </w:rPr>
        <w:tab/>
        <w:t>I - aprovação da prestação de contas;</w:t>
      </w:r>
    </w:p>
    <w:p>
      <w:pPr>
        <w:pStyle w:val="Standard"/>
        <w:spacing w:lineRule="auto" w:line="360"/>
        <w:jc w:val="both"/>
        <w:rPr>
          <w:rFonts w:ascii="Arial" w:hAnsi="Arial" w:cs="Arial"/>
          <w:sz w:val="22"/>
          <w:szCs w:val="22"/>
        </w:rPr>
      </w:pPr>
      <w:r>
        <w:rPr>
          <w:rFonts w:eastAsia="Times New Roman" w:cs="Arial" w:ascii="Arial" w:hAnsi="Arial"/>
          <w:color w:val="000000"/>
          <w:sz w:val="22"/>
          <w:szCs w:val="22"/>
        </w:rPr>
        <w:t xml:space="preserve"> </w:t>
      </w:r>
      <w:r>
        <w:rPr>
          <w:rFonts w:cs="Arial" w:ascii="Arial" w:hAnsi="Arial"/>
          <w:color w:val="000000"/>
          <w:sz w:val="22"/>
          <w:szCs w:val="22"/>
        </w:rPr>
        <w:tab/>
        <w:t>II - aprovação da prestação de contas com ressalvas; ou,</w:t>
      </w:r>
    </w:p>
    <w:p>
      <w:pPr>
        <w:pStyle w:val="Standard"/>
        <w:spacing w:lineRule="auto" w:line="360"/>
        <w:jc w:val="both"/>
        <w:rPr>
          <w:rFonts w:ascii="Arial" w:hAnsi="Arial" w:cs="Arial"/>
          <w:sz w:val="22"/>
          <w:szCs w:val="22"/>
        </w:rPr>
      </w:pPr>
      <w:r>
        <w:rPr>
          <w:rFonts w:cs="Arial" w:ascii="Arial" w:hAnsi="Arial"/>
          <w:color w:val="000000"/>
          <w:sz w:val="22"/>
          <w:szCs w:val="22"/>
        </w:rPr>
        <w:tab/>
        <w:t>III - rejeição da prestação de contas e determinação de imediata instauração de tomada de contas especial (art. 69, § 5º, I a III,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7.9. Constatada, pelo Gestor da Parceria, irregularidade ou omissão na prestação de contas, que impeça a emissão do parecer conclusivo de sua responsabilidade, será concedido prazo de </w:t>
      </w:r>
      <w:r>
        <w:rPr>
          <w:rFonts w:cs="Arial" w:ascii="Arial" w:hAnsi="Arial"/>
          <w:b/>
          <w:bCs/>
          <w:color w:val="000000"/>
          <w:sz w:val="22"/>
          <w:szCs w:val="22"/>
          <w:u w:val="single"/>
        </w:rPr>
        <w:t>até 15 (quinze) dias corridos</w:t>
      </w:r>
      <w:r>
        <w:rPr>
          <w:rFonts w:cs="Arial" w:ascii="Arial" w:hAnsi="Arial"/>
          <w:color w:val="000000"/>
          <w:sz w:val="22"/>
          <w:szCs w:val="22"/>
        </w:rPr>
        <w:t xml:space="preserve">, a contar da notificação, para a </w:t>
      </w:r>
      <w:r>
        <w:rPr>
          <w:rFonts w:cs="Arial" w:ascii="Arial" w:hAnsi="Arial"/>
          <w:b/>
          <w:bCs/>
          <w:color w:val="000000"/>
          <w:sz w:val="22"/>
          <w:szCs w:val="22"/>
        </w:rPr>
        <w:t>OSC</w:t>
      </w:r>
      <w:r>
        <w:rPr>
          <w:rFonts w:cs="Arial" w:ascii="Arial" w:hAnsi="Arial"/>
          <w:color w:val="000000"/>
          <w:sz w:val="22"/>
          <w:szCs w:val="22"/>
        </w:rPr>
        <w:t xml:space="preserve"> sanar a irregularidade, omissão ou cumprir a obrigação (art. 70, § 1º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360"/>
        <w:ind w:firstLine="708"/>
        <w:jc w:val="both"/>
        <w:rPr>
          <w:rFonts w:ascii="Arial" w:hAnsi="Arial" w:cs="Arial"/>
          <w:sz w:val="22"/>
          <w:szCs w:val="22"/>
        </w:rPr>
      </w:pPr>
      <w:r>
        <w:rPr>
          <w:rFonts w:cs="Arial" w:ascii="Arial" w:hAnsi="Arial"/>
          <w:color w:val="000000"/>
          <w:sz w:val="22"/>
          <w:szCs w:val="22"/>
        </w:rPr>
        <w:t xml:space="preserve">7.10. Com o laudo conclusivo do Gestor da Parceria, a </w:t>
      </w:r>
      <w:r>
        <w:rPr>
          <w:rFonts w:cs="Arial" w:ascii="Arial" w:hAnsi="Arial"/>
          <w:b/>
          <w:bCs/>
          <w:color w:val="000000"/>
          <w:sz w:val="22"/>
          <w:szCs w:val="22"/>
        </w:rPr>
        <w:t>ADMINISTRAÇÃO PÚBLICA MUNICIPAL</w:t>
      </w:r>
      <w:r>
        <w:rPr>
          <w:rFonts w:cs="Arial" w:ascii="Arial" w:hAnsi="Arial"/>
          <w:color w:val="000000"/>
          <w:sz w:val="22"/>
          <w:szCs w:val="22"/>
        </w:rPr>
        <w:t xml:space="preserve"> apreciará a prestação de contas apresentada, no prazo de </w:t>
      </w:r>
      <w:r>
        <w:rPr>
          <w:rFonts w:cs="Arial" w:ascii="Arial" w:hAnsi="Arial"/>
          <w:b/>
          <w:bCs/>
          <w:color w:val="000000"/>
          <w:sz w:val="22"/>
          <w:szCs w:val="22"/>
          <w:u w:val="single"/>
        </w:rPr>
        <w:t>até 150 (cento e cinquenta) dias corridos</w:t>
      </w:r>
      <w:r>
        <w:rPr>
          <w:rFonts w:cs="Arial" w:ascii="Arial" w:hAnsi="Arial"/>
          <w:color w:val="000000"/>
          <w:sz w:val="22"/>
          <w:szCs w:val="22"/>
        </w:rPr>
        <w:t>, contado da data de seu recebimento ou do cumprimento de diligência por ela determinada, prorrogável justificadamente, por igual período (art. 71, caput, da Lei nº 13.019/14).</w:t>
        <w:tab/>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7.11. A </w:t>
      </w:r>
      <w:r>
        <w:rPr>
          <w:rFonts w:cs="Arial" w:ascii="Arial" w:hAnsi="Arial"/>
          <w:b/>
          <w:bCs/>
          <w:color w:val="000000"/>
          <w:sz w:val="22"/>
          <w:szCs w:val="22"/>
        </w:rPr>
        <w:t>ADMINISTRAÇÃO PÚBLICA MUNICIPAL</w:t>
      </w:r>
      <w:r>
        <w:rPr>
          <w:rFonts w:cs="Arial" w:ascii="Arial" w:hAnsi="Arial"/>
          <w:color w:val="000000"/>
          <w:sz w:val="22"/>
          <w:szCs w:val="22"/>
        </w:rPr>
        <w:t xml:space="preserve"> deverá considerar em sua análise os seguintes relatórios elaborados internamente, quando houver:</w:t>
      </w:r>
    </w:p>
    <w:p>
      <w:pPr>
        <w:pStyle w:val="Standard"/>
        <w:spacing w:lineRule="auto" w:line="360"/>
        <w:jc w:val="both"/>
        <w:rPr>
          <w:rFonts w:ascii="Arial" w:hAnsi="Arial" w:cs="Arial"/>
          <w:sz w:val="22"/>
          <w:szCs w:val="22"/>
        </w:rPr>
      </w:pPr>
      <w:r>
        <w:rPr>
          <w:rFonts w:cs="Arial" w:ascii="Arial" w:hAnsi="Arial"/>
          <w:color w:val="000000"/>
          <w:sz w:val="22"/>
          <w:szCs w:val="22"/>
        </w:rPr>
        <w:tab/>
        <w:t>a.) relatório de visita técnica in loco eventualmente realizada durante a execução da parceria; e,</w:t>
      </w:r>
    </w:p>
    <w:p>
      <w:pPr>
        <w:pStyle w:val="Standard"/>
        <w:spacing w:lineRule="auto" w:line="360"/>
        <w:jc w:val="both"/>
        <w:rPr>
          <w:rFonts w:ascii="Arial" w:hAnsi="Arial" w:cs="Arial"/>
          <w:sz w:val="22"/>
          <w:szCs w:val="22"/>
        </w:rPr>
      </w:pPr>
      <w:r>
        <w:rPr>
          <w:rFonts w:cs="Arial" w:ascii="Arial" w:hAnsi="Arial"/>
          <w:color w:val="000000"/>
          <w:sz w:val="22"/>
          <w:szCs w:val="22"/>
        </w:rPr>
        <w:tab/>
        <w:t>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7.12. A prestação de contas será avaliada:</w:t>
      </w:r>
    </w:p>
    <w:p>
      <w:pPr>
        <w:pStyle w:val="Standard"/>
        <w:spacing w:lineRule="auto" w:line="360"/>
        <w:jc w:val="both"/>
        <w:rPr>
          <w:rFonts w:ascii="Arial" w:hAnsi="Arial" w:cs="Arial"/>
          <w:sz w:val="22"/>
          <w:szCs w:val="22"/>
        </w:rPr>
      </w:pPr>
      <w:r>
        <w:rPr>
          <w:rFonts w:cs="Arial" w:ascii="Arial" w:hAnsi="Arial"/>
          <w:color w:val="000000"/>
          <w:sz w:val="22"/>
          <w:szCs w:val="22"/>
        </w:rPr>
        <w:tab/>
        <w:t>I - regular, quando expressar, de forma clara e objetiva, o cumprimento dos objetivos e metas estabelecidos no plano de trabalho;</w:t>
      </w:r>
    </w:p>
    <w:p>
      <w:pPr>
        <w:pStyle w:val="Standard"/>
        <w:spacing w:lineRule="auto" w:line="360"/>
        <w:jc w:val="both"/>
        <w:rPr>
          <w:rFonts w:ascii="Arial" w:hAnsi="Arial" w:cs="Arial"/>
          <w:sz w:val="22"/>
          <w:szCs w:val="22"/>
        </w:rPr>
      </w:pPr>
      <w:r>
        <w:rPr>
          <w:rFonts w:cs="Arial" w:ascii="Arial" w:hAnsi="Arial"/>
          <w:color w:val="000000"/>
          <w:sz w:val="22"/>
          <w:szCs w:val="22"/>
        </w:rPr>
        <w:tab/>
        <w:t>II - regular com ressalva, quando evidenciar impropriedade ou qualquer outra falta de natureza formal que não resulte em dano ao erário;</w:t>
      </w:r>
    </w:p>
    <w:p>
      <w:pPr>
        <w:pStyle w:val="Standard"/>
        <w:spacing w:lineRule="auto" w:line="360"/>
        <w:jc w:val="both"/>
        <w:rPr>
          <w:rFonts w:ascii="Arial" w:hAnsi="Arial" w:cs="Arial"/>
          <w:sz w:val="22"/>
          <w:szCs w:val="22"/>
        </w:rPr>
      </w:pPr>
      <w:r>
        <w:rPr>
          <w:rFonts w:cs="Arial" w:ascii="Arial" w:hAnsi="Arial"/>
          <w:color w:val="000000"/>
          <w:sz w:val="22"/>
          <w:szCs w:val="22"/>
        </w:rPr>
        <w:tab/>
        <w:t>III - irregular, quando comprovada qualquer das seguintes circunstâncias:</w:t>
      </w:r>
    </w:p>
    <w:p>
      <w:pPr>
        <w:pStyle w:val="Standard"/>
        <w:spacing w:lineRule="auto" w:line="360"/>
        <w:jc w:val="both"/>
        <w:rPr>
          <w:rFonts w:ascii="Arial" w:hAnsi="Arial" w:cs="Arial"/>
          <w:sz w:val="22"/>
          <w:szCs w:val="22"/>
        </w:rPr>
      </w:pPr>
      <w:r>
        <w:rPr>
          <w:rFonts w:cs="Arial" w:ascii="Arial" w:hAnsi="Arial"/>
          <w:color w:val="000000"/>
          <w:sz w:val="22"/>
          <w:szCs w:val="22"/>
        </w:rPr>
        <w:tab/>
        <w:t>a.) omissão no dever de prestar contas;</w:t>
      </w:r>
    </w:p>
    <w:p>
      <w:pPr>
        <w:pStyle w:val="Standard"/>
        <w:spacing w:lineRule="auto" w:line="360"/>
        <w:jc w:val="both"/>
        <w:rPr>
          <w:rFonts w:ascii="Arial" w:hAnsi="Arial" w:cs="Arial"/>
          <w:sz w:val="22"/>
          <w:szCs w:val="22"/>
        </w:rPr>
      </w:pPr>
      <w:r>
        <w:rPr>
          <w:rFonts w:cs="Arial" w:ascii="Arial" w:hAnsi="Arial"/>
          <w:color w:val="000000"/>
          <w:sz w:val="22"/>
          <w:szCs w:val="22"/>
        </w:rPr>
        <w:tab/>
        <w:t>b.) descumprimento injustificado dos objetivos e metas estabelecidos no plano de trabalho;</w:t>
      </w:r>
    </w:p>
    <w:p>
      <w:pPr>
        <w:pStyle w:val="Standard"/>
        <w:spacing w:lineRule="auto" w:line="360"/>
        <w:jc w:val="both"/>
        <w:rPr>
          <w:rFonts w:ascii="Arial" w:hAnsi="Arial" w:cs="Arial"/>
          <w:sz w:val="22"/>
          <w:szCs w:val="22"/>
        </w:rPr>
      </w:pPr>
      <w:r>
        <w:rPr>
          <w:rFonts w:cs="Arial" w:ascii="Arial" w:hAnsi="Arial"/>
          <w:color w:val="000000"/>
          <w:sz w:val="22"/>
          <w:szCs w:val="22"/>
        </w:rPr>
        <w:tab/>
        <w:t>c.) dano ao erário decorrente de ato de gestão ilegítimo ou antieconômico;</w:t>
      </w:r>
    </w:p>
    <w:p>
      <w:pPr>
        <w:pStyle w:val="Standard"/>
        <w:spacing w:lineRule="auto" w:line="360"/>
        <w:jc w:val="both"/>
        <w:rPr>
          <w:rFonts w:ascii="Arial" w:hAnsi="Arial" w:cs="Arial"/>
          <w:sz w:val="22"/>
          <w:szCs w:val="22"/>
        </w:rPr>
      </w:pPr>
      <w:r>
        <w:rPr>
          <w:rFonts w:cs="Arial" w:ascii="Arial" w:hAnsi="Arial"/>
          <w:color w:val="000000"/>
          <w:sz w:val="22"/>
          <w:szCs w:val="22"/>
        </w:rPr>
        <w:tab/>
        <w:t>d.) desfalque ou desvio de dinheiro, bens ou valores públicos (art. 72, caput, I a II, a, b, c e d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7.13. Da decisão que julgar a prestação de contas, caberá recurso ao Chefe do Poder Executivo, no prazo de 5 (cinco) dias úteis, a contar da comunicação da decisão à </w:t>
      </w:r>
      <w:r>
        <w:rPr>
          <w:rFonts w:cs="Arial" w:ascii="Arial" w:hAnsi="Arial"/>
          <w:b/>
          <w:bCs/>
          <w:color w:val="000000"/>
          <w:sz w:val="22"/>
          <w:szCs w:val="22"/>
        </w:rPr>
        <w:t>OSC</w:t>
      </w:r>
      <w:r>
        <w:rPr>
          <w:rFonts w:cs="Arial" w:ascii="Arial" w:hAnsi="Arial"/>
          <w:color w:val="000000"/>
          <w:sz w:val="22"/>
          <w:szCs w:val="22"/>
        </w:rPr>
        <w:t>.</w:t>
      </w:r>
    </w:p>
    <w:p>
      <w:pPr>
        <w:pStyle w:val="Standard"/>
        <w:tabs>
          <w:tab w:val="left" w:pos="709" w:leader="none"/>
        </w:tabs>
        <w:suppressAutoHyphens w:val="false"/>
        <w:spacing w:lineRule="auto" w:line="360"/>
        <w:jc w:val="both"/>
        <w:rPr>
          <w:rFonts w:ascii="Arial" w:hAnsi="Arial" w:cs="Arial"/>
          <w:sz w:val="22"/>
          <w:szCs w:val="22"/>
        </w:rPr>
      </w:pPr>
      <w:r>
        <w:rPr>
          <w:rFonts w:cs="Arial" w:ascii="Arial" w:hAnsi="Arial"/>
          <w:b/>
          <w:color w:val="000000"/>
          <w:sz w:val="22"/>
          <w:szCs w:val="22"/>
        </w:rPr>
        <w:tab/>
      </w:r>
      <w:r>
        <w:rPr>
          <w:rFonts w:cs="Arial" w:ascii="Arial" w:hAnsi="Arial"/>
          <w:color w:val="000000"/>
          <w:sz w:val="22"/>
          <w:szCs w:val="22"/>
        </w:rPr>
        <w:t>7.14.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b/>
          <w:color w:val="000000"/>
          <w:sz w:val="22"/>
          <w:szCs w:val="22"/>
        </w:rPr>
        <w:tab/>
      </w:r>
      <w:r>
        <w:rPr>
          <w:rFonts w:cs="Arial" w:ascii="Arial" w:hAnsi="Arial"/>
          <w:color w:val="000000"/>
          <w:sz w:val="22"/>
          <w:szCs w:val="22"/>
        </w:rPr>
        <w:t>7.15. O transcurso do prazo definido no item 8.10 deste Termo de Colaboração, sem que as contas tenham sido apreciadas:</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ab/>
        <w:t>I - não significa impossibilidade de apreciação em data posterior ou vedação a que se adotem medidas saneadoras, punitivas ou destinadas a ressarcir danos que possam ter sido causados aos cofres públicos;</w:t>
      </w:r>
    </w:p>
    <w:p>
      <w:pPr>
        <w:pStyle w:val="Standard"/>
        <w:tabs>
          <w:tab w:val="clear" w:pos="709"/>
          <w:tab w:val="left" w:pos="567" w:leader="none"/>
        </w:tabs>
        <w:suppressAutoHyphens w:val="false"/>
        <w:spacing w:lineRule="auto" w:line="360"/>
        <w:jc w:val="both"/>
        <w:rPr>
          <w:rFonts w:ascii="Arial" w:hAnsi="Arial" w:cs="Arial"/>
          <w:sz w:val="22"/>
          <w:szCs w:val="22"/>
        </w:rPr>
      </w:pPr>
      <w:r>
        <w:rPr>
          <w:rFonts w:cs="Arial" w:ascii="Arial" w:hAnsi="Arial"/>
          <w:color w:val="000000"/>
          <w:sz w:val="22"/>
          <w:szCs w:val="22"/>
        </w:rPr>
        <w:tab/>
        <w:t xml:space="preserve">II - nos casos em que não for constatado dolo da </w:t>
      </w:r>
      <w:r>
        <w:rPr>
          <w:rFonts w:cs="Arial" w:ascii="Arial" w:hAnsi="Arial"/>
          <w:b/>
          <w:bCs/>
          <w:color w:val="000000"/>
          <w:sz w:val="22"/>
          <w:szCs w:val="22"/>
        </w:rPr>
        <w:t>OSC</w:t>
      </w:r>
      <w:r>
        <w:rPr>
          <w:rFonts w:cs="Arial" w:ascii="Arial" w:hAnsi="Arial"/>
          <w:color w:val="000000"/>
          <w:sz w:val="22"/>
          <w:szCs w:val="22"/>
        </w:rPr>
        <w:t xml:space="preserve">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7.17. Quando a prestação de contas for avaliada como irregular, após exaurida a fase recursal, se mantida a decisão, a </w:t>
      </w:r>
      <w:r>
        <w:rPr>
          <w:rFonts w:cs="Arial" w:ascii="Arial" w:hAnsi="Arial"/>
          <w:b/>
          <w:bCs/>
          <w:color w:val="000000"/>
          <w:sz w:val="22"/>
          <w:szCs w:val="22"/>
        </w:rPr>
        <w:t>OSC</w:t>
      </w:r>
      <w:r>
        <w:rPr>
          <w:rFonts w:cs="Arial" w:ascii="Arial" w:hAnsi="Arial"/>
          <w:color w:val="000000"/>
          <w:sz w:val="22"/>
          <w:szCs w:val="22"/>
        </w:rPr>
        <w:t xml:space="preserve">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7.18. As impropriedades que deram causa à rejeição da prestação de contas serão registradas em plataforma eletrônica de acesso público, devendo ser levadas em consideração por ocasião da assinatura de futuras parcerias com a </w:t>
      </w:r>
      <w:r>
        <w:rPr>
          <w:rFonts w:cs="Arial" w:ascii="Arial" w:hAnsi="Arial"/>
          <w:b/>
          <w:bCs/>
          <w:color w:val="000000"/>
          <w:sz w:val="22"/>
          <w:szCs w:val="22"/>
        </w:rPr>
        <w:t>ADMINISTRAÇÃO PÚBLICA MUNICIPAL</w:t>
      </w:r>
      <w:r>
        <w:rPr>
          <w:rFonts w:cs="Arial" w:ascii="Arial" w:hAnsi="Arial"/>
          <w:color w:val="000000"/>
          <w:sz w:val="22"/>
          <w:szCs w:val="22"/>
        </w:rPr>
        <w:t xml:space="preserve"> (art. 69, § 6º da Lei nº 13.019/14).</w:t>
      </w:r>
    </w:p>
    <w:p>
      <w:pPr>
        <w:pStyle w:val="Standard"/>
        <w:spacing w:lineRule="auto" w:line="360"/>
        <w:ind w:left="1417"/>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sz w:val="22"/>
          <w:szCs w:val="22"/>
        </w:rPr>
      </w:pPr>
      <w:r>
        <w:rPr>
          <w:rFonts w:cs="Arial" w:ascii="Arial" w:hAnsi="Arial"/>
          <w:b/>
          <w:bCs/>
          <w:color w:val="000000"/>
          <w:sz w:val="22"/>
          <w:szCs w:val="22"/>
        </w:rPr>
        <w:t>CLÁUSULA OITAVA - DAS SANÇÕES ADMINISTRATIVAS À ORGANIZAÇÃO DA SOCIEDADE CIVIL (OSC)</w:t>
      </w:r>
    </w:p>
    <w:p>
      <w:pPr>
        <w:pStyle w:val="Textbody"/>
        <w:spacing w:lineRule="auto" w:line="360" w:before="0" w:after="0"/>
        <w:jc w:val="both"/>
        <w:rPr>
          <w:rFonts w:ascii="Arial" w:hAnsi="Arial" w:cs="Arial"/>
        </w:rPr>
      </w:pPr>
      <w:r>
        <w:rPr>
          <w:rFonts w:cs="Arial" w:ascii="Arial" w:hAnsi="Arial"/>
          <w:color w:val="000000"/>
        </w:rPr>
        <w:tab/>
        <w:t xml:space="preserve">8.1. Pela execução da parceria em desacordo com o plano de trabalho, com a legislação específica e com as previsões deste Termo de Colaboração, do Edital e seus anexos, a </w:t>
      </w:r>
      <w:r>
        <w:rPr>
          <w:rFonts w:cs="Arial" w:ascii="Arial" w:hAnsi="Arial"/>
          <w:b/>
          <w:bCs/>
          <w:color w:val="000000"/>
        </w:rPr>
        <w:t>ADMINISTRAÇÃO PÚBLICA MUNICIPAL</w:t>
      </w:r>
      <w:r>
        <w:rPr>
          <w:rFonts w:cs="Arial" w:ascii="Arial" w:hAnsi="Arial"/>
          <w:color w:val="000000"/>
        </w:rPr>
        <w:t xml:space="preserve"> poderá, garantida a prévia defesa da entidade no respectivo processo, no prazo de 10 (dez) dias da abertura de vista, aplicar à </w:t>
      </w:r>
      <w:r>
        <w:rPr>
          <w:rFonts w:cs="Arial" w:ascii="Arial" w:hAnsi="Arial"/>
          <w:b/>
          <w:bCs/>
          <w:color w:val="000000"/>
        </w:rPr>
        <w:t>OSC</w:t>
      </w:r>
      <w:r>
        <w:rPr>
          <w:rFonts w:cs="Arial" w:ascii="Arial" w:hAnsi="Arial"/>
          <w:color w:val="000000"/>
        </w:rPr>
        <w:t xml:space="preserve"> as seguintes sanções:</w:t>
      </w:r>
    </w:p>
    <w:p>
      <w:pPr>
        <w:pStyle w:val="Textbody"/>
        <w:spacing w:lineRule="auto" w:line="360" w:before="0" w:after="0"/>
        <w:jc w:val="both"/>
        <w:rPr>
          <w:rFonts w:ascii="Arial" w:hAnsi="Arial" w:cs="Arial"/>
        </w:rPr>
      </w:pPr>
      <w:bookmarkStart w:id="39" w:name="m_3666514495724632519_art73i1"/>
      <w:bookmarkEnd w:id="39"/>
      <w:r>
        <w:rPr>
          <w:rFonts w:cs="Arial" w:ascii="Arial" w:hAnsi="Arial"/>
          <w:color w:val="000000"/>
        </w:rPr>
        <w:tab/>
        <w:t>I – advertência;</w:t>
      </w:r>
      <w:bookmarkStart w:id="40" w:name="m_3666514495724632519_art73ii.1"/>
      <w:bookmarkStart w:id="41" w:name="m_3666514495724632519_art73ii1"/>
      <w:bookmarkEnd w:id="40"/>
      <w:bookmarkEnd w:id="41"/>
    </w:p>
    <w:p>
      <w:pPr>
        <w:pStyle w:val="Textbody"/>
        <w:spacing w:lineRule="auto" w:line="360" w:before="0" w:after="0"/>
        <w:jc w:val="both"/>
        <w:rPr>
          <w:rFonts w:ascii="Arial" w:hAnsi="Arial" w:cs="Arial"/>
        </w:rPr>
      </w:pPr>
      <w:r>
        <w:rPr>
          <w:rFonts w:cs="Arial" w:ascii="Arial" w:hAnsi="Arial"/>
          <w:color w:val="000000"/>
        </w:rPr>
        <w:tab/>
        <w:t>II - suspensão temporária da participação em Chamamento Público e impedimento de celebrar parceria ou contrato com órgãos e entidades da Administração Pública Municipal, por prazo não superior a dois anos;</w:t>
      </w:r>
      <w:bookmarkStart w:id="42" w:name="m_3666514495724632519_art73iii1"/>
      <w:bookmarkEnd w:id="42"/>
    </w:p>
    <w:p>
      <w:pPr>
        <w:pStyle w:val="Textbody"/>
        <w:spacing w:lineRule="auto" w:line="360" w:before="0" w:after="0"/>
        <w:jc w:val="both"/>
        <w:rPr>
          <w:rFonts w:ascii="Arial" w:hAnsi="Arial" w:cs="Arial"/>
        </w:rPr>
      </w:pPr>
      <w:r>
        <w:rPr>
          <w:rFonts w:cs="Arial" w:ascii="Arial" w:hAnsi="Arial"/>
          <w:color w:val="000000"/>
        </w:rPr>
        <w:tab/>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Textbody"/>
        <w:spacing w:lineRule="auto" w:line="360" w:before="0" w:after="0"/>
        <w:jc w:val="both"/>
        <w:rPr>
          <w:rFonts w:ascii="Arial" w:hAnsi="Arial" w:cs="Arial"/>
          <w:color w:val="000000"/>
        </w:rPr>
      </w:pPr>
      <w:r>
        <w:rPr>
          <w:rFonts w:cs="Arial" w:ascii="Arial" w:hAnsi="Arial"/>
          <w:color w:val="000000"/>
        </w:rPr>
      </w:r>
    </w:p>
    <w:p>
      <w:pPr>
        <w:pStyle w:val="Standard"/>
        <w:spacing w:lineRule="auto" w:line="360"/>
        <w:jc w:val="both"/>
        <w:rPr>
          <w:rFonts w:ascii="Arial" w:hAnsi="Arial" w:cs="Arial"/>
          <w:sz w:val="22"/>
          <w:szCs w:val="22"/>
        </w:rPr>
      </w:pPr>
      <w:r>
        <w:rPr>
          <w:rFonts w:cs="Arial" w:ascii="Arial" w:hAnsi="Arial"/>
          <w:b/>
          <w:bCs/>
          <w:color w:val="000000"/>
          <w:sz w:val="22"/>
          <w:szCs w:val="22"/>
          <w:lang w:val="pt-PT"/>
        </w:rPr>
        <w:tab/>
        <w:t>CLÁUSULA NONA - DA RESCISÃO</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9.1. Este Termo de Colaboração poderá, a qualquer tempo e por iniciativa de qualquer dos partícipes, ser denunciado, mediante notificação prévia, com antecedência mínima de </w:t>
      </w:r>
      <w:r>
        <w:rPr>
          <w:rFonts w:cs="Arial" w:ascii="Arial" w:hAnsi="Arial"/>
          <w:b/>
          <w:bCs/>
          <w:color w:val="000000"/>
          <w:sz w:val="22"/>
          <w:szCs w:val="22"/>
          <w:u w:val="single"/>
        </w:rPr>
        <w:t>60 (sessenta) dias</w:t>
      </w:r>
      <w:r>
        <w:rPr>
          <w:rFonts w:cs="Arial" w:ascii="Arial" w:hAnsi="Arial"/>
          <w:color w:val="000000"/>
          <w:sz w:val="22"/>
          <w:szCs w:val="22"/>
        </w:rPr>
        <w:t>.</w:t>
      </w:r>
    </w:p>
    <w:p>
      <w:pPr>
        <w:pStyle w:val="Standard"/>
        <w:spacing w:lineRule="auto" w:line="360"/>
        <w:jc w:val="both"/>
        <w:rPr>
          <w:rFonts w:ascii="Arial" w:hAnsi="Arial" w:cs="Arial"/>
          <w:sz w:val="22"/>
          <w:szCs w:val="22"/>
        </w:rPr>
      </w:pPr>
      <w:r>
        <w:rPr>
          <w:rFonts w:cs="Arial" w:ascii="Arial" w:hAnsi="Arial"/>
          <w:color w:val="000000"/>
          <w:sz w:val="22"/>
          <w:szCs w:val="22"/>
        </w:rPr>
        <w:tab/>
        <w:t>9.2. O presente Termo de Colaboração também poderá ser rescindido, independentemente do prazo previsto no item 10.1, nos seguintes casos:</w:t>
      </w:r>
    </w:p>
    <w:p>
      <w:pPr>
        <w:pStyle w:val="Standard"/>
        <w:spacing w:lineRule="auto" w:line="360"/>
        <w:jc w:val="both"/>
        <w:rPr>
          <w:rFonts w:ascii="Arial" w:hAnsi="Arial" w:cs="Arial"/>
          <w:sz w:val="22"/>
          <w:szCs w:val="22"/>
        </w:rPr>
      </w:pPr>
      <w:r>
        <w:rPr>
          <w:rFonts w:cs="Arial" w:ascii="Arial" w:hAnsi="Arial"/>
          <w:color w:val="000000"/>
          <w:sz w:val="22"/>
          <w:szCs w:val="22"/>
        </w:rPr>
        <w:tab/>
        <w:tab/>
        <w:t>a.) a qualquer tempo, por mútuo acordo, mediante a lavratura do Termo de Rescisão;</w:t>
      </w:r>
    </w:p>
    <w:p>
      <w:pPr>
        <w:pStyle w:val="Standard"/>
        <w:spacing w:lineRule="auto" w:line="360"/>
        <w:jc w:val="both"/>
        <w:rPr>
          <w:rFonts w:ascii="Arial" w:hAnsi="Arial" w:cs="Arial"/>
          <w:sz w:val="22"/>
          <w:szCs w:val="22"/>
        </w:rPr>
      </w:pPr>
      <w:r>
        <w:rPr>
          <w:rFonts w:cs="Arial" w:ascii="Arial" w:hAnsi="Arial"/>
          <w:color w:val="000000"/>
          <w:sz w:val="22"/>
          <w:szCs w:val="22"/>
        </w:rPr>
        <w:tab/>
        <w:tab/>
        <w:t xml:space="preserve">b.) unilateralmente pela </w:t>
      </w:r>
      <w:r>
        <w:rPr>
          <w:rFonts w:cs="Arial" w:ascii="Arial" w:hAnsi="Arial"/>
          <w:b/>
          <w:bCs/>
          <w:color w:val="000000"/>
          <w:sz w:val="22"/>
          <w:szCs w:val="22"/>
        </w:rPr>
        <w:t>ADMINISTRAÇÃO PÚBLICA MUNICIPAL</w:t>
      </w:r>
      <w:r>
        <w:rPr>
          <w:rFonts w:cs="Arial" w:ascii="Arial" w:hAnsi="Arial"/>
          <w:color w:val="000000"/>
          <w:sz w:val="22"/>
          <w:szCs w:val="22"/>
        </w:rPr>
        <w:t>, garantida a prévia defesa da entidade no respectivo processo, no prazo de 10 (dez) dias da abertura de vista, nas seguintes situações:</w:t>
      </w:r>
    </w:p>
    <w:p>
      <w:pPr>
        <w:pStyle w:val="Standard"/>
        <w:spacing w:lineRule="auto" w:line="360"/>
        <w:jc w:val="both"/>
        <w:rPr>
          <w:rFonts w:ascii="Arial" w:hAnsi="Arial" w:cs="Arial"/>
          <w:sz w:val="22"/>
          <w:szCs w:val="22"/>
        </w:rPr>
      </w:pPr>
      <w:r>
        <w:rPr>
          <w:rFonts w:cs="Arial" w:ascii="Arial" w:hAnsi="Arial"/>
          <w:color w:val="000000"/>
          <w:sz w:val="22"/>
          <w:szCs w:val="22"/>
        </w:rPr>
        <w:tab/>
        <w:tab/>
        <w:tab/>
        <w:t xml:space="preserve">(i.) por irregularidades referentes à administração dos valores recebidos pela </w:t>
      </w:r>
      <w:r>
        <w:rPr>
          <w:rFonts w:cs="Arial" w:ascii="Arial" w:hAnsi="Arial"/>
          <w:b/>
          <w:bCs/>
          <w:color w:val="000000"/>
          <w:sz w:val="22"/>
          <w:szCs w:val="22"/>
        </w:rPr>
        <w:t>OSC</w:t>
      </w:r>
      <w:r>
        <w:rPr>
          <w:rFonts w:cs="Arial" w:ascii="Arial" w:hAnsi="Arial"/>
          <w:color w:val="000000"/>
          <w:sz w:val="22"/>
          <w:szCs w:val="22"/>
        </w:rPr>
        <w:t>, bem como à execução do objeto ou cláusulas da parceria relativas ao desenvolvimento da atividade e ao cumprimento das metas estabelecidas;</w:t>
      </w:r>
    </w:p>
    <w:p>
      <w:pPr>
        <w:pStyle w:val="Standard"/>
        <w:spacing w:lineRule="auto" w:line="360"/>
        <w:jc w:val="both"/>
        <w:rPr>
          <w:rFonts w:ascii="Arial" w:hAnsi="Arial" w:cs="Arial"/>
          <w:sz w:val="22"/>
          <w:szCs w:val="22"/>
        </w:rPr>
      </w:pPr>
      <w:r>
        <w:rPr>
          <w:rFonts w:cs="Arial" w:ascii="Arial" w:hAnsi="Arial"/>
          <w:color w:val="000000"/>
          <w:sz w:val="22"/>
          <w:szCs w:val="22"/>
        </w:rPr>
        <w:tab/>
        <w:tab/>
        <w:tab/>
        <w:t xml:space="preserve">(ii) Pela execução da parceria, pela </w:t>
      </w:r>
      <w:r>
        <w:rPr>
          <w:rFonts w:cs="Arial" w:ascii="Arial" w:hAnsi="Arial"/>
          <w:b/>
          <w:bCs/>
          <w:color w:val="000000"/>
          <w:sz w:val="22"/>
          <w:szCs w:val="22"/>
        </w:rPr>
        <w:t>OSC</w:t>
      </w:r>
      <w:r>
        <w:rPr>
          <w:rFonts w:cs="Arial" w:ascii="Arial" w:hAnsi="Arial"/>
          <w:color w:val="000000"/>
          <w:sz w:val="22"/>
          <w:szCs w:val="22"/>
        </w:rPr>
        <w:t>, em desacordo com o plano de trabalho, com a legislação específica e com as previsões deste Termo de Colaboração, do Edital e seus anexos,</w:t>
      </w:r>
    </w:p>
    <w:p>
      <w:pPr>
        <w:pStyle w:val="Standard"/>
        <w:tabs>
          <w:tab w:val="clear" w:pos="709"/>
          <w:tab w:val="left" w:pos="792" w:leader="none"/>
          <w:tab w:val="left" w:pos="7938" w:leader="none"/>
        </w:tabs>
        <w:spacing w:lineRule="auto" w:line="360"/>
        <w:jc w:val="both"/>
        <w:rPr>
          <w:rFonts w:ascii="Arial" w:hAnsi="Arial" w:cs="Arial"/>
          <w:sz w:val="22"/>
          <w:szCs w:val="22"/>
        </w:rPr>
      </w:pPr>
      <w:r>
        <w:rPr>
          <w:rFonts w:cs="Arial" w:ascii="Arial" w:hAnsi="Arial"/>
          <w:color w:val="000000"/>
          <w:sz w:val="22"/>
          <w:szCs w:val="22"/>
        </w:rPr>
        <w:tab/>
        <w:t>9.3. A rescisão unilateral não impede a aplicação das sanções previstas no item 9.1 deste Termo de Colaboração.</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9.4. Na hipótese de inexecução da parceria, por culpa exclusiva da </w:t>
      </w:r>
      <w:r>
        <w:rPr>
          <w:rFonts w:cs="Arial" w:ascii="Arial" w:hAnsi="Arial"/>
          <w:b/>
          <w:bCs/>
          <w:color w:val="000000"/>
          <w:sz w:val="22"/>
          <w:szCs w:val="22"/>
        </w:rPr>
        <w:t>OSC</w:t>
      </w:r>
      <w:r>
        <w:rPr>
          <w:rFonts w:cs="Arial" w:ascii="Arial" w:hAnsi="Arial"/>
          <w:color w:val="000000"/>
          <w:sz w:val="22"/>
          <w:szCs w:val="22"/>
        </w:rPr>
        <w:t xml:space="preserve">, a </w:t>
      </w:r>
      <w:r>
        <w:rPr>
          <w:rFonts w:cs="Arial" w:ascii="Arial" w:hAnsi="Arial"/>
          <w:b/>
          <w:bCs/>
          <w:color w:val="000000"/>
          <w:sz w:val="22"/>
          <w:szCs w:val="22"/>
        </w:rPr>
        <w:t>ADMINISTRAÇÃO PÚBLICA MUNICIPAL</w:t>
      </w:r>
      <w:r>
        <w:rPr>
          <w:rFonts w:cs="Arial" w:ascii="Arial" w:hAnsi="Arial"/>
          <w:color w:val="000000"/>
          <w:sz w:val="22"/>
          <w:szCs w:val="22"/>
        </w:rPr>
        <w:t xml:space="preserve"> poderá, exclusivamente para assegurar o atendimento de serviços essenciais à população, por ato próprio e independentemente de autorização judicial, a fim de realizar ou manter a execução das metas ou atividades pactuadas:</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I - retomar os bens públicos em poder da </w:t>
      </w:r>
      <w:r>
        <w:rPr>
          <w:rFonts w:cs="Arial" w:ascii="Arial" w:hAnsi="Arial"/>
          <w:b/>
          <w:bCs/>
          <w:color w:val="000000"/>
          <w:sz w:val="22"/>
          <w:szCs w:val="22"/>
        </w:rPr>
        <w:t>OSC</w:t>
      </w:r>
      <w:r>
        <w:rPr>
          <w:rFonts w:cs="Arial" w:ascii="Arial" w:hAnsi="Arial"/>
          <w:color w:val="000000"/>
          <w:sz w:val="22"/>
          <w:szCs w:val="22"/>
        </w:rPr>
        <w:t>, qualquer que tenha sido a modalidade ou título que concedeu direitos de uso de tais bens (se houver);</w:t>
      </w:r>
    </w:p>
    <w:p>
      <w:pPr>
        <w:pStyle w:val="Standard"/>
        <w:spacing w:lineRule="auto" w:line="360"/>
        <w:jc w:val="both"/>
        <w:rPr>
          <w:rFonts w:ascii="Arial" w:hAnsi="Arial" w:cs="Arial"/>
          <w:sz w:val="22"/>
          <w:szCs w:val="22"/>
        </w:rPr>
      </w:pPr>
      <w:r>
        <w:rPr>
          <w:rFonts w:cs="Arial" w:ascii="Arial" w:hAnsi="Arial"/>
          <w:color w:val="000000"/>
          <w:sz w:val="22"/>
          <w:szCs w:val="22"/>
        </w:rPr>
        <w:tab/>
        <w:t xml:space="preserve">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w:t>
      </w:r>
      <w:r>
        <w:rPr>
          <w:rFonts w:cs="Arial" w:ascii="Arial" w:hAnsi="Arial"/>
          <w:b/>
          <w:bCs/>
          <w:color w:val="000000"/>
          <w:sz w:val="22"/>
          <w:szCs w:val="22"/>
        </w:rPr>
        <w:t>administração pública municipal</w:t>
      </w:r>
      <w:r>
        <w:rPr>
          <w:rFonts w:cs="Arial" w:ascii="Arial" w:hAnsi="Arial"/>
          <w:color w:val="000000"/>
          <w:sz w:val="22"/>
          <w:szCs w:val="22"/>
        </w:rPr>
        <w:t xml:space="preserve"> assumiu essas responsabilidades, sendo que tais situações devem ser comunicadas de imediato pelo gestor ao Chefe do Poder Executivo (art. 62, caput, incs. I e II, parágrafo único, da Lei nº 13.019/14).</w:t>
      </w:r>
    </w:p>
    <w:p>
      <w:pPr>
        <w:pStyle w:val="Standard"/>
        <w:tabs>
          <w:tab w:val="clear" w:pos="709"/>
          <w:tab w:val="left" w:pos="284"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sz w:val="22"/>
          <w:szCs w:val="22"/>
        </w:rPr>
      </w:pPr>
      <w:r>
        <w:rPr>
          <w:rFonts w:cs="Arial" w:ascii="Arial" w:hAnsi="Arial"/>
          <w:b/>
          <w:bCs/>
          <w:color w:val="000000"/>
          <w:sz w:val="22"/>
          <w:szCs w:val="22"/>
          <w:lang w:val="pt-PT"/>
        </w:rPr>
        <w:tab/>
        <w:t>CLÁUSULA DÉCIMA  - DO FORO DE ELEIÇÃO</w:t>
      </w:r>
    </w:p>
    <w:p>
      <w:pPr>
        <w:pStyle w:val="Standard"/>
        <w:spacing w:lineRule="auto" w:line="360"/>
        <w:ind w:firstLine="708"/>
        <w:jc w:val="both"/>
        <w:rPr>
          <w:rFonts w:ascii="Arial" w:hAnsi="Arial" w:cs="Arial"/>
          <w:sz w:val="22"/>
          <w:szCs w:val="22"/>
        </w:rPr>
      </w:pPr>
      <w:r>
        <w:rPr>
          <w:rFonts w:cs="Arial" w:ascii="Arial" w:hAnsi="Arial"/>
          <w:color w:val="000000"/>
          <w:sz w:val="22"/>
          <w:szCs w:val="22"/>
        </w:rPr>
        <w:t>Fica eleito o foro do Município de Itatiba para dirimir as eventuais controvérsias decorrentes do presente ajuste.</w:t>
      </w:r>
    </w:p>
    <w:p>
      <w:pPr>
        <w:pStyle w:val="Standard"/>
        <w:spacing w:lineRule="auto" w:line="360"/>
        <w:ind w:firstLine="708"/>
        <w:jc w:val="both"/>
        <w:rPr>
          <w:rFonts w:ascii="Arial" w:hAnsi="Arial" w:cs="Arial"/>
          <w:sz w:val="22"/>
          <w:szCs w:val="22"/>
        </w:rPr>
      </w:pPr>
      <w:r>
        <w:rPr>
          <w:rFonts w:cs="Arial" w:ascii="Arial" w:hAnsi="Arial"/>
          <w:color w:val="000000"/>
          <w:sz w:val="22"/>
          <w:szCs w:val="22"/>
        </w:rPr>
        <w:t>E, por estarem de acordo, foi lavrado o presente instrumento que, lido e achado conforme, vai assinado em 03 (três) vias de igual teor, pelas partes e na presença de duas testemunhas adiante indicadas.</w:t>
      </w:r>
    </w:p>
    <w:p>
      <w:pPr>
        <w:pStyle w:val="Standard"/>
        <w:spacing w:lineRule="auto" w:line="360"/>
        <w:ind w:firstLine="708"/>
        <w:jc w:val="both"/>
        <w:rPr>
          <w:rFonts w:ascii="Arial" w:hAnsi="Arial" w:cs="Arial"/>
          <w:sz w:val="22"/>
          <w:szCs w:val="22"/>
        </w:rPr>
      </w:pPr>
      <w:r>
        <w:rPr>
          <w:rFonts w:cs="Arial" w:ascii="Arial" w:hAnsi="Arial"/>
          <w:color w:val="000000"/>
          <w:sz w:val="22"/>
          <w:szCs w:val="22"/>
        </w:rPr>
        <w:t>Itatiba, _____________________</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Corpodetexto32"/>
        <w:spacing w:lineRule="auto" w:line="360" w:before="0" w:after="0"/>
        <w:rPr>
          <w:rFonts w:ascii="Arial" w:hAnsi="Arial" w:cs="Arial"/>
          <w:sz w:val="22"/>
          <w:szCs w:val="22"/>
        </w:rPr>
      </w:pPr>
      <w:r>
        <w:rPr>
          <w:rFonts w:cs="Arial" w:ascii="Arial" w:hAnsi="Arial"/>
          <w:b/>
          <w:bCs/>
          <w:color w:val="000000"/>
          <w:sz w:val="22"/>
          <w:szCs w:val="22"/>
        </w:rPr>
        <w:tab/>
      </w:r>
      <w:r>
        <w:rPr>
          <w:rFonts w:cs="Arial" w:ascii="Arial" w:hAnsi="Arial"/>
          <w:b/>
          <w:bCs/>
          <w:color w:val="000000"/>
          <w:sz w:val="22"/>
          <w:szCs w:val="22"/>
          <w:u w:val="single"/>
        </w:rPr>
        <w:t>a.) Pela Prefeitura do Município de Itatiba</w:t>
      </w:r>
      <w:r>
        <w:rPr>
          <w:rFonts w:cs="Arial" w:ascii="Arial" w:hAnsi="Arial"/>
          <w:b/>
          <w:bCs/>
          <w:color w:val="000000"/>
          <w:sz w:val="22"/>
          <w:szCs w:val="22"/>
        </w:rPr>
        <w:t>:</w:t>
      </w:r>
    </w:p>
    <w:p>
      <w:pPr>
        <w:pStyle w:val="Standard"/>
        <w:spacing w:lineRule="auto" w:line="360"/>
        <w:ind w:hanging="142" w:left="142" w:right="51"/>
        <w:jc w:val="center"/>
        <w:rPr>
          <w:rFonts w:ascii="Arial" w:hAnsi="Arial" w:cs="Arial"/>
          <w:sz w:val="22"/>
          <w:szCs w:val="22"/>
        </w:rPr>
      </w:pPr>
      <w:r>
        <w:rPr>
          <w:rStyle w:val="PageNumber"/>
          <w:rFonts w:cs="Arial" w:ascii="Arial" w:hAnsi="Arial"/>
          <w:b/>
          <w:color w:val="000000"/>
          <w:sz w:val="22"/>
          <w:szCs w:val="22"/>
        </w:rPr>
        <w:t>__________________________________</w:t>
      </w:r>
    </w:p>
    <w:p>
      <w:pPr>
        <w:pStyle w:val="Standard"/>
        <w:spacing w:lineRule="auto" w:line="360"/>
        <w:ind w:hanging="142" w:left="142" w:right="51"/>
        <w:jc w:val="center"/>
        <w:rPr>
          <w:rFonts w:ascii="Arial" w:hAnsi="Arial" w:cs="Arial"/>
          <w:sz w:val="22"/>
          <w:szCs w:val="22"/>
        </w:rPr>
      </w:pPr>
      <w:r>
        <w:rPr>
          <w:rStyle w:val="PageNumber"/>
          <w:rFonts w:cs="Arial" w:ascii="Arial" w:hAnsi="Arial"/>
          <w:b/>
          <w:color w:val="000000"/>
          <w:sz w:val="22"/>
          <w:szCs w:val="22"/>
        </w:rPr>
        <w:t>Prefeito Municipal</w:t>
      </w:r>
    </w:p>
    <w:p>
      <w:pPr>
        <w:pStyle w:val="Standard"/>
        <w:spacing w:lineRule="auto" w:line="360"/>
        <w:ind w:hanging="142" w:left="142" w:right="51"/>
        <w:jc w:val="center"/>
        <w:rPr>
          <w:rFonts w:ascii="Arial" w:hAnsi="Arial" w:cs="Arial"/>
          <w:sz w:val="22"/>
          <w:szCs w:val="22"/>
        </w:rPr>
      </w:pPr>
      <w:r>
        <w:rPr>
          <w:rStyle w:val="PageNumber"/>
          <w:rFonts w:cs="Arial" w:ascii="Arial" w:hAnsi="Arial"/>
          <w:b/>
          <w:color w:val="000000"/>
          <w:sz w:val="22"/>
          <w:szCs w:val="22"/>
        </w:rPr>
        <w:t>__________________________________</w:t>
      </w:r>
    </w:p>
    <w:p>
      <w:pPr>
        <w:pStyle w:val="Standard"/>
        <w:spacing w:lineRule="auto" w:line="360"/>
        <w:jc w:val="center"/>
        <w:rPr>
          <w:rFonts w:ascii="Arial" w:hAnsi="Arial" w:cs="Arial"/>
          <w:sz w:val="22"/>
          <w:szCs w:val="22"/>
        </w:rPr>
      </w:pPr>
      <w:r>
        <w:rPr>
          <w:rFonts w:cs="Arial" w:ascii="Arial" w:hAnsi="Arial"/>
          <w:b/>
          <w:color w:val="000000"/>
          <w:sz w:val="22"/>
          <w:szCs w:val="22"/>
        </w:rPr>
        <w:t>Secretária de Saúde</w:t>
      </w:r>
    </w:p>
    <w:p>
      <w:pPr>
        <w:pStyle w:val="Standard"/>
        <w:spacing w:lineRule="auto" w:line="360"/>
        <w:jc w:val="both"/>
        <w:rPr>
          <w:rFonts w:ascii="Arial" w:hAnsi="Arial" w:cs="Arial"/>
          <w:b/>
          <w:color w:val="000000"/>
          <w:sz w:val="22"/>
          <w:szCs w:val="22"/>
        </w:rPr>
      </w:pPr>
      <w:r>
        <w:rPr>
          <w:rFonts w:cs="Arial" w:ascii="Arial" w:hAnsi="Arial"/>
          <w:b/>
          <w:color w:val="000000"/>
          <w:sz w:val="22"/>
          <w:szCs w:val="22"/>
        </w:rPr>
      </w:r>
    </w:p>
    <w:p>
      <w:pPr>
        <w:pStyle w:val="Corpodetexto32"/>
        <w:spacing w:lineRule="auto" w:line="360" w:before="0" w:after="0"/>
        <w:rPr>
          <w:rFonts w:ascii="Arial" w:hAnsi="Arial" w:cs="Arial"/>
          <w:sz w:val="22"/>
          <w:szCs w:val="22"/>
        </w:rPr>
      </w:pPr>
      <w:r>
        <w:rPr>
          <w:rFonts w:cs="Arial" w:ascii="Arial" w:hAnsi="Arial"/>
          <w:b/>
          <w:bCs/>
          <w:color w:val="000000"/>
          <w:sz w:val="22"/>
          <w:szCs w:val="22"/>
        </w:rPr>
        <w:tab/>
      </w:r>
      <w:r>
        <w:rPr>
          <w:rFonts w:cs="Arial" w:ascii="Arial" w:hAnsi="Arial"/>
          <w:b/>
          <w:bCs/>
          <w:color w:val="000000"/>
          <w:sz w:val="22"/>
          <w:szCs w:val="22"/>
          <w:u w:val="single"/>
        </w:rPr>
        <w:t>b.) Pela Organização da Sociedade Civil (OSC)</w:t>
      </w:r>
      <w:r>
        <w:rPr>
          <w:rFonts w:cs="Arial" w:ascii="Arial" w:hAnsi="Arial"/>
          <w:b/>
          <w:bCs/>
          <w:color w:val="000000"/>
          <w:sz w:val="22"/>
          <w:szCs w:val="22"/>
        </w:rPr>
        <w:t>:</w:t>
      </w:r>
    </w:p>
    <w:p>
      <w:pPr>
        <w:pStyle w:val="Corpodetexto32"/>
        <w:spacing w:lineRule="auto" w:line="360" w:before="0" w:after="0"/>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ind w:right="-85"/>
        <w:jc w:val="center"/>
        <w:rPr>
          <w:rFonts w:ascii="Arial" w:hAnsi="Arial" w:cs="Arial"/>
          <w:sz w:val="22"/>
          <w:szCs w:val="22"/>
        </w:rPr>
      </w:pPr>
      <w:r>
        <w:rPr>
          <w:rFonts w:cs="Arial" w:ascii="Arial" w:hAnsi="Arial"/>
          <w:b/>
          <w:bCs/>
          <w:color w:val="000000"/>
          <w:sz w:val="22"/>
          <w:szCs w:val="22"/>
        </w:rPr>
        <w:t>NOME DO DIRIGENTE DA OSC</w:t>
      </w:r>
    </w:p>
    <w:p>
      <w:pPr>
        <w:pStyle w:val="Standard"/>
        <w:spacing w:lineRule="auto" w:line="360"/>
        <w:ind w:right="51"/>
        <w:jc w:val="both"/>
        <w:rPr>
          <w:rFonts w:ascii="Arial" w:hAnsi="Arial" w:cs="Arial"/>
          <w:sz w:val="22"/>
          <w:szCs w:val="22"/>
        </w:rPr>
      </w:pPr>
      <w:r>
        <w:rPr>
          <w:rFonts w:cs="Arial" w:ascii="Arial" w:hAnsi="Arial"/>
          <w:b/>
          <w:bCs/>
          <w:color w:val="000000"/>
          <w:sz w:val="22"/>
          <w:szCs w:val="22"/>
        </w:rPr>
        <w:tab/>
        <w:t xml:space="preserve">c.) </w:t>
      </w:r>
      <w:r>
        <w:rPr>
          <w:rFonts w:cs="Arial" w:ascii="Arial" w:hAnsi="Arial"/>
          <w:b/>
          <w:bCs/>
          <w:color w:val="000000"/>
          <w:sz w:val="22"/>
          <w:szCs w:val="22"/>
          <w:u w:val="single"/>
        </w:rPr>
        <w:t>Testemunhas</w:t>
      </w:r>
      <w:r>
        <w:rPr>
          <w:rFonts w:cs="Arial" w:ascii="Arial" w:hAnsi="Arial"/>
          <w:b/>
          <w:bCs/>
          <w:color w:val="000000"/>
          <w:sz w:val="22"/>
          <w:szCs w:val="22"/>
        </w:rPr>
        <w:t>:</w:t>
      </w:r>
    </w:p>
    <w:p>
      <w:pPr>
        <w:pStyle w:val="Standard"/>
        <w:spacing w:lineRule="auto" w:line="360"/>
        <w:ind w:right="51"/>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ind w:right="51"/>
        <w:jc w:val="both"/>
        <w:rPr>
          <w:rFonts w:ascii="Arial" w:hAnsi="Arial" w:cs="Arial"/>
          <w:sz w:val="22"/>
          <w:szCs w:val="22"/>
        </w:rPr>
      </w:pPr>
      <w:r>
        <w:rPr>
          <w:rFonts w:cs="Arial" w:ascii="Arial" w:hAnsi="Arial"/>
          <w:b/>
          <w:bCs/>
          <w:color w:val="000000"/>
          <w:sz w:val="22"/>
          <w:szCs w:val="22"/>
        </w:rPr>
        <w:tab/>
        <w:t>NOME E IDENTIFICAÇÃO (Testemunha 1):</w:t>
      </w:r>
    </w:p>
    <w:p>
      <w:pPr>
        <w:pStyle w:val="Standard"/>
        <w:spacing w:lineRule="auto" w:line="360"/>
        <w:ind w:right="51"/>
        <w:jc w:val="both"/>
        <w:rPr>
          <w:rFonts w:ascii="Arial" w:hAnsi="Arial" w:cs="Arial"/>
          <w:b/>
          <w:bCs/>
          <w:color w:val="000000"/>
          <w:sz w:val="22"/>
          <w:szCs w:val="22"/>
        </w:rPr>
      </w:pPr>
      <w:r>
        <w:rPr>
          <w:rFonts w:cs="Arial" w:ascii="Arial" w:hAnsi="Arial"/>
          <w:b/>
          <w:bCs/>
          <w:color w:val="000000"/>
          <w:sz w:val="22"/>
          <w:szCs w:val="22"/>
        </w:rPr>
      </w:r>
    </w:p>
    <w:p>
      <w:pPr>
        <w:pStyle w:val="Standard"/>
        <w:spacing w:lineRule="auto" w:line="360"/>
        <w:ind w:right="51"/>
        <w:jc w:val="both"/>
        <w:rPr>
          <w:rFonts w:ascii="Arial" w:hAnsi="Arial" w:cs="Arial"/>
          <w:sz w:val="22"/>
          <w:szCs w:val="22"/>
        </w:rPr>
      </w:pPr>
      <w:r>
        <w:rPr>
          <w:rFonts w:cs="Arial" w:ascii="Arial" w:hAnsi="Arial"/>
          <w:b/>
          <w:bCs/>
          <w:color w:val="000000"/>
          <w:sz w:val="22"/>
          <w:szCs w:val="22"/>
        </w:rPr>
        <w:tab/>
        <w:t>NOME E IDENTIFICAÇÃO (Testemunha 2):</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sz w:val="22"/>
          <w:szCs w:val="22"/>
        </w:rPr>
        <w:t>(MODELO)</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u w:val="single"/>
        </w:rPr>
        <w:t>ANEXO X</w:t>
      </w:r>
    </w:p>
    <w:p>
      <w:pPr>
        <w:pStyle w:val="Standard"/>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rPr>
        <w:t>DECLARAÇÃO DE PROMESSA DE TRANSFERÊNCIA (ART. 35, § 5º DA LEI Nº 13.019/14)</w:t>
      </w:r>
    </w:p>
    <w:p>
      <w:pPr>
        <w:pStyle w:val="Standard"/>
        <w:tabs>
          <w:tab w:val="clear" w:pos="709"/>
          <w:tab w:val="left" w:pos="567" w:leader="none"/>
        </w:tab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ind w:firstLine="567"/>
        <w:jc w:val="both"/>
        <w:rPr>
          <w:rFonts w:ascii="Arial" w:hAnsi="Arial" w:cs="Arial"/>
          <w:sz w:val="22"/>
          <w:szCs w:val="22"/>
        </w:rPr>
      </w:pPr>
      <w:r>
        <w:rPr>
          <w:rFonts w:cs="Arial" w:ascii="Arial" w:hAnsi="Arial"/>
          <w:color w:val="000000"/>
          <w:sz w:val="22"/>
          <w:szCs w:val="22"/>
        </w:rPr>
        <w:t>Declaro para os devidos fins e efeitos de direitos, que a caso a [identificação da organização da sociedade civil – OSC], adquira equipamentos e materiais permanentes com recursos provenientes da celebração da parceria, o bem será gravado com cláusula de inalienabilidade, e, na hipótese de sua extinção, esta se compromete a formalizar a transferência da propriedade à Administração Pública Municipal, nos termos do art. 35, § 5º da Lei nº 13.019/14.</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Local, ________________</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tabs>
          <w:tab w:val="clear" w:pos="709"/>
          <w:tab w:val="left" w:pos="567" w:leader="none"/>
        </w:tabs>
        <w:spacing w:lineRule="auto" w:line="360"/>
        <w:jc w:val="center"/>
        <w:rPr>
          <w:rFonts w:ascii="Arial" w:hAnsi="Arial" w:cs="Arial"/>
          <w:sz w:val="22"/>
          <w:szCs w:val="22"/>
        </w:rPr>
      </w:pPr>
      <w:r>
        <w:rPr>
          <w:rFonts w:cs="Arial" w:ascii="Arial" w:hAnsi="Arial"/>
          <w:b/>
          <w:bCs/>
          <w:color w:val="000000"/>
          <w:sz w:val="22"/>
          <w:szCs w:val="22"/>
          <w:u w:val="single"/>
        </w:rPr>
        <w:t>(NOME DO DIRIGENTE DA OSC)</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spacing w:lineRule="auto" w:line="360"/>
        <w:jc w:val="center"/>
        <w:rPr>
          <w:rFonts w:ascii="Arial" w:hAnsi="Arial" w:cs="Arial"/>
          <w:b/>
          <w:bCs/>
          <w:sz w:val="22"/>
          <w:szCs w:val="22"/>
        </w:rPr>
      </w:pPr>
      <w:r>
        <w:rPr>
          <w:rFonts w:cs="Arial" w:ascii="Arial" w:hAnsi="Arial"/>
          <w:b/>
          <w:bCs/>
          <w:sz w:val="22"/>
          <w:szCs w:val="22"/>
        </w:rPr>
        <w:t>(MODELO)</w:t>
      </w:r>
    </w:p>
    <w:p>
      <w:pPr>
        <w:pStyle w:val="Standard"/>
        <w:spacing w:lineRule="auto" w:line="360"/>
        <w:jc w:val="center"/>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PREFEITURA DO MUNICÍPIO DE ITATIBA</w:t>
      </w:r>
    </w:p>
    <w:p>
      <w:pPr>
        <w:pStyle w:val="Normal"/>
        <w:spacing w:lineRule="auto" w:line="360"/>
        <w:jc w:val="both"/>
        <w:rPr>
          <w:rFonts w:ascii="Arial" w:hAnsi="Arial" w:cs="Arial"/>
          <w:sz w:val="22"/>
          <w:szCs w:val="22"/>
        </w:rPr>
      </w:pPr>
      <w:r>
        <w:rPr>
          <w:rFonts w:cs="Arial" w:ascii="Arial" w:hAnsi="Arial"/>
          <w:b/>
          <w:color w:val="000000"/>
          <w:sz w:val="22"/>
          <w:szCs w:val="22"/>
        </w:rPr>
        <w:t>PROCESSO ADMINISTRATIVO Nº 1.092/2026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CHAMAMENTO PÚBLICO Nº </w:t>
      </w:r>
      <w:r>
        <w:rPr>
          <w:rFonts w:cs="Arial" w:ascii="Arial" w:hAnsi="Arial"/>
          <w:b/>
          <w:color w:val="000000"/>
          <w:sz w:val="22"/>
          <w:szCs w:val="22"/>
        </w:rPr>
        <w:t>03</w:t>
      </w:r>
      <w:r>
        <w:rPr>
          <w:rFonts w:cs="Arial" w:ascii="Arial" w:hAnsi="Arial"/>
          <w:b/>
          <w:color w:val="000000"/>
          <w:sz w:val="22"/>
          <w:szCs w:val="22"/>
        </w:rPr>
        <w:t>/2026</w:t>
      </w:r>
    </w:p>
    <w:p>
      <w:pPr>
        <w:pStyle w:val="Normal"/>
        <w:spacing w:lineRule="auto" w:line="360"/>
        <w:jc w:val="both"/>
        <w:rPr>
          <w:rFonts w:ascii="Arial" w:hAnsi="Arial" w:cs="Arial"/>
          <w:sz w:val="22"/>
          <w:szCs w:val="22"/>
        </w:rPr>
      </w:pPr>
      <w:r>
        <w:rPr>
          <w:rFonts w:cs="Arial" w:ascii="Arial" w:hAnsi="Arial"/>
          <w:b/>
          <w:color w:val="000000"/>
          <w:sz w:val="22"/>
          <w:szCs w:val="22"/>
        </w:rPr>
        <w:t xml:space="preserve">EDITAL Nº </w:t>
      </w:r>
      <w:r>
        <w:rPr>
          <w:rFonts w:cs="Arial" w:ascii="Arial" w:hAnsi="Arial"/>
          <w:b/>
          <w:color w:val="000000"/>
          <w:sz w:val="22"/>
          <w:szCs w:val="22"/>
        </w:rPr>
        <w:t>29</w:t>
      </w:r>
      <w:r>
        <w:rPr>
          <w:rFonts w:cs="Arial" w:ascii="Arial" w:hAnsi="Arial"/>
          <w:b/>
          <w:color w:val="000000"/>
          <w:sz w:val="22"/>
          <w:szCs w:val="22"/>
        </w:rPr>
        <w:t>/2026</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284" w:leader="none"/>
        </w:tabs>
        <w:suppressAutoHyphens w:val="false"/>
        <w:spacing w:lineRule="auto" w:line="360"/>
        <w:jc w:val="center"/>
        <w:rPr>
          <w:rFonts w:ascii="Arial" w:hAnsi="Arial" w:cs="Arial"/>
          <w:sz w:val="22"/>
          <w:szCs w:val="22"/>
        </w:rPr>
      </w:pPr>
      <w:r>
        <w:rPr>
          <w:rFonts w:cs="Arial" w:ascii="Arial" w:hAnsi="Arial"/>
          <w:b/>
          <w:bCs/>
          <w:color w:val="000000"/>
          <w:sz w:val="22"/>
          <w:szCs w:val="22"/>
          <w:u w:val="single"/>
          <w:lang w:val="pt-PT"/>
        </w:rPr>
        <w:t>ANEXO XI – TERMO DE RESPONSABILIDADE PESSOAL</w:t>
      </w:r>
    </w:p>
    <w:p>
      <w:pPr>
        <w:pStyle w:val="Standard"/>
        <w:tabs>
          <w:tab w:val="clear" w:pos="709"/>
          <w:tab w:val="left" w:pos="284" w:leader="none"/>
        </w:tabs>
        <w:suppressAutoHyphens w:val="false"/>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Standard"/>
        <w:tabs>
          <w:tab w:val="clear" w:pos="709"/>
          <w:tab w:val="left" w:pos="284" w:leader="none"/>
        </w:tabs>
        <w:suppressAutoHyphens w:val="false"/>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Standard"/>
        <w:tabs>
          <w:tab w:val="clear" w:pos="709"/>
          <w:tab w:val="left" w:pos="567" w:leader="none"/>
        </w:tabs>
        <w:spacing w:lineRule="auto" w:line="360"/>
        <w:ind w:firstLine="567"/>
        <w:jc w:val="both"/>
        <w:rPr>
          <w:rFonts w:ascii="Arial" w:hAnsi="Arial" w:cs="Arial"/>
          <w:sz w:val="22"/>
          <w:szCs w:val="22"/>
        </w:rPr>
      </w:pPr>
      <w:r>
        <w:rPr>
          <w:rFonts w:cs="Arial" w:ascii="Arial" w:hAnsi="Arial"/>
          <w:color w:val="000000"/>
          <w:sz w:val="22"/>
          <w:szCs w:val="22"/>
          <w:lang w:val="pt-PT"/>
        </w:rPr>
        <w:t xml:space="preserve">Eu, </w:t>
      </w:r>
      <w:r>
        <w:rPr>
          <w:rFonts w:cs="Arial" w:ascii="Arial" w:hAnsi="Arial"/>
          <w:b/>
          <w:bCs/>
          <w:color w:val="000000"/>
          <w:sz w:val="22"/>
          <w:szCs w:val="22"/>
          <w:lang w:val="pt-PT"/>
        </w:rPr>
        <w:t>[NOME COMPLETO E QUALIFICAÇÃO]</w:t>
      </w:r>
      <w:r>
        <w:rPr>
          <w:rFonts w:cs="Arial" w:ascii="Arial" w:hAnsi="Arial"/>
          <w:color w:val="000000"/>
          <w:sz w:val="22"/>
          <w:szCs w:val="22"/>
          <w:lang w:val="pt-PT"/>
        </w:rPr>
        <w:t>,</w:t>
      </w:r>
      <w:r>
        <w:rPr>
          <w:rFonts w:cs="Arial" w:ascii="Arial" w:hAnsi="Arial"/>
          <w:b/>
          <w:bCs/>
          <w:color w:val="000000"/>
          <w:sz w:val="22"/>
          <w:szCs w:val="22"/>
          <w:lang w:val="pt-PT"/>
        </w:rPr>
        <w:t xml:space="preserve"> </w:t>
      </w:r>
      <w:r>
        <w:rPr>
          <w:rFonts w:cs="Arial" w:ascii="Arial" w:hAnsi="Arial"/>
          <w:color w:val="000000"/>
          <w:sz w:val="22"/>
          <w:szCs w:val="22"/>
          <w:lang w:val="pt-PT"/>
        </w:rPr>
        <w:t>d</w:t>
      </w:r>
      <w:r>
        <w:rPr>
          <w:rFonts w:cs="Arial" w:ascii="Arial" w:hAnsi="Arial"/>
          <w:color w:val="000000"/>
          <w:sz w:val="22"/>
          <w:szCs w:val="22"/>
        </w:rPr>
        <w:t>eclaro para os devidos fins e efeitos de direito, que serei</w:t>
      </w:r>
      <w:r>
        <w:rPr>
          <w:rFonts w:cs="Arial" w:ascii="Arial" w:hAnsi="Arial"/>
          <w:color w:val="000000"/>
          <w:sz w:val="22"/>
          <w:szCs w:val="22"/>
          <w:lang w:val="pt-PT"/>
        </w:rPr>
        <w:t xml:space="preserve"> responsável pela boa administração e aplicação dos recursos recebidos pela </w:t>
      </w:r>
      <w:r>
        <w:rPr>
          <w:rFonts w:cs="Arial" w:ascii="Arial" w:hAnsi="Arial"/>
          <w:color w:val="000000"/>
          <w:sz w:val="22"/>
          <w:szCs w:val="22"/>
        </w:rPr>
        <w:t xml:space="preserve">[identificação da organização da sociedade civil – OSC], em virtude da parceria celebrado com a Prefeitura do Município de Itatiba, </w:t>
      </w:r>
      <w:r>
        <w:rPr>
          <w:rFonts w:cs="Arial" w:ascii="Arial" w:hAnsi="Arial"/>
          <w:color w:val="000000"/>
          <w:sz w:val="22"/>
          <w:szCs w:val="22"/>
          <w:lang w:val="pt-PT"/>
        </w:rPr>
        <w:t>me responsabilizando nos termos da Lei</w:t>
      </w:r>
      <w:r>
        <w:rPr>
          <w:rFonts w:cs="Arial" w:ascii="Arial" w:hAnsi="Arial"/>
          <w:b/>
          <w:bCs/>
          <w:color w:val="000000"/>
          <w:sz w:val="22"/>
          <w:szCs w:val="22"/>
          <w:lang w:val="pt-PT"/>
        </w:rPr>
        <w:t>.</w:t>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Standard"/>
        <w:tabs>
          <w:tab w:val="clear" w:pos="709"/>
          <w:tab w:val="left" w:pos="567" w:leader="none"/>
        </w:tabs>
        <w:spacing w:lineRule="auto" w:line="360"/>
        <w:jc w:val="both"/>
        <w:rPr>
          <w:rFonts w:ascii="Arial" w:hAnsi="Arial" w:cs="Arial"/>
          <w:sz w:val="22"/>
          <w:szCs w:val="22"/>
        </w:rPr>
      </w:pPr>
      <w:r>
        <w:rPr>
          <w:rFonts w:cs="Arial" w:ascii="Arial" w:hAnsi="Arial"/>
          <w:color w:val="000000"/>
          <w:sz w:val="22"/>
          <w:szCs w:val="22"/>
        </w:rPr>
        <w:tab/>
        <w:t>Local, __________________</w:t>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both"/>
        <w:rPr>
          <w:rFonts w:ascii="Arial" w:hAnsi="Arial" w:cs="Arial"/>
          <w:color w:val="000000"/>
          <w:sz w:val="22"/>
          <w:szCs w:val="22"/>
        </w:rPr>
      </w:pPr>
      <w:r>
        <w:rPr>
          <w:rFonts w:cs="Arial" w:ascii="Arial" w:hAnsi="Arial"/>
          <w:color w:val="000000"/>
          <w:sz w:val="22"/>
          <w:szCs w:val="22"/>
        </w:rPr>
      </w:r>
    </w:p>
    <w:p>
      <w:pPr>
        <w:pStyle w:val="Standard"/>
        <w:spacing w:lineRule="auto" w:line="360"/>
        <w:jc w:val="center"/>
        <w:rPr>
          <w:rFonts w:ascii="Arial" w:hAnsi="Arial" w:cs="Arial"/>
          <w:sz w:val="22"/>
          <w:szCs w:val="22"/>
        </w:rPr>
      </w:pPr>
      <w:r>
        <w:rPr>
          <w:rFonts w:cs="Arial" w:ascii="Arial" w:hAnsi="Arial"/>
          <w:b/>
          <w:bCs/>
          <w:color w:val="000000"/>
          <w:sz w:val="22"/>
          <w:szCs w:val="22"/>
        </w:rPr>
        <w:t>___________________________________</w:t>
      </w:r>
    </w:p>
    <w:p>
      <w:pPr>
        <w:pStyle w:val="Standard"/>
        <w:tabs>
          <w:tab w:val="clear" w:pos="709"/>
          <w:tab w:val="left" w:pos="567" w:leader="none"/>
        </w:tabs>
        <w:suppressAutoHyphens w:val="false"/>
        <w:spacing w:lineRule="auto" w:line="360"/>
        <w:jc w:val="center"/>
        <w:rPr>
          <w:rFonts w:ascii="Arial" w:hAnsi="Arial" w:cs="Arial"/>
          <w:sz w:val="22"/>
          <w:szCs w:val="22"/>
        </w:rPr>
      </w:pPr>
      <w:r>
        <w:rPr>
          <w:rFonts w:cs="Arial" w:ascii="Arial" w:hAnsi="Arial"/>
          <w:b/>
          <w:bCs/>
          <w:color w:val="000000"/>
          <w:sz w:val="22"/>
          <w:szCs w:val="22"/>
          <w:u w:val="single"/>
          <w:lang w:val="pt-PT"/>
        </w:rPr>
        <w:t>(NOME DO RESPONSÁVEL INDICADO PELA OSC)</w:t>
      </w:r>
    </w:p>
    <w:p>
      <w:pPr>
        <w:pStyle w:val="Standard"/>
        <w:spacing w:lineRule="auto" w:line="360"/>
        <w:jc w:val="both"/>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tabs>
          <w:tab w:val="clear" w:pos="709"/>
          <w:tab w:val="left" w:pos="6008" w:leader="none"/>
        </w:tabs>
        <w:spacing w:lineRule="auto" w:line="360"/>
        <w:jc w:val="center"/>
        <w:rPr>
          <w:rFonts w:ascii="Arial" w:hAnsi="Arial" w:cs="Arial"/>
          <w:b/>
          <w:bCs/>
          <w:color w:val="000000"/>
          <w:sz w:val="22"/>
          <w:szCs w:val="22"/>
          <w:u w:val="single"/>
          <w:lang w:val="pt-PT"/>
        </w:rPr>
      </w:pPr>
      <w:r>
        <w:rPr>
          <w:rFonts w:cs="Arial" w:ascii="Arial" w:hAnsi="Arial"/>
          <w:b/>
          <w:bCs/>
          <w:color w:val="000000"/>
          <w:sz w:val="22"/>
          <w:szCs w:val="22"/>
          <w:u w:val="single"/>
          <w:lang w:val="pt-PT"/>
        </w:rPr>
      </w:r>
    </w:p>
    <w:p>
      <w:pPr>
        <w:pStyle w:val="Normal"/>
        <w:spacing w:lineRule="auto" w:line="360"/>
        <w:jc w:val="center"/>
        <w:rPr>
          <w:rFonts w:ascii="Arial" w:hAnsi="Arial" w:cs="Arial"/>
          <w:b/>
          <w:color w:val="000000"/>
          <w:sz w:val="22"/>
          <w:szCs w:val="22"/>
          <w:u w:val="single"/>
        </w:rPr>
      </w:pPr>
      <w:r>
        <w:rPr>
          <w:rFonts w:cs="Arial" w:ascii="Arial" w:hAnsi="Arial"/>
          <w:b/>
          <w:color w:val="000000"/>
          <w:sz w:val="22"/>
          <w:szCs w:val="22"/>
          <w:u w:val="single"/>
        </w:rPr>
        <w:t>TERMO DE RECEBIMENTO DO EDITAL</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color w:val="000000"/>
          <w:sz w:val="22"/>
          <w:szCs w:val="22"/>
        </w:rPr>
      </w:pPr>
      <w:r>
        <w:rPr>
          <w:rFonts w:cs="Arial" w:ascii="Arial" w:hAnsi="Arial"/>
          <w:color w:val="000000"/>
          <w:sz w:val="22"/>
          <w:szCs w:val="22"/>
        </w:rPr>
        <w:t xml:space="preserve">Declaro para os devidos fins que retirei integralmente junto ao endereço eletrônico www.itatiba.sp.gov.br o EDITAL de Licitação referente ao Chamamento Público nº </w:t>
      </w:r>
      <w:r>
        <w:rPr>
          <w:rFonts w:cs="Arial" w:ascii="Arial" w:hAnsi="Arial"/>
          <w:color w:val="000000"/>
          <w:sz w:val="22"/>
          <w:szCs w:val="22"/>
        </w:rPr>
        <w:t>03</w:t>
      </w:r>
      <w:r>
        <w:rPr>
          <w:rFonts w:cs="Arial" w:ascii="Arial" w:hAnsi="Arial"/>
          <w:color w:val="000000"/>
          <w:sz w:val="22"/>
          <w:szCs w:val="22"/>
        </w:rPr>
        <w:t xml:space="preserve">/2026, Edital nº </w:t>
      </w:r>
      <w:r>
        <w:rPr>
          <w:rFonts w:cs="Arial" w:ascii="Arial" w:hAnsi="Arial"/>
          <w:color w:val="000000"/>
          <w:sz w:val="22"/>
          <w:szCs w:val="22"/>
        </w:rPr>
        <w:t>29</w:t>
      </w:r>
      <w:r>
        <w:rPr>
          <w:rFonts w:cs="Arial" w:ascii="Arial" w:hAnsi="Arial"/>
          <w:color w:val="000000"/>
          <w:sz w:val="22"/>
          <w:szCs w:val="22"/>
        </w:rPr>
        <w:t xml:space="preserve">/2026. Objeto: </w:t>
      </w:r>
      <w:r>
        <w:rPr>
          <w:rFonts w:cs="Arial" w:ascii="Arial" w:hAnsi="Arial"/>
          <w:sz w:val="22"/>
          <w:szCs w:val="22"/>
        </w:rPr>
        <w:t xml:space="preserve">Estabelecer parceria entre a Prefeitura do Município de Itatiba através da Secretaria de Saúde, e OSC - Organização da Sociedade Civil, para oferta de até </w:t>
      </w:r>
      <w:r>
        <w:rPr>
          <w:rFonts w:cs="Arial" w:ascii="Arial" w:hAnsi="Arial"/>
          <w:b/>
          <w:bCs/>
          <w:sz w:val="22"/>
          <w:szCs w:val="22"/>
        </w:rPr>
        <w:t>10 (dez) vagas, para o serviço de acolhimento de pessoas, em caráter voluntário, com problemas associados ao uso nocivo ou dependência de substância psicoativa, caracterizadas como COMUNIDADES TERAPÊUTICAS</w:t>
      </w:r>
    </w:p>
    <w:p>
      <w:pPr>
        <w:pStyle w:val="Standard"/>
        <w:widowControl/>
        <w:spacing w:lineRule="auto" w:line="276"/>
        <w:jc w:val="both"/>
        <w:rPr>
          <w:rFonts w:ascii="Arial" w:hAnsi="Arial" w:cs="Arial"/>
          <w:color w:val="000000"/>
          <w:sz w:val="22"/>
          <w:szCs w:val="22"/>
          <w:u w:val="single"/>
        </w:rPr>
      </w:pPr>
      <w:r>
        <w:rPr>
          <w:rFonts w:cs="Arial" w:ascii="Arial" w:hAnsi="Arial"/>
          <w:color w:val="000000"/>
          <w:sz w:val="22"/>
          <w:szCs w:val="22"/>
          <w:u w:val="single"/>
        </w:rPr>
      </w:r>
    </w:p>
    <w:p>
      <w:pPr>
        <w:pStyle w:val="Normal"/>
        <w:spacing w:lineRule="auto" w:line="276"/>
        <w:jc w:val="both"/>
        <w:rPr>
          <w:rFonts w:ascii="Arial" w:hAnsi="Arial" w:cs="Arial"/>
          <w:sz w:val="22"/>
          <w:szCs w:val="22"/>
        </w:rPr>
      </w:pPr>
      <w:r>
        <w:rPr>
          <w:rFonts w:cs="Arial" w:ascii="Arial" w:hAnsi="Arial"/>
          <w:color w:val="000000"/>
          <w:sz w:val="22"/>
          <w:szCs w:val="22"/>
          <w:u w:val="single"/>
        </w:rPr>
        <w:t>Nome da Empresa</w:t>
        <w:tab/>
        <w:tab/>
        <w:tab/>
        <w:tab/>
        <w:tab/>
        <w:tab/>
        <w:tab/>
        <w:tab/>
        <w:tab/>
        <w:tab/>
      </w:r>
    </w:p>
    <w:p>
      <w:pPr>
        <w:pStyle w:val="Normal"/>
        <w:spacing w:lineRule="auto" w:line="276"/>
        <w:jc w:val="both"/>
        <w:rPr>
          <w:rFonts w:ascii="Arial" w:hAnsi="Arial" w:cs="Arial"/>
          <w:sz w:val="22"/>
          <w:szCs w:val="22"/>
        </w:rPr>
      </w:pPr>
      <w:r>
        <w:rPr>
          <w:rFonts w:cs="Arial" w:ascii="Arial" w:hAnsi="Arial"/>
          <w:color w:val="000000"/>
          <w:sz w:val="22"/>
          <w:szCs w:val="22"/>
          <w:u w:val="single"/>
        </w:rPr>
        <w:t>CNPJ Nº</w:t>
        <w:tab/>
        <w:tab/>
        <w:tab/>
        <w:tab/>
        <w:tab/>
        <w:tab/>
        <w:tab/>
        <w:tab/>
        <w:tab/>
        <w:tab/>
        <w:tab/>
      </w:r>
    </w:p>
    <w:p>
      <w:pPr>
        <w:pStyle w:val="Normal"/>
        <w:spacing w:lineRule="auto" w:line="276"/>
        <w:jc w:val="both"/>
        <w:rPr>
          <w:rFonts w:ascii="Arial" w:hAnsi="Arial" w:cs="Arial"/>
          <w:sz w:val="22"/>
          <w:szCs w:val="22"/>
        </w:rPr>
      </w:pPr>
      <w:r>
        <w:rPr>
          <w:rFonts w:cs="Arial" w:ascii="Arial" w:hAnsi="Arial"/>
          <w:color w:val="000000"/>
          <w:sz w:val="22"/>
          <w:szCs w:val="22"/>
          <w:u w:val="single"/>
        </w:rPr>
        <w:t>Endereço</w:t>
        <w:tab/>
        <w:tab/>
        <w:tab/>
        <w:tab/>
        <w:tab/>
        <w:tab/>
        <w:tab/>
        <w:tab/>
        <w:tab/>
        <w:tab/>
        <w:tab/>
      </w:r>
    </w:p>
    <w:p>
      <w:pPr>
        <w:pStyle w:val="Normal"/>
        <w:spacing w:lineRule="auto" w:line="276"/>
        <w:jc w:val="both"/>
        <w:rPr>
          <w:rFonts w:ascii="Arial" w:hAnsi="Arial" w:cs="Arial"/>
          <w:sz w:val="22"/>
          <w:szCs w:val="22"/>
        </w:rPr>
      </w:pPr>
      <w:r>
        <w:rPr>
          <w:rFonts w:cs="Arial" w:ascii="Arial" w:hAnsi="Arial"/>
          <w:color w:val="000000"/>
          <w:sz w:val="22"/>
          <w:szCs w:val="22"/>
          <w:u w:val="single"/>
        </w:rPr>
        <w:t>Bairro</w:t>
        <w:tab/>
        <w:tab/>
        <w:tab/>
        <w:tab/>
        <w:tab/>
        <w:tab/>
        <w:t>Cidade</w:t>
        <w:tab/>
        <w:tab/>
        <w:tab/>
        <w:tab/>
        <w:tab/>
        <w:tab/>
      </w:r>
    </w:p>
    <w:p>
      <w:pPr>
        <w:pStyle w:val="Normal"/>
        <w:spacing w:lineRule="auto" w:line="276"/>
        <w:jc w:val="both"/>
        <w:rPr>
          <w:rFonts w:ascii="Arial" w:hAnsi="Arial" w:cs="Arial"/>
          <w:sz w:val="22"/>
          <w:szCs w:val="22"/>
        </w:rPr>
      </w:pPr>
      <w:r>
        <w:rPr>
          <w:rFonts w:cs="Arial" w:ascii="Arial" w:hAnsi="Arial"/>
          <w:color w:val="000000"/>
          <w:sz w:val="22"/>
          <w:szCs w:val="22"/>
          <w:u w:val="single"/>
          <w:lang w:val="it-IT"/>
        </w:rPr>
        <w:t>Telefone</w:t>
        <w:tab/>
        <w:tab/>
        <w:tab/>
        <w:tab/>
        <w:tab/>
        <w:tab/>
        <w:tab/>
        <w:tab/>
        <w:tab/>
        <w:tab/>
        <w:tab/>
      </w:r>
    </w:p>
    <w:p>
      <w:pPr>
        <w:pStyle w:val="Normal"/>
        <w:spacing w:lineRule="auto" w:line="276"/>
        <w:jc w:val="both"/>
        <w:rPr>
          <w:rFonts w:ascii="Arial" w:hAnsi="Arial" w:cs="Arial"/>
          <w:sz w:val="22"/>
          <w:szCs w:val="22"/>
        </w:rPr>
      </w:pPr>
      <w:r>
        <w:rPr>
          <w:rFonts w:cs="Arial" w:ascii="Arial" w:hAnsi="Arial"/>
          <w:color w:val="000000"/>
          <w:sz w:val="22"/>
          <w:szCs w:val="22"/>
          <w:u w:val="single"/>
          <w:lang w:val="it-IT"/>
        </w:rPr>
        <w:t>E-mail</w:t>
        <w:tab/>
        <w:tab/>
        <w:tab/>
        <w:tab/>
        <w:tab/>
        <w:tab/>
        <w:tab/>
        <w:tab/>
        <w:tab/>
        <w:tab/>
        <w:tab/>
        <w:tab/>
      </w:r>
    </w:p>
    <w:p>
      <w:pPr>
        <w:pStyle w:val="Normal"/>
        <w:spacing w:lineRule="auto" w:line="276"/>
        <w:jc w:val="both"/>
        <w:rPr>
          <w:rFonts w:ascii="Arial" w:hAnsi="Arial" w:cs="Arial"/>
          <w:sz w:val="22"/>
          <w:szCs w:val="22"/>
        </w:rPr>
      </w:pPr>
      <w:r>
        <w:rPr>
          <w:rFonts w:cs="Arial" w:ascii="Arial" w:hAnsi="Arial"/>
          <w:color w:val="000000"/>
          <w:sz w:val="22"/>
          <w:szCs w:val="22"/>
          <w:u w:val="single"/>
          <w:lang w:val="it-IT"/>
        </w:rPr>
        <w:t>Contato</w:t>
        <w:tab/>
        <w:tab/>
        <w:tab/>
        <w:tab/>
        <w:tab/>
        <w:tab/>
        <w:tab/>
        <w:tab/>
        <w:tab/>
        <w:tab/>
        <w:tab/>
      </w:r>
    </w:p>
    <w:p>
      <w:pPr>
        <w:pStyle w:val="Normal"/>
        <w:spacing w:lineRule="auto" w:line="276"/>
        <w:jc w:val="both"/>
        <w:rPr>
          <w:rFonts w:ascii="Arial" w:hAnsi="Arial" w:cs="Arial"/>
          <w:b/>
          <w:caps/>
          <w:color w:val="000000"/>
          <w:sz w:val="22"/>
          <w:szCs w:val="22"/>
          <w:u w:val="single"/>
        </w:rPr>
      </w:pPr>
      <w:r>
        <w:rPr>
          <w:rFonts w:cs="Arial" w:ascii="Arial" w:hAnsi="Arial"/>
          <w:b/>
          <w:caps/>
          <w:color w:val="000000"/>
          <w:sz w:val="22"/>
          <w:szCs w:val="22"/>
          <w:u w:val="single"/>
        </w:rPr>
      </w:r>
    </w:p>
    <w:p>
      <w:pPr>
        <w:pStyle w:val="Normal"/>
        <w:spacing w:lineRule="auto" w:line="276"/>
        <w:jc w:val="both"/>
        <w:rPr>
          <w:rFonts w:ascii="Arial" w:hAnsi="Arial" w:cs="Arial"/>
          <w:sz w:val="22"/>
          <w:szCs w:val="22"/>
        </w:rPr>
      </w:pPr>
      <w:r>
        <w:rPr>
          <w:rFonts w:cs="Arial" w:ascii="Arial" w:hAnsi="Arial"/>
          <w:b/>
          <w:caps/>
          <w:color w:val="000000"/>
          <w:sz w:val="22"/>
          <w:szCs w:val="22"/>
          <w:u w:val="single"/>
        </w:rPr>
        <w:t xml:space="preserve">Importante: Este documento deverá ser preenchido (datilografado ou digitado) e enviado através do e-mail: </w:t>
      </w:r>
      <w:r>
        <w:rPr>
          <w:rFonts w:cs="Arial" w:ascii="Arial" w:hAnsi="Arial"/>
          <w:b/>
          <w:color w:val="000000"/>
          <w:sz w:val="22"/>
          <w:szCs w:val="22"/>
          <w:u w:val="single"/>
        </w:rPr>
        <w:t>licitacoes@licitacoes.itatiba.sp.gov.br</w:t>
      </w:r>
      <w:r>
        <w:rPr>
          <w:rFonts w:cs="Arial" w:ascii="Arial" w:hAnsi="Arial"/>
          <w:b/>
          <w:caps/>
          <w:color w:val="000000"/>
          <w:sz w:val="22"/>
          <w:szCs w:val="22"/>
          <w:u w:val="single"/>
        </w:rPr>
        <w:t xml:space="preserve">, aos cuidados Da comissão. </w:t>
      </w:r>
    </w:p>
    <w:p>
      <w:pPr>
        <w:pStyle w:val="Normal"/>
        <w:spacing w:lineRule="auto" w:line="276"/>
        <w:jc w:val="both"/>
        <w:rPr>
          <w:rFonts w:ascii="Arial" w:hAnsi="Arial" w:cs="Arial"/>
          <w:b/>
          <w:color w:val="000000"/>
          <w:sz w:val="22"/>
          <w:szCs w:val="22"/>
        </w:rPr>
      </w:pPr>
      <w:r>
        <w:rPr>
          <w:rFonts w:cs="Arial" w:ascii="Arial" w:hAnsi="Arial"/>
          <w:b/>
          <w:color w:val="000000"/>
          <w:sz w:val="22"/>
          <w:szCs w:val="22"/>
        </w:rPr>
      </w:r>
    </w:p>
    <w:p>
      <w:pPr>
        <w:pStyle w:val="Normal"/>
        <w:spacing w:lineRule="auto" w:line="276"/>
        <w:jc w:val="both"/>
        <w:rPr>
          <w:rFonts w:ascii="Arial" w:hAnsi="Arial" w:cs="Arial"/>
          <w:sz w:val="22"/>
          <w:szCs w:val="22"/>
        </w:rPr>
      </w:pPr>
      <w:r>
        <w:rPr>
          <w:rFonts w:cs="Arial" w:ascii="Arial" w:hAnsi="Arial"/>
          <w:color w:val="000000"/>
          <w:sz w:val="22"/>
          <w:szCs w:val="22"/>
        </w:rPr>
        <w:t xml:space="preserve">A Prefeitura de Itatiba não se Responsabilizará pelo </w:t>
      </w:r>
      <w:r>
        <w:rPr>
          <w:rFonts w:cs="Arial" w:ascii="Arial" w:hAnsi="Arial"/>
          <w:color w:val="000000"/>
          <w:sz w:val="22"/>
          <w:szCs w:val="22"/>
          <w:u w:val="single"/>
        </w:rPr>
        <w:t>não envio</w:t>
      </w:r>
      <w:r>
        <w:rPr>
          <w:rFonts w:cs="Arial" w:ascii="Arial" w:hAnsi="Arial"/>
          <w:color w:val="000000"/>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spacing w:lineRule="auto" w:line="276"/>
        <w:jc w:val="both"/>
        <w:rPr>
          <w:rFonts w:ascii="Arial" w:hAnsi="Arial" w:cs="Arial"/>
          <w:color w:val="000000"/>
          <w:sz w:val="22"/>
          <w:szCs w:val="22"/>
        </w:rPr>
      </w:pPr>
      <w:r>
        <w:rPr>
          <w:rFonts w:cs="Arial" w:ascii="Arial" w:hAnsi="Arial"/>
          <w:color w:val="000000"/>
          <w:sz w:val="22"/>
          <w:szCs w:val="22"/>
        </w:rPr>
      </w:r>
    </w:p>
    <w:p>
      <w:pPr>
        <w:pStyle w:val="Normal"/>
        <w:spacing w:lineRule="auto" w:line="276"/>
        <w:jc w:val="both"/>
        <w:rPr>
          <w:rFonts w:ascii="Arial" w:hAnsi="Arial" w:cs="Arial"/>
          <w:color w:val="000000"/>
          <w:sz w:val="22"/>
          <w:szCs w:val="22"/>
        </w:rPr>
      </w:pPr>
      <w:r>
        <w:rPr>
          <w:rFonts w:cs="Arial" w:ascii="Arial" w:hAnsi="Arial"/>
          <w:color w:val="000000"/>
          <w:sz w:val="22"/>
          <w:szCs w:val="22"/>
        </w:rPr>
        <w:t>Fone para contato (011) 3183-0655</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color w:val="000000"/>
          <w:sz w:val="22"/>
          <w:szCs w:val="22"/>
        </w:rPr>
      </w:pPr>
      <w:r>
        <w:rPr>
          <w:rFonts w:cs="Arial" w:ascii="Arial" w:hAnsi="Arial"/>
          <w:b/>
          <w:bCs/>
          <w:sz w:val="22"/>
          <w:szCs w:val="22"/>
        </w:rPr>
        <w:t>Chamamento Público 03/2026, Edital nº 29/2026</w:t>
      </w:r>
      <w:r>
        <w:rPr>
          <w:rFonts w:cs="Arial" w:ascii="Arial" w:hAnsi="Arial"/>
          <w:sz w:val="22"/>
          <w:szCs w:val="22"/>
        </w:rPr>
        <w:t xml:space="preserve"> – Objeto: </w:t>
      </w:r>
      <w:r>
        <w:rPr>
          <w:rFonts w:cs="Arial" w:ascii="Arial" w:hAnsi="Arial"/>
          <w:color w:val="000000"/>
          <w:sz w:val="22"/>
          <w:szCs w:val="22"/>
        </w:rPr>
        <w:t>Estabelecer parceria entre a Prefeitura do Município de Itatiba através da Secretaria de Saúde e OSC - Organização da Sociedade Civil, para oferta de até 10 (dez) vagas, para o serviço de acolhimento de pessoas, em caráter voluntário, com problemas associados ao uso nocivo ou dependência de substância psicoativa, caracterizadas como COMUNIDADES TERAPÊUTICA,</w:t>
      </w:r>
      <w:r>
        <w:rPr>
          <w:rFonts w:cs="Arial" w:ascii="Arial" w:hAnsi="Arial"/>
          <w:sz w:val="22"/>
          <w:szCs w:val="22"/>
        </w:rPr>
        <w:t xml:space="preserve"> em conformidade com o edital e anexos, disponível na íntegra, na Seção de Licitações, Av. Luciano Consoline, n.º 600 - Jardim de Lucca - Itatiba/SP e endereço eletrônico: www.itatiba.sp.gov.br. As solicitações de credenciamento serão recebidas na Seção de Licitações, situada no mesmo endereço acima citado até o </w:t>
      </w:r>
      <w:r>
        <w:rPr>
          <w:rFonts w:cs="Arial" w:ascii="Arial" w:hAnsi="Arial"/>
          <w:b/>
          <w:bCs/>
          <w:sz w:val="22"/>
          <w:szCs w:val="22"/>
          <w:u w:val="single"/>
        </w:rPr>
        <w:t>dia 29 de maio de 2026, às 10 horas</w:t>
      </w:r>
      <w:r>
        <w:rPr>
          <w:rFonts w:cs="Arial" w:ascii="Arial" w:hAnsi="Arial"/>
          <w:sz w:val="22"/>
          <w:szCs w:val="22"/>
        </w:rPr>
        <w:t xml:space="preserve">. Fone (11) 3183-0655. Maria Ângela Camargo Correa de Lima – Comissão de Seleção da Secretaria Municipal de Saúde. </w:t>
      </w:r>
    </w:p>
    <w:p>
      <w:pPr>
        <w:pStyle w:val="Standard1"/>
        <w:spacing w:lineRule="auto" w:line="276"/>
        <w:jc w:val="both"/>
        <w:rPr>
          <w:rFonts w:ascii="Arial" w:hAnsi="Arial" w:eastAsia="SimSun" w:cs="Arial"/>
          <w:b/>
          <w:bCs/>
          <w:sz w:val="22"/>
          <w:szCs w:val="22"/>
          <w:lang w:bidi="hi-IN"/>
        </w:rPr>
      </w:pPr>
      <w:r>
        <w:rPr>
          <w:rFonts w:eastAsia="SimSun" w:cs="Arial" w:ascii="Arial" w:hAnsi="Arial"/>
          <w:b/>
          <w:bCs/>
          <w:sz w:val="22"/>
          <w:szCs w:val="22"/>
          <w:lang w:bidi="hi-IN"/>
        </w:rPr>
      </w:r>
    </w:p>
    <w:p>
      <w:pPr>
        <w:pStyle w:val="Standard1"/>
        <w:spacing w:lineRule="auto" w:line="276"/>
        <w:jc w:val="both"/>
        <w:rPr>
          <w:rFonts w:ascii="Arial" w:hAnsi="Arial" w:cs="Arial"/>
          <w:color w:val="000000"/>
          <w:sz w:val="22"/>
          <w:szCs w:val="22"/>
        </w:rPr>
      </w:pPr>
      <w:r>
        <w:rPr>
          <w:rFonts w:cs="Arial" w:ascii="Arial" w:hAnsi="Arial"/>
          <w:color w:val="000000"/>
          <w:sz w:val="22"/>
          <w:szCs w:val="22"/>
        </w:rPr>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1701" w:right="1134" w:gutter="0" w:header="567" w:top="1701" w:footer="567"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mic Sans MS">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StarSymbol">
    <w:altName w:val="Arial Unicode MS"/>
    <w:charset w:val="00"/>
    <w:family w:val="roman"/>
    <w:pitch w:val="variable"/>
  </w:font>
  <w:font w:name="Courier New">
    <w:charset w:val="00"/>
    <w:family w:val="roman"/>
    <w:pitch w:val="variable"/>
  </w:font>
  <w:font w:name="Tahoma">
    <w:charset w:val="00"/>
    <w:family w:val="swiss"/>
    <w:pitch w:val="variable"/>
  </w:font>
  <w:font w:name="Calibri">
    <w:charset w:val="00"/>
    <w:family w:val="swiss"/>
    <w:pitch w:val="variable"/>
  </w:font>
  <w:font w:name="Times New">
    <w:charset w:val="00"/>
    <w:family w:val="roman"/>
    <w:pitch w:val="variable"/>
  </w:font>
  <w:font w:name="Marlett">
    <w:charset w:val="00"/>
    <w:family w:val="roman"/>
    <w:pitch w:val="variable"/>
  </w:font>
  <w:font w:name="Liberation Sans">
    <w:altName w:val="Arial"/>
    <w:charset w:val="00"/>
    <w:family w:val="swiss"/>
    <w:pitch w:val="variable"/>
  </w:font>
  <w:font w:name="Helvetica LT Light">
    <w:charset w:val="00"/>
    <w:family w:val="roman"/>
    <w:pitch w:val="variable"/>
  </w:font>
  <w:font w:name="Verdana">
    <w:charset w:val="00"/>
    <w:family w:val="swiss"/>
    <w:pitch w:val="variable"/>
  </w:font>
  <w:font w:name="Cambria Math">
    <w:charset w:val="00"/>
    <w:family w:val="roman"/>
    <w:pitch w:val="variable"/>
  </w:font>
  <w:font w:name="Wingdings">
    <w:charset w:val="02"/>
    <w:family w:val="auto"/>
    <w:pitch w:val="variable"/>
  </w:font>
  <w:font w:name="Aptos">
    <w:charset w:val="01"/>
    <w:family w:val="auto"/>
    <w:pitch w:val="default"/>
  </w:font>
  <w:font w:name="Courier New">
    <w:charset w:val="01"/>
    <w:family w:val="modern"/>
    <w:pitch w:val="fixed"/>
  </w:font>
  <w:font w:name="OpenSymbol">
    <w:altName w:val="Arial Unicode MS"/>
    <w:charset w:val="01"/>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34</w:t>
    </w:r>
    <w:r>
      <w:rPr/>
      <w:fldChar w:fldCharType="end"/>
    </w:r>
  </w:p>
  <w:p>
    <w:pPr>
      <w:pStyle w:val="Footer"/>
      <w:jc w:val="center"/>
      <w:rPr>
        <w:color w:val="5F5F5F"/>
      </w:rPr>
    </w:pPr>
    <w:r>
      <w:rPr/>
      <w:drawing>
        <wp:inline distT="0" distB="0" distL="0" distR="0">
          <wp:extent cx="6025515" cy="85979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34</w:t>
    </w:r>
    <w:r>
      <w:rPr/>
      <w:fldChar w:fldCharType="end"/>
    </w:r>
  </w:p>
  <w:p>
    <w:pPr>
      <w:pStyle w:val="Footer"/>
      <w:jc w:val="center"/>
      <w:rPr>
        <w:color w:val="5F5F5F"/>
      </w:rPr>
    </w:pPr>
    <w:r>
      <w:rPr/>
      <w:drawing>
        <wp:inline distT="0" distB="0" distL="0" distR="0">
          <wp:extent cx="6025515" cy="85979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4"/>
        <w:color w:val="000000"/>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Wingdings" w:hAnsi="Wingdings" w:cs="Wingdings"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shd w:fill="auto" w:val="clear"/>
        <w:color w:val="000000"/>
      </w:rPr>
    </w:lvl>
    <w:lvl w:ilvl="1">
      <w:start w:val="0"/>
      <w:numFmt w:val="bullet"/>
      <w:lvlText w:val=""/>
      <w:lvlJc w:val="left"/>
      <w:pPr>
        <w:tabs>
          <w:tab w:val="num" w:pos="0"/>
        </w:tabs>
        <w:ind w:left="1080" w:hanging="360"/>
      </w:pPr>
      <w:rPr>
        <w:rFonts w:ascii="Symbol" w:hAnsi="Symbol" w:cs="Symbol" w:hint="default"/>
        <w:shd w:fill="auto" w:val="clear"/>
        <w:color w:val="000000"/>
      </w:rPr>
    </w:lvl>
    <w:lvl w:ilvl="2">
      <w:start w:val="0"/>
      <w:numFmt w:val="bullet"/>
      <w:lvlText w:val=""/>
      <w:lvlJc w:val="left"/>
      <w:pPr>
        <w:tabs>
          <w:tab w:val="num" w:pos="0"/>
        </w:tabs>
        <w:ind w:left="1440" w:hanging="360"/>
      </w:pPr>
      <w:rPr>
        <w:rFonts w:ascii="Symbol" w:hAnsi="Symbol" w:cs="Symbol" w:hint="default"/>
        <w:shd w:fill="auto" w:val="clear"/>
        <w:color w:val="000000"/>
      </w:rPr>
    </w:lvl>
    <w:lvl w:ilvl="3">
      <w:start w:val="0"/>
      <w:numFmt w:val="bullet"/>
      <w:lvlText w:val=""/>
      <w:lvlJc w:val="left"/>
      <w:pPr>
        <w:tabs>
          <w:tab w:val="num" w:pos="0"/>
        </w:tabs>
        <w:ind w:left="1800" w:hanging="360"/>
      </w:pPr>
      <w:rPr>
        <w:rFonts w:ascii="Symbol" w:hAnsi="Symbol" w:cs="Symbol" w:hint="default"/>
        <w:shd w:fill="auto" w:val="clear"/>
        <w:color w:val="000000"/>
      </w:rPr>
    </w:lvl>
    <w:lvl w:ilvl="4">
      <w:start w:val="0"/>
      <w:numFmt w:val="bullet"/>
      <w:lvlText w:val=""/>
      <w:lvlJc w:val="left"/>
      <w:pPr>
        <w:tabs>
          <w:tab w:val="num" w:pos="0"/>
        </w:tabs>
        <w:ind w:left="2160" w:hanging="360"/>
      </w:pPr>
      <w:rPr>
        <w:rFonts w:ascii="Symbol" w:hAnsi="Symbol" w:cs="Symbol" w:hint="default"/>
        <w:shd w:fill="auto" w:val="clear"/>
        <w:color w:val="000000"/>
      </w:rPr>
    </w:lvl>
    <w:lvl w:ilvl="5">
      <w:start w:val="0"/>
      <w:numFmt w:val="bullet"/>
      <w:lvlText w:val=""/>
      <w:lvlJc w:val="left"/>
      <w:pPr>
        <w:tabs>
          <w:tab w:val="num" w:pos="0"/>
        </w:tabs>
        <w:ind w:left="2520" w:hanging="360"/>
      </w:pPr>
      <w:rPr>
        <w:rFonts w:ascii="Symbol" w:hAnsi="Symbol" w:cs="Symbol" w:hint="default"/>
        <w:shd w:fill="auto" w:val="clear"/>
        <w:color w:val="000000"/>
      </w:rPr>
    </w:lvl>
    <w:lvl w:ilvl="6">
      <w:start w:val="0"/>
      <w:numFmt w:val="bullet"/>
      <w:lvlText w:val=""/>
      <w:lvlJc w:val="left"/>
      <w:pPr>
        <w:tabs>
          <w:tab w:val="num" w:pos="0"/>
        </w:tabs>
        <w:ind w:left="2880" w:hanging="360"/>
      </w:pPr>
      <w:rPr>
        <w:rFonts w:ascii="Symbol" w:hAnsi="Symbol" w:cs="Symbol" w:hint="default"/>
        <w:shd w:fill="auto" w:val="clear"/>
        <w:color w:val="000000"/>
      </w:rPr>
    </w:lvl>
    <w:lvl w:ilvl="7">
      <w:start w:val="0"/>
      <w:numFmt w:val="bullet"/>
      <w:lvlText w:val=""/>
      <w:lvlJc w:val="left"/>
      <w:pPr>
        <w:tabs>
          <w:tab w:val="num" w:pos="0"/>
        </w:tabs>
        <w:ind w:left="3240" w:hanging="360"/>
      </w:pPr>
      <w:rPr>
        <w:rFonts w:ascii="Symbol" w:hAnsi="Symbol" w:cs="Symbol" w:hint="default"/>
        <w:shd w:fill="auto" w:val="clear"/>
        <w:color w:val="000000"/>
      </w:rPr>
    </w:lvl>
    <w:lvl w:ilvl="8">
      <w:start w:val="0"/>
      <w:numFmt w:val="bullet"/>
      <w:lvlText w:val=""/>
      <w:lvlJc w:val="left"/>
      <w:pPr>
        <w:tabs>
          <w:tab w:val="num" w:pos="0"/>
        </w:tabs>
        <w:ind w:left="3600" w:hanging="360"/>
      </w:pPr>
      <w:rPr>
        <w:rFonts w:ascii="Symbol" w:hAnsi="Symbol" w:cs="Symbol" w:hint="default"/>
        <w:shd w:fill="auto" w:val="clear"/>
        <w:color w:val="000000"/>
      </w:rPr>
    </w:lvl>
  </w:abstractNum>
  <w:abstractNum w:abstractNumId="4">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numFmt w:val="bullet"/>
      <w:lvlText w:val="●"/>
      <w:lvlJc w:val="left"/>
      <w:pPr>
        <w:tabs>
          <w:tab w:val="num" w:pos="0"/>
        </w:tabs>
        <w:ind w:left="720" w:hanging="360"/>
      </w:pPr>
      <w:rPr>
        <w:rFonts w:ascii="Aptos" w:hAnsi="Aptos" w:cs="Aptos" w:hint="default"/>
        <w:sz w:val="20"/>
        <w:szCs w:val="20"/>
      </w:rPr>
    </w:lvl>
    <w:lvl w:ilvl="1">
      <w:start w:val="0"/>
      <w:numFmt w:val="bullet"/>
      <w:lvlText w:val="o"/>
      <w:lvlJc w:val="left"/>
      <w:pPr>
        <w:tabs>
          <w:tab w:val="num" w:pos="0"/>
        </w:tabs>
        <w:ind w:left="1440" w:hanging="360"/>
      </w:pPr>
      <w:rPr>
        <w:rFonts w:ascii="Courier New" w:hAnsi="Courier New" w:cs="Courier New" w:hint="default"/>
        <w:sz w:val="20"/>
        <w:szCs w:val="20"/>
      </w:rPr>
    </w:lvl>
    <w:lvl w:ilvl="2">
      <w:start w:val="0"/>
      <w:numFmt w:val="bullet"/>
      <w:lvlText w:val="▪"/>
      <w:lvlJc w:val="left"/>
      <w:pPr>
        <w:tabs>
          <w:tab w:val="num" w:pos="0"/>
        </w:tabs>
        <w:ind w:left="2160" w:hanging="360"/>
      </w:pPr>
      <w:rPr>
        <w:rFonts w:ascii="Aptos" w:hAnsi="Aptos" w:cs="Aptos" w:hint="default"/>
        <w:sz w:val="20"/>
        <w:szCs w:val="20"/>
      </w:rPr>
    </w:lvl>
    <w:lvl w:ilvl="3">
      <w:start w:val="0"/>
      <w:numFmt w:val="bullet"/>
      <w:lvlText w:val="▪"/>
      <w:lvlJc w:val="left"/>
      <w:pPr>
        <w:tabs>
          <w:tab w:val="num" w:pos="0"/>
        </w:tabs>
        <w:ind w:left="2880" w:hanging="360"/>
      </w:pPr>
      <w:rPr>
        <w:rFonts w:ascii="Aptos" w:hAnsi="Aptos" w:cs="Aptos" w:hint="default"/>
        <w:sz w:val="20"/>
        <w:szCs w:val="20"/>
      </w:rPr>
    </w:lvl>
    <w:lvl w:ilvl="4">
      <w:start w:val="0"/>
      <w:numFmt w:val="bullet"/>
      <w:lvlText w:val="▪"/>
      <w:lvlJc w:val="left"/>
      <w:pPr>
        <w:tabs>
          <w:tab w:val="num" w:pos="0"/>
        </w:tabs>
        <w:ind w:left="3600" w:hanging="360"/>
      </w:pPr>
      <w:rPr>
        <w:rFonts w:ascii="Aptos" w:hAnsi="Aptos" w:cs="Aptos" w:hint="default"/>
        <w:sz w:val="20"/>
        <w:szCs w:val="20"/>
      </w:rPr>
    </w:lvl>
    <w:lvl w:ilvl="5">
      <w:start w:val="0"/>
      <w:numFmt w:val="bullet"/>
      <w:lvlText w:val="▪"/>
      <w:lvlJc w:val="left"/>
      <w:pPr>
        <w:tabs>
          <w:tab w:val="num" w:pos="0"/>
        </w:tabs>
        <w:ind w:left="4320" w:hanging="360"/>
      </w:pPr>
      <w:rPr>
        <w:rFonts w:ascii="Aptos" w:hAnsi="Aptos" w:cs="Aptos" w:hint="default"/>
        <w:sz w:val="20"/>
        <w:szCs w:val="20"/>
      </w:rPr>
    </w:lvl>
    <w:lvl w:ilvl="6">
      <w:start w:val="0"/>
      <w:numFmt w:val="bullet"/>
      <w:lvlText w:val="▪"/>
      <w:lvlJc w:val="left"/>
      <w:pPr>
        <w:tabs>
          <w:tab w:val="num" w:pos="0"/>
        </w:tabs>
        <w:ind w:left="5040" w:hanging="360"/>
      </w:pPr>
      <w:rPr>
        <w:rFonts w:ascii="Aptos" w:hAnsi="Aptos" w:cs="Aptos" w:hint="default"/>
        <w:sz w:val="20"/>
        <w:szCs w:val="20"/>
      </w:rPr>
    </w:lvl>
    <w:lvl w:ilvl="7">
      <w:start w:val="0"/>
      <w:numFmt w:val="bullet"/>
      <w:lvlText w:val="▪"/>
      <w:lvlJc w:val="left"/>
      <w:pPr>
        <w:tabs>
          <w:tab w:val="num" w:pos="0"/>
        </w:tabs>
        <w:ind w:left="5760" w:hanging="360"/>
      </w:pPr>
      <w:rPr>
        <w:rFonts w:ascii="Aptos" w:hAnsi="Aptos" w:cs="Aptos" w:hint="default"/>
        <w:sz w:val="20"/>
        <w:szCs w:val="20"/>
      </w:rPr>
    </w:lvl>
    <w:lvl w:ilvl="8">
      <w:start w:val="0"/>
      <w:numFmt w:val="bullet"/>
      <w:lvlText w:val="▪"/>
      <w:lvlJc w:val="left"/>
      <w:pPr>
        <w:tabs>
          <w:tab w:val="num" w:pos="0"/>
        </w:tabs>
        <w:ind w:left="6480" w:hanging="360"/>
      </w:pPr>
      <w:rPr>
        <w:rFonts w:ascii="Aptos" w:hAnsi="Aptos" w:cs="Aptos" w:hint="default"/>
        <w:sz w:val="20"/>
        <w:szCs w:val="20"/>
      </w:rPr>
    </w:lvl>
  </w:abstractNum>
  <w:abstractNum w:abstractNumId="7">
    <w:lvl w:ilvl="0">
      <w:numFmt w:val="bullet"/>
      <w:lvlText w:val="●"/>
      <w:lvlJc w:val="left"/>
      <w:pPr>
        <w:tabs>
          <w:tab w:val="num" w:pos="0"/>
        </w:tabs>
        <w:ind w:left="720" w:hanging="360"/>
      </w:pPr>
      <w:rPr>
        <w:rFonts w:ascii="Aptos" w:hAnsi="Aptos" w:cs="Aptos" w:hint="default"/>
        <w:sz w:val="20"/>
        <w:szCs w:val="20"/>
      </w:rPr>
    </w:lvl>
    <w:lvl w:ilvl="1">
      <w:start w:val="0"/>
      <w:numFmt w:val="bullet"/>
      <w:lvlText w:val="o"/>
      <w:lvlJc w:val="left"/>
      <w:pPr>
        <w:tabs>
          <w:tab w:val="num" w:pos="0"/>
        </w:tabs>
        <w:ind w:left="1440" w:hanging="360"/>
      </w:pPr>
      <w:rPr>
        <w:rFonts w:ascii="Courier New" w:hAnsi="Courier New" w:cs="Courier New" w:hint="default"/>
        <w:sz w:val="20"/>
        <w:szCs w:val="20"/>
      </w:rPr>
    </w:lvl>
    <w:lvl w:ilvl="2">
      <w:start w:val="0"/>
      <w:numFmt w:val="bullet"/>
      <w:lvlText w:val="▪"/>
      <w:lvlJc w:val="left"/>
      <w:pPr>
        <w:tabs>
          <w:tab w:val="num" w:pos="0"/>
        </w:tabs>
        <w:ind w:left="2160" w:hanging="360"/>
      </w:pPr>
      <w:rPr>
        <w:rFonts w:ascii="Aptos" w:hAnsi="Aptos" w:cs="Aptos" w:hint="default"/>
        <w:sz w:val="20"/>
        <w:szCs w:val="20"/>
      </w:rPr>
    </w:lvl>
    <w:lvl w:ilvl="3">
      <w:start w:val="0"/>
      <w:numFmt w:val="bullet"/>
      <w:lvlText w:val="▪"/>
      <w:lvlJc w:val="left"/>
      <w:pPr>
        <w:tabs>
          <w:tab w:val="num" w:pos="0"/>
        </w:tabs>
        <w:ind w:left="2880" w:hanging="360"/>
      </w:pPr>
      <w:rPr>
        <w:rFonts w:ascii="Aptos" w:hAnsi="Aptos" w:cs="Aptos" w:hint="default"/>
        <w:sz w:val="20"/>
        <w:szCs w:val="20"/>
      </w:rPr>
    </w:lvl>
    <w:lvl w:ilvl="4">
      <w:start w:val="0"/>
      <w:numFmt w:val="bullet"/>
      <w:lvlText w:val="▪"/>
      <w:lvlJc w:val="left"/>
      <w:pPr>
        <w:tabs>
          <w:tab w:val="num" w:pos="0"/>
        </w:tabs>
        <w:ind w:left="3600" w:hanging="360"/>
      </w:pPr>
      <w:rPr>
        <w:rFonts w:ascii="Aptos" w:hAnsi="Aptos" w:cs="Aptos" w:hint="default"/>
        <w:sz w:val="20"/>
        <w:szCs w:val="20"/>
      </w:rPr>
    </w:lvl>
    <w:lvl w:ilvl="5">
      <w:start w:val="0"/>
      <w:numFmt w:val="bullet"/>
      <w:lvlText w:val="▪"/>
      <w:lvlJc w:val="left"/>
      <w:pPr>
        <w:tabs>
          <w:tab w:val="num" w:pos="0"/>
        </w:tabs>
        <w:ind w:left="4320" w:hanging="360"/>
      </w:pPr>
      <w:rPr>
        <w:rFonts w:ascii="Aptos" w:hAnsi="Aptos" w:cs="Aptos" w:hint="default"/>
        <w:sz w:val="20"/>
        <w:szCs w:val="20"/>
      </w:rPr>
    </w:lvl>
    <w:lvl w:ilvl="6">
      <w:start w:val="0"/>
      <w:numFmt w:val="bullet"/>
      <w:lvlText w:val="▪"/>
      <w:lvlJc w:val="left"/>
      <w:pPr>
        <w:tabs>
          <w:tab w:val="num" w:pos="0"/>
        </w:tabs>
        <w:ind w:left="5040" w:hanging="360"/>
      </w:pPr>
      <w:rPr>
        <w:rFonts w:ascii="Aptos" w:hAnsi="Aptos" w:cs="Aptos" w:hint="default"/>
        <w:sz w:val="20"/>
        <w:szCs w:val="20"/>
      </w:rPr>
    </w:lvl>
    <w:lvl w:ilvl="7">
      <w:start w:val="0"/>
      <w:numFmt w:val="bullet"/>
      <w:lvlText w:val="▪"/>
      <w:lvlJc w:val="left"/>
      <w:pPr>
        <w:tabs>
          <w:tab w:val="num" w:pos="0"/>
        </w:tabs>
        <w:ind w:left="5760" w:hanging="360"/>
      </w:pPr>
      <w:rPr>
        <w:rFonts w:ascii="Aptos" w:hAnsi="Aptos" w:cs="Aptos" w:hint="default"/>
        <w:sz w:val="20"/>
        <w:szCs w:val="20"/>
      </w:rPr>
    </w:lvl>
    <w:lvl w:ilvl="8">
      <w:start w:val="0"/>
      <w:numFmt w:val="bullet"/>
      <w:lvlText w:val="▪"/>
      <w:lvlJc w:val="left"/>
      <w:pPr>
        <w:tabs>
          <w:tab w:val="num" w:pos="0"/>
        </w:tabs>
        <w:ind w:left="6480" w:hanging="360"/>
      </w:pPr>
      <w:rPr>
        <w:rFonts w:ascii="Aptos" w:hAnsi="Aptos" w:cs="Aptos" w:hint="default"/>
        <w:sz w:val="20"/>
        <w:szCs w:val="20"/>
      </w:rPr>
    </w:lvl>
  </w:abstractNum>
  <w:abstractNum w:abstractNumId="8">
    <w:lvl w:ilvl="0">
      <w:numFmt w:val="bullet"/>
      <w:lvlText w:val="●"/>
      <w:lvlJc w:val="left"/>
      <w:pPr>
        <w:tabs>
          <w:tab w:val="num" w:pos="0"/>
        </w:tabs>
        <w:ind w:left="720" w:hanging="360"/>
      </w:pPr>
      <w:rPr>
        <w:rFonts w:ascii="Aptos" w:hAnsi="Aptos" w:cs="Aptos" w:hint="default"/>
        <w:sz w:val="20"/>
        <w:szCs w:val="20"/>
      </w:rPr>
    </w:lvl>
    <w:lvl w:ilvl="1">
      <w:start w:val="0"/>
      <w:numFmt w:val="bullet"/>
      <w:lvlText w:val="o"/>
      <w:lvlJc w:val="left"/>
      <w:pPr>
        <w:tabs>
          <w:tab w:val="num" w:pos="0"/>
        </w:tabs>
        <w:ind w:left="1440" w:hanging="360"/>
      </w:pPr>
      <w:rPr>
        <w:rFonts w:ascii="Courier New" w:hAnsi="Courier New" w:cs="Courier New" w:hint="default"/>
        <w:sz w:val="20"/>
        <w:szCs w:val="20"/>
      </w:rPr>
    </w:lvl>
    <w:lvl w:ilvl="2">
      <w:start w:val="0"/>
      <w:numFmt w:val="bullet"/>
      <w:lvlText w:val="▪"/>
      <w:lvlJc w:val="left"/>
      <w:pPr>
        <w:tabs>
          <w:tab w:val="num" w:pos="0"/>
        </w:tabs>
        <w:ind w:left="2160" w:hanging="360"/>
      </w:pPr>
      <w:rPr>
        <w:rFonts w:ascii="Aptos" w:hAnsi="Aptos" w:cs="Aptos" w:hint="default"/>
        <w:sz w:val="20"/>
        <w:szCs w:val="20"/>
      </w:rPr>
    </w:lvl>
    <w:lvl w:ilvl="3">
      <w:start w:val="0"/>
      <w:numFmt w:val="bullet"/>
      <w:lvlText w:val="▪"/>
      <w:lvlJc w:val="left"/>
      <w:pPr>
        <w:tabs>
          <w:tab w:val="num" w:pos="0"/>
        </w:tabs>
        <w:ind w:left="2880" w:hanging="360"/>
      </w:pPr>
      <w:rPr>
        <w:rFonts w:ascii="Aptos" w:hAnsi="Aptos" w:cs="Aptos" w:hint="default"/>
        <w:sz w:val="20"/>
        <w:szCs w:val="20"/>
      </w:rPr>
    </w:lvl>
    <w:lvl w:ilvl="4">
      <w:start w:val="0"/>
      <w:numFmt w:val="bullet"/>
      <w:lvlText w:val="▪"/>
      <w:lvlJc w:val="left"/>
      <w:pPr>
        <w:tabs>
          <w:tab w:val="num" w:pos="0"/>
        </w:tabs>
        <w:ind w:left="3600" w:hanging="360"/>
      </w:pPr>
      <w:rPr>
        <w:rFonts w:ascii="Aptos" w:hAnsi="Aptos" w:cs="Aptos" w:hint="default"/>
        <w:sz w:val="20"/>
        <w:szCs w:val="20"/>
      </w:rPr>
    </w:lvl>
    <w:lvl w:ilvl="5">
      <w:start w:val="0"/>
      <w:numFmt w:val="bullet"/>
      <w:lvlText w:val="▪"/>
      <w:lvlJc w:val="left"/>
      <w:pPr>
        <w:tabs>
          <w:tab w:val="num" w:pos="0"/>
        </w:tabs>
        <w:ind w:left="4320" w:hanging="360"/>
      </w:pPr>
      <w:rPr>
        <w:rFonts w:ascii="Aptos" w:hAnsi="Aptos" w:cs="Aptos" w:hint="default"/>
        <w:sz w:val="20"/>
        <w:szCs w:val="20"/>
      </w:rPr>
    </w:lvl>
    <w:lvl w:ilvl="6">
      <w:start w:val="0"/>
      <w:numFmt w:val="bullet"/>
      <w:lvlText w:val="▪"/>
      <w:lvlJc w:val="left"/>
      <w:pPr>
        <w:tabs>
          <w:tab w:val="num" w:pos="0"/>
        </w:tabs>
        <w:ind w:left="5040" w:hanging="360"/>
      </w:pPr>
      <w:rPr>
        <w:rFonts w:ascii="Aptos" w:hAnsi="Aptos" w:cs="Aptos" w:hint="default"/>
        <w:sz w:val="20"/>
        <w:szCs w:val="20"/>
      </w:rPr>
    </w:lvl>
    <w:lvl w:ilvl="7">
      <w:start w:val="0"/>
      <w:numFmt w:val="bullet"/>
      <w:lvlText w:val="▪"/>
      <w:lvlJc w:val="left"/>
      <w:pPr>
        <w:tabs>
          <w:tab w:val="num" w:pos="0"/>
        </w:tabs>
        <w:ind w:left="5760" w:hanging="360"/>
      </w:pPr>
      <w:rPr>
        <w:rFonts w:ascii="Aptos" w:hAnsi="Aptos" w:cs="Aptos" w:hint="default"/>
        <w:sz w:val="20"/>
        <w:szCs w:val="20"/>
      </w:rPr>
    </w:lvl>
    <w:lvl w:ilvl="8">
      <w:start w:val="0"/>
      <w:numFmt w:val="bullet"/>
      <w:lvlText w:val="▪"/>
      <w:lvlJc w:val="left"/>
      <w:pPr>
        <w:tabs>
          <w:tab w:val="num" w:pos="0"/>
        </w:tabs>
        <w:ind w:left="6480" w:hanging="360"/>
      </w:pPr>
      <w:rPr>
        <w:rFonts w:ascii="Aptos" w:hAnsi="Aptos" w:cs="Aptos" w:hint="default"/>
        <w:sz w:val="20"/>
        <w:szCs w:val="20"/>
      </w:rPr>
    </w:lvl>
  </w:abstractNum>
  <w:abstractNum w:abstractNumId="9">
    <w:lvl w:ilvl="0">
      <w:numFmt w:val="bullet"/>
      <w:lvlText w:val=""/>
      <w:lvlJc w:val="left"/>
      <w:pPr>
        <w:tabs>
          <w:tab w:val="num" w:pos="0"/>
        </w:tabs>
        <w:ind w:left="432" w:hanging="432"/>
      </w:pPr>
      <w:rPr>
        <w:rFonts w:ascii="Symbol" w:hAnsi="Symbol" w:cs="Symbol" w:hint="default"/>
        <w:color w:val="000000"/>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1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
    <w:lvl w:ilvl="0">
      <w:numFmt w:val="bullet"/>
      <w:lvlText w:val=""/>
      <w:lvlJc w:val="left"/>
      <w:pPr>
        <w:tabs>
          <w:tab w:val="num" w:pos="0"/>
        </w:tabs>
        <w:ind w:left="795" w:hanging="360"/>
      </w:pPr>
      <w:rPr>
        <w:rFonts w:ascii="Symbol" w:hAnsi="Symbol" w:cs="Symbol" w:hint="default"/>
        <w:sz w:val="20"/>
        <w:shd w:fill="auto" w:val="clear"/>
        <w:szCs w:val="20"/>
        <w:color w:val="000000"/>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0"/>
        <w:shd w:fill="auto" w:val="clear"/>
        <w:szCs w:val="20"/>
        <w:color w:val="000000"/>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0"/>
        <w:shd w:fill="auto" w:val="clear"/>
        <w:szCs w:val="20"/>
        <w:color w:val="000000"/>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2">
    <w:lvl w:ilvl="0">
      <w:numFmt w:val="bullet"/>
      <w:lvlText w:val=""/>
      <w:lvlJc w:val="left"/>
      <w:pPr>
        <w:tabs>
          <w:tab w:val="num" w:pos="0"/>
        </w:tabs>
        <w:ind w:left="795" w:hanging="360"/>
      </w:pPr>
      <w:rPr>
        <w:rFonts w:ascii="Symbol" w:hAnsi="Symbol" w:cs="Symbol" w:hint="default"/>
        <w:sz w:val="28"/>
        <w:szCs w:val="28"/>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8"/>
        <w:szCs w:val="28"/>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8"/>
        <w:szCs w:val="28"/>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3">
    <w:lvl w:ilvl="0">
      <w:numFmt w:val="bullet"/>
      <w:lvlText w:val=""/>
      <w:lvlJc w:val="left"/>
      <w:pPr>
        <w:tabs>
          <w:tab w:val="num" w:pos="0"/>
        </w:tabs>
        <w:ind w:left="432" w:hanging="432"/>
      </w:pPr>
      <w:rPr>
        <w:rFonts w:ascii="Symbol" w:hAnsi="Symbol" w:cs="Symbol" w:hint="default"/>
        <w:color w:val="000000"/>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1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5">
    <w:lvl w:ilvl="0">
      <w:numFmt w:val="bullet"/>
      <w:lvlText w:val=""/>
      <w:lvlJc w:val="left"/>
      <w:pPr>
        <w:tabs>
          <w:tab w:val="num" w:pos="0"/>
        </w:tabs>
        <w:ind w:left="795" w:hanging="360"/>
      </w:pPr>
      <w:rPr>
        <w:rFonts w:ascii="Symbol" w:hAnsi="Symbol" w:cs="Symbol" w:hint="default"/>
        <w:sz w:val="20"/>
        <w:shd w:fill="auto" w:val="clear"/>
        <w:szCs w:val="20"/>
        <w:color w:val="000000"/>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0"/>
        <w:shd w:fill="auto" w:val="clear"/>
        <w:szCs w:val="20"/>
        <w:color w:val="000000"/>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0"/>
        <w:shd w:fill="auto" w:val="clear"/>
        <w:szCs w:val="20"/>
        <w:color w:val="000000"/>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6">
    <w:lvl w:ilvl="0">
      <w:numFmt w:val="bullet"/>
      <w:lvlText w:val=""/>
      <w:lvlJc w:val="left"/>
      <w:pPr>
        <w:tabs>
          <w:tab w:val="num" w:pos="0"/>
        </w:tabs>
        <w:ind w:left="795" w:hanging="360"/>
      </w:pPr>
      <w:rPr>
        <w:rFonts w:ascii="Symbol" w:hAnsi="Symbol" w:cs="Symbol" w:hint="default"/>
        <w:sz w:val="28"/>
        <w:szCs w:val="28"/>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Symbol" w:hAnsi="Symbol" w:cs="Symbol" w:hint="default"/>
        <w:sz w:val="28"/>
        <w:szCs w:val="28"/>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Symbol" w:hAnsi="Symbol" w:cs="Symbol" w:hint="default"/>
        <w:sz w:val="28"/>
        <w:szCs w:val="28"/>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8">
    <w:lvl w:ilvl="0">
      <w:numFmt w:val="bullet"/>
      <w:lvlText w:val=""/>
      <w:lvlJc w:val="left"/>
      <w:pPr>
        <w:tabs>
          <w:tab w:val="num" w:pos="0"/>
        </w:tabs>
        <w:ind w:left="718" w:hanging="360"/>
      </w:pPr>
      <w:rPr>
        <w:rFonts w:ascii="Symbol" w:hAnsi="Symbol" w:cs="Symbol" w:hint="default"/>
      </w:rPr>
    </w:lvl>
    <w:lvl w:ilvl="1">
      <w:start w:val="0"/>
      <w:numFmt w:val="bullet"/>
      <w:lvlText w:val="◦"/>
      <w:lvlJc w:val="left"/>
      <w:pPr>
        <w:tabs>
          <w:tab w:val="num" w:pos="0"/>
        </w:tabs>
        <w:ind w:left="1078" w:hanging="360"/>
      </w:pPr>
      <w:rPr>
        <w:rFonts w:ascii="OpenSymbol" w:hAnsi="OpenSymbol" w:cs="OpenSymbol" w:hint="default"/>
      </w:rPr>
    </w:lvl>
    <w:lvl w:ilvl="2">
      <w:start w:val="0"/>
      <w:numFmt w:val="bullet"/>
      <w:lvlText w:val="▪"/>
      <w:lvlJc w:val="left"/>
      <w:pPr>
        <w:tabs>
          <w:tab w:val="num" w:pos="0"/>
        </w:tabs>
        <w:ind w:left="1438" w:hanging="360"/>
      </w:pPr>
      <w:rPr>
        <w:rFonts w:ascii="OpenSymbol" w:hAnsi="OpenSymbol" w:cs="OpenSymbol" w:hint="default"/>
      </w:rPr>
    </w:lvl>
    <w:lvl w:ilvl="3">
      <w:start w:val="0"/>
      <w:numFmt w:val="bullet"/>
      <w:lvlText w:val=""/>
      <w:lvlJc w:val="left"/>
      <w:pPr>
        <w:tabs>
          <w:tab w:val="num" w:pos="0"/>
        </w:tabs>
        <w:ind w:left="1798" w:hanging="360"/>
      </w:pPr>
      <w:rPr>
        <w:rFonts w:ascii="Symbol" w:hAnsi="Symbol" w:cs="Symbol" w:hint="default"/>
      </w:rPr>
    </w:lvl>
    <w:lvl w:ilvl="4">
      <w:start w:val="0"/>
      <w:numFmt w:val="bullet"/>
      <w:lvlText w:val="◦"/>
      <w:lvlJc w:val="left"/>
      <w:pPr>
        <w:tabs>
          <w:tab w:val="num" w:pos="0"/>
        </w:tabs>
        <w:ind w:left="2158" w:hanging="360"/>
      </w:pPr>
      <w:rPr>
        <w:rFonts w:ascii="OpenSymbol" w:hAnsi="OpenSymbol" w:cs="OpenSymbol" w:hint="default"/>
      </w:rPr>
    </w:lvl>
    <w:lvl w:ilvl="5">
      <w:start w:val="0"/>
      <w:numFmt w:val="bullet"/>
      <w:lvlText w:val="▪"/>
      <w:lvlJc w:val="left"/>
      <w:pPr>
        <w:tabs>
          <w:tab w:val="num" w:pos="0"/>
        </w:tabs>
        <w:ind w:left="2518" w:hanging="360"/>
      </w:pPr>
      <w:rPr>
        <w:rFonts w:ascii="OpenSymbol" w:hAnsi="OpenSymbol" w:cs="OpenSymbol" w:hint="default"/>
      </w:rPr>
    </w:lvl>
    <w:lvl w:ilvl="6">
      <w:start w:val="0"/>
      <w:numFmt w:val="bullet"/>
      <w:lvlText w:val=""/>
      <w:lvlJc w:val="left"/>
      <w:pPr>
        <w:tabs>
          <w:tab w:val="num" w:pos="0"/>
        </w:tabs>
        <w:ind w:left="2878" w:hanging="360"/>
      </w:pPr>
      <w:rPr>
        <w:rFonts w:ascii="Symbol" w:hAnsi="Symbol" w:cs="Symbol" w:hint="default"/>
      </w:rPr>
    </w:lvl>
    <w:lvl w:ilvl="7">
      <w:start w:val="0"/>
      <w:numFmt w:val="bullet"/>
      <w:lvlText w:val="◦"/>
      <w:lvlJc w:val="left"/>
      <w:pPr>
        <w:tabs>
          <w:tab w:val="num" w:pos="0"/>
        </w:tabs>
        <w:ind w:left="3238" w:hanging="360"/>
      </w:pPr>
      <w:rPr>
        <w:rFonts w:ascii="OpenSymbol" w:hAnsi="OpenSymbol" w:cs="OpenSymbol" w:hint="default"/>
      </w:rPr>
    </w:lvl>
    <w:lvl w:ilvl="8">
      <w:start w:val="0"/>
      <w:numFmt w:val="bullet"/>
      <w:lvlText w:val="▪"/>
      <w:lvlJc w:val="left"/>
      <w:pPr>
        <w:tabs>
          <w:tab w:val="num" w:pos="0"/>
        </w:tabs>
        <w:ind w:left="3598" w:hanging="360"/>
      </w:pPr>
      <w:rPr>
        <w:rFonts w:ascii="OpenSymbol" w:hAnsi="OpenSymbol" w:cs="OpenSymbol" w:hint="default"/>
      </w:rPr>
    </w:lvl>
  </w:abstractNum>
  <w:abstractNum w:abstractNumId="19">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0">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1">
    <w:lvl w:ilvl="0">
      <w:start w:val="13"/>
      <w:numFmt w:val="decimal"/>
      <w:lvlText w:val="%1"/>
      <w:lvlJc w:val="left"/>
      <w:pPr>
        <w:tabs>
          <w:tab w:val="num" w:pos="0"/>
        </w:tabs>
        <w:ind w:left="660" w:hanging="660"/>
      </w:pPr>
      <w:rPr>
        <w:rFonts w:cs="Arial"/>
      </w:rPr>
    </w:lvl>
    <w:lvl w:ilvl="1">
      <w:start w:val="1"/>
      <w:numFmt w:val="decimal"/>
      <w:lvlText w:val="%1.%2"/>
      <w:lvlJc w:val="left"/>
      <w:pPr>
        <w:tabs>
          <w:tab w:val="num" w:pos="0"/>
        </w:tabs>
        <w:ind w:left="660" w:hanging="660"/>
      </w:pPr>
      <w:rPr>
        <w:rFonts w:cs="Arial"/>
      </w:rPr>
    </w:lvl>
    <w:lvl w:ilvl="2">
      <w:start w:val="7"/>
      <w:numFmt w:val="decimal"/>
      <w:lvlText w:val="%1.%2.%3"/>
      <w:lvlJc w:val="left"/>
      <w:pPr>
        <w:tabs>
          <w:tab w:val="num" w:pos="0"/>
        </w:tabs>
        <w:ind w:left="720" w:hanging="720"/>
      </w:pPr>
      <w:rPr>
        <w:rFonts w:cs="Arial"/>
      </w:rPr>
    </w:lvl>
    <w:lvl w:ilvl="3">
      <w:start w:val="1"/>
      <w:numFmt w:val="decimal"/>
      <w:lvlText w:val="%1.%2.%3.%4"/>
      <w:lvlJc w:val="left"/>
      <w:pPr>
        <w:tabs>
          <w:tab w:val="num" w:pos="0"/>
        </w:tabs>
        <w:ind w:left="720" w:hanging="720"/>
      </w:pPr>
      <w:rPr>
        <w:rFonts w:cs="Arial"/>
      </w:rPr>
    </w:lvl>
    <w:lvl w:ilvl="4">
      <w:start w:val="1"/>
      <w:numFmt w:val="decimal"/>
      <w:lvlText w:val="%1.%2.%3.%4.%5"/>
      <w:lvlJc w:val="left"/>
      <w:pPr>
        <w:tabs>
          <w:tab w:val="num" w:pos="0"/>
        </w:tabs>
        <w:ind w:left="1080" w:hanging="1080"/>
      </w:pPr>
      <w:rPr>
        <w:rFonts w:cs="Arial"/>
      </w:rPr>
    </w:lvl>
    <w:lvl w:ilvl="5">
      <w:start w:val="1"/>
      <w:numFmt w:val="decimal"/>
      <w:lvlText w:val="%1.%2.%3.%4.%5.%6"/>
      <w:lvlJc w:val="left"/>
      <w:pPr>
        <w:tabs>
          <w:tab w:val="num" w:pos="0"/>
        </w:tabs>
        <w:ind w:left="1080" w:hanging="1080"/>
      </w:pPr>
      <w:rPr>
        <w:rFonts w:cs="Arial"/>
      </w:rPr>
    </w:lvl>
    <w:lvl w:ilvl="6">
      <w:start w:val="1"/>
      <w:numFmt w:val="decimal"/>
      <w:lvlText w:val="%1.%2.%3.%4.%5.%6.%7"/>
      <w:lvlJc w:val="left"/>
      <w:pPr>
        <w:tabs>
          <w:tab w:val="num" w:pos="0"/>
        </w:tabs>
        <w:ind w:left="1440" w:hanging="1440"/>
      </w:pPr>
      <w:rPr>
        <w:rFonts w:cs="Arial"/>
      </w:rPr>
    </w:lvl>
    <w:lvl w:ilvl="7">
      <w:start w:val="1"/>
      <w:numFmt w:val="decimal"/>
      <w:lvlText w:val="%1.%2.%3.%4.%5.%6.%7.%8"/>
      <w:lvlJc w:val="left"/>
      <w:pPr>
        <w:tabs>
          <w:tab w:val="num" w:pos="0"/>
        </w:tabs>
        <w:ind w:left="1440" w:hanging="1440"/>
      </w:pPr>
      <w:rPr>
        <w:rFonts w:cs="Arial"/>
      </w:rPr>
    </w:lvl>
    <w:lvl w:ilvl="8">
      <w:start w:val="1"/>
      <w:numFmt w:val="decimal"/>
      <w:lvlText w:val="%1.%2.%3.%4.%5.%6.%7.%8.%9"/>
      <w:lvlJc w:val="left"/>
      <w:pPr>
        <w:tabs>
          <w:tab w:val="num" w:pos="0"/>
        </w:tabs>
        <w:ind w:left="1800" w:hanging="1800"/>
      </w:pPr>
      <w:rPr>
        <w:rFonts w:cs="Arial"/>
      </w:rPr>
    </w:lvl>
  </w:abstractNum>
  <w:abstractNum w:abstractNumId="22">
    <w:lvl w:ilvl="0">
      <w:start w:val="13"/>
      <w:numFmt w:val="decimal"/>
      <w:lvlText w:val="%1"/>
      <w:lvlJc w:val="left"/>
      <w:pPr>
        <w:tabs>
          <w:tab w:val="num" w:pos="0"/>
        </w:tabs>
        <w:ind w:left="660" w:hanging="660"/>
      </w:pPr>
      <w:rPr/>
    </w:lvl>
    <w:lvl w:ilvl="1">
      <w:start w:val="2"/>
      <w:numFmt w:val="decimal"/>
      <w:lvlText w:val="%1.%2"/>
      <w:lvlJc w:val="left"/>
      <w:pPr>
        <w:tabs>
          <w:tab w:val="num" w:pos="0"/>
        </w:tabs>
        <w:ind w:left="660" w:hanging="660"/>
      </w:pPr>
      <w:rPr/>
    </w:lvl>
    <w:lvl w:ilvl="2">
      <w:start w:val="4"/>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4"/>
  </w:num>
  <w:num w:numId="57">
    <w:abstractNumId w:val="14"/>
  </w:num>
  <w:num w:numId="58">
    <w:abstractNumId w:val="14"/>
  </w:num>
  <w:num w:numId="59">
    <w:abstractNumId w:val="14"/>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5"/>
  </w:num>
  <w:num w:numId="71">
    <w:abstractNumId w:val="15"/>
  </w:num>
  <w:num w:numId="72">
    <w:abstractNumId w:val="15"/>
  </w:num>
  <w:num w:numId="73">
    <w:abstractNumId w:val="15"/>
  </w:num>
  <w:num w:numId="74">
    <w:abstractNumId w:val="15"/>
  </w:num>
  <w:num w:numId="75">
    <w:abstractNumId w:val="15"/>
  </w:num>
  <w:num w:numId="76">
    <w:abstractNumId w:val="15"/>
  </w:num>
  <w:num w:numId="77">
    <w:abstractNumId w:val="15"/>
  </w:num>
  <w:num w:numId="78">
    <w:abstractNumId w:val="15"/>
  </w:num>
  <w:num w:numId="79">
    <w:abstractNumId w:val="15"/>
  </w:num>
  <w:num w:numId="80">
    <w:abstractNumId w:val="16"/>
  </w:num>
  <w:num w:numId="81">
    <w:abstractNumId w:val="16"/>
  </w:num>
  <w:num w:numId="82">
    <w:abstractNumId w:val="16"/>
  </w:num>
  <w:num w:numId="83">
    <w:abstractNumId w:val="16"/>
  </w:num>
  <w:num w:numId="84">
    <w:abstractNumId w:val="16"/>
  </w:num>
  <w:num w:numId="85">
    <w:abstractNumId w:val="16"/>
  </w:num>
  <w:num w:numId="86">
    <w:abstractNumId w:val="16"/>
  </w:num>
  <w:num w:numId="87">
    <w:abstractNumId w:val="16"/>
  </w:num>
  <w:num w:numId="88">
    <w:abstractNumId w:val="16"/>
  </w:num>
  <w:num w:numId="89">
    <w:abstractNumId w:val="16"/>
  </w:num>
  <w:num w:numId="90">
    <w:abstractNumId w:val="16"/>
  </w:num>
  <w:num w:numId="91">
    <w:abstractNumId w:val="16"/>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bering>
</file>

<file path=word/settings.xml><?xml version="1.0" encoding="utf-8"?>
<w:settings xmlns:w="http://schemas.openxmlformats.org/wordprocessingml/2006/main">
  <w:zoom w:percent="12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50da"/>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lang w:val="x-none"/>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x-none"/>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x-none"/>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Cambria"/>
      <w:b/>
      <w:bCs/>
      <w:i/>
      <w:iCs/>
      <w:color w:val="4F81BD"/>
      <w:lang w:val="x-none"/>
    </w:rPr>
  </w:style>
  <w:style w:type="paragraph" w:styleId="Heading5">
    <w:name w:val="heading 5"/>
    <w:basedOn w:val="Normal"/>
    <w:next w:val="Normal"/>
    <w:qFormat/>
    <w:pPr>
      <w:keepNext w:val="true"/>
      <w:numPr>
        <w:ilvl w:val="4"/>
        <w:numId w:val="1"/>
      </w:numPr>
      <w:jc w:val="both"/>
      <w:outlineLvl w:val="4"/>
    </w:pPr>
    <w:rPr>
      <w:b/>
      <w:szCs w:val="20"/>
      <w:u w:val="single"/>
    </w:rPr>
  </w:style>
  <w:style w:type="paragraph" w:styleId="Heading6">
    <w:name w:val="heading 6"/>
    <w:basedOn w:val="Normal"/>
    <w:next w:val="Normal"/>
    <w:qFormat/>
    <w:pPr>
      <w:numPr>
        <w:ilvl w:val="5"/>
        <w:numId w:val="1"/>
      </w:numPr>
      <w:spacing w:before="240" w:after="60"/>
      <w:outlineLvl w:val="5"/>
    </w:pPr>
    <w:rPr>
      <w:b/>
      <w:bCs/>
      <w:sz w:val="22"/>
      <w:szCs w:val="22"/>
      <w:lang w:val="x-none"/>
    </w:rPr>
  </w:style>
  <w:style w:type="paragraph" w:styleId="Heading7">
    <w:name w:val="heading 7"/>
    <w:basedOn w:val="Normal"/>
    <w:next w:val="Normal"/>
    <w:qFormat/>
    <w:pPr>
      <w:keepNext w:val="true"/>
      <w:numPr>
        <w:ilvl w:val="6"/>
        <w:numId w:val="1"/>
      </w:numPr>
      <w:jc w:val="center"/>
      <w:outlineLvl w:val="6"/>
    </w:pPr>
    <w:rPr>
      <w:szCs w:val="20"/>
    </w:rPr>
  </w:style>
  <w:style w:type="paragraph" w:styleId="Heading8">
    <w:name w:val="heading 8"/>
    <w:basedOn w:val="Normal"/>
    <w:next w:val="Normal"/>
    <w:qFormat/>
    <w:pPr>
      <w:keepNext w:val="true"/>
      <w:jc w:val="both"/>
      <w:outlineLvl w:val="7"/>
    </w:pPr>
    <w:rPr>
      <w:rFonts w:ascii="Comic Sans MS" w:hAnsi="Comic Sans MS" w:cs="Comic Sans MS"/>
      <w:b/>
    </w:rPr>
  </w:style>
  <w:style w:type="paragraph" w:styleId="Heading9">
    <w:name w:val="heading 9"/>
    <w:basedOn w:val="Normal"/>
    <w:next w:val="Normal"/>
    <w:qFormat/>
    <w:pPr>
      <w:keepNext w:val="true"/>
      <w:jc w:val="both"/>
      <w:outlineLvl w:val="8"/>
    </w:pPr>
    <w:rPr>
      <w:rFonts w:ascii="Arial" w:hAnsi="Arial" w:cs="Arial"/>
      <w:b/>
      <w:sz w:val="22"/>
      <w:u w:val="single"/>
    </w:rPr>
  </w:style>
  <w:style w:type="character" w:styleId="DefaultParagraphFont" w:default="1">
    <w:name w:val="Default Paragraph Font"/>
    <w:uiPriority w:val="1"/>
    <w:semiHidden/>
    <w:unhideWhenUsed/>
    <w:qFormat/>
    <w:rPr/>
  </w:style>
  <w:style w:type="character" w:styleId="WW8Num1z0" w:customStyle="1">
    <w:name w:val="WW8Num1z0"/>
    <w:qFormat/>
    <w:rPr>
      <w:color w:val="000000"/>
      <w:sz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color w:val="000000"/>
    </w:rPr>
  </w:style>
  <w:style w:type="character" w:styleId="WW8Num3z0" w:customStyle="1">
    <w:name w:val="WW8Num3z0"/>
    <w:qFormat/>
    <w:rPr>
      <w:rFonts w:ascii="Symbol" w:hAnsi="Symbol" w:cs="OpenSymbol"/>
      <w:color w:val="000000"/>
      <w:shd w:fill="auto" w:val="clear"/>
    </w:rPr>
  </w:style>
  <w:style w:type="character" w:styleId="WW8Num4z0" w:customStyle="1">
    <w:name w:val="WW8Num4z0"/>
    <w:qFormat/>
    <w:rPr>
      <w:rFonts w:ascii="Symbol" w:hAnsi="Symbol" w:cs="OpenSymbol"/>
      <w:color w:val="000000"/>
      <w:sz w:val="24"/>
    </w:rPr>
  </w:style>
  <w:style w:type="character" w:styleId="WW8Num4z1" w:customStyle="1">
    <w:name w:val="WW8Num4z1"/>
    <w:qFormat/>
    <w:rPr>
      <w:rFonts w:ascii="OpenSymbol" w:hAnsi="OpenSymbol" w:cs="OpenSymbol"/>
    </w:rPr>
  </w:style>
  <w:style w:type="character" w:styleId="WW8Num5z0" w:customStyle="1">
    <w:name w:val="WW8Num5z0"/>
    <w:qFormat/>
    <w:rPr>
      <w:rFonts w:ascii="Wingdings" w:hAnsi="Wingdings" w:cs="OpenSymbol"/>
      <w:color w:val="000000"/>
      <w:sz w:val="24"/>
    </w:rPr>
  </w:style>
  <w:style w:type="character" w:styleId="WW8Num6z0" w:customStyle="1">
    <w:name w:val="WW8Num6z0"/>
    <w:qFormat/>
    <w:rPr>
      <w:rFonts w:ascii="Symbol" w:hAnsi="Symbol" w:cs="Symbol"/>
      <w:color w:val="000000"/>
    </w:rPr>
  </w:style>
  <w:style w:type="character" w:styleId="WW8Num7z0" w:customStyle="1">
    <w:name w:val="WW8Num7z0"/>
    <w:qFormat/>
    <w:rPr>
      <w:rFonts w:ascii="Symbol" w:hAnsi="Symbol" w:cs="Wingdings"/>
      <w:color w:val="000000"/>
      <w:sz w:val="20"/>
      <w:szCs w:val="20"/>
    </w:rPr>
  </w:style>
  <w:style w:type="character" w:styleId="WW8Num7z1" w:customStyle="1">
    <w:name w:val="WW8Num7z1"/>
    <w:qFormat/>
    <w:rPr>
      <w:rFonts w:ascii="OpenSymbol" w:hAnsi="OpenSymbol" w:cs="Courier New"/>
    </w:rPr>
  </w:style>
  <w:style w:type="character" w:styleId="WW8Num8z0" w:customStyle="1">
    <w:name w:val="WW8Num8z0"/>
    <w:qFormat/>
    <w:rPr>
      <w:rFonts w:ascii="Symbol" w:hAnsi="Symbol" w:cs="OpenSymbol"/>
      <w:color w:val="00000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4"/>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Wingdings"/>
      <w:color w:val="000000"/>
      <w:sz w:val="28"/>
      <w:szCs w:val="28"/>
      <w:lang w:eastAsia="pt-BR" w:bidi="hi-IN"/>
    </w:rPr>
  </w:style>
  <w:style w:type="character" w:styleId="WW8Num10z1" w:customStyle="1">
    <w:name w:val="WW8Num10z1"/>
    <w:qFormat/>
    <w:rPr>
      <w:rFonts w:ascii="OpenSymbol" w:hAnsi="OpenSymbol" w:cs="OpenSymbol"/>
    </w:rPr>
  </w:style>
  <w:style w:type="character" w:styleId="WW8Num11z0" w:customStyle="1">
    <w:name w:val="WW8Num11z0"/>
    <w:qFormat/>
    <w:rPr>
      <w:rFonts w:ascii="Symbol" w:hAnsi="Symbol" w:cs="OpenSymbol"/>
      <w:color w:val="000000"/>
      <w:sz w:val="24"/>
    </w:rPr>
  </w:style>
  <w:style w:type="character" w:styleId="WW8Num11z1" w:customStyle="1">
    <w:name w:val="WW8Num11z1"/>
    <w:qFormat/>
    <w:rPr>
      <w:rFonts w:ascii="OpenSymbol" w:hAnsi="OpenSymbol" w:cs="OpenSymbol"/>
    </w:rPr>
  </w:style>
  <w:style w:type="character" w:styleId="WW8Num12z0" w:customStyle="1">
    <w:name w:val="WW8Num12z0"/>
    <w:qFormat/>
    <w:rPr>
      <w:rFonts w:ascii="Symbol" w:hAnsi="Symbol" w:cs="OpenSymbol"/>
      <w:color w:val="000000"/>
      <w:kern w:val="2"/>
      <w:lang w:eastAsia="pt-BR"/>
    </w:rPr>
  </w:style>
  <w:style w:type="character" w:styleId="WW8Num12z1" w:customStyle="1">
    <w:name w:val="WW8Num12z1"/>
    <w:qFormat/>
    <w:rPr>
      <w:rFonts w:ascii="OpenSymbol" w:hAnsi="OpenSymbol" w:cs="OpenSymbol"/>
      <w:color w:val="000000"/>
      <w:kern w:val="2"/>
      <w:lang w:eastAsia="pt-BR"/>
    </w:rPr>
  </w:style>
  <w:style w:type="character" w:styleId="WW8Num13z0" w:customStyle="1">
    <w:name w:val="WW8Num13z0"/>
    <w:qFormat/>
    <w:rPr>
      <w:rFonts w:ascii="Symbol" w:hAnsi="Symbol" w:cs="OpenSymbol"/>
      <w:color w:val="000000"/>
      <w:sz w:val="24"/>
    </w:rPr>
  </w:style>
  <w:style w:type="character" w:styleId="WW8Num13z1" w:customStyle="1">
    <w:name w:val="WW8Num13z1"/>
    <w:qFormat/>
    <w:rPr>
      <w:rFonts w:ascii="OpenSymbol" w:hAnsi="OpenSymbol" w:cs="OpenSymbol"/>
    </w:rPr>
  </w:style>
  <w:style w:type="character" w:styleId="WW8Num14z0" w:customStyle="1">
    <w:name w:val="WW8Num14z0"/>
    <w:qFormat/>
    <w:rPr>
      <w:rFonts w:ascii="Symbol" w:hAnsi="Symbol" w:cs="OpenSymbol"/>
      <w:color w:val="000000"/>
      <w:sz w:val="28"/>
      <w:szCs w:val="28"/>
    </w:rPr>
  </w:style>
  <w:style w:type="character" w:styleId="WW8Num14z1" w:customStyle="1">
    <w:name w:val="WW8Num14z1"/>
    <w:qFormat/>
    <w:rPr>
      <w:rFonts w:ascii="OpenSymbol" w:hAnsi="OpenSymbol" w:cs="OpenSymbol"/>
    </w:rPr>
  </w:style>
  <w:style w:type="character" w:styleId="WW8Num15z0" w:customStyle="1">
    <w:name w:val="WW8Num15z0"/>
    <w:qFormat/>
    <w:rPr>
      <w:rFonts w:ascii="Symbol" w:hAnsi="Symbol" w:cs="OpenSymbol"/>
      <w:color w:val="000000"/>
      <w:sz w:val="24"/>
    </w:rPr>
  </w:style>
  <w:style w:type="character" w:styleId="WW8Num15z1" w:customStyle="1">
    <w:name w:val="WW8Num15z1"/>
    <w:qFormat/>
    <w:rPr>
      <w:rFonts w:ascii="OpenSymbol" w:hAnsi="OpenSymbol" w:cs="OpenSymbol"/>
    </w:rPr>
  </w:style>
  <w:style w:type="character" w:styleId="WW8Num16z0" w:customStyle="1">
    <w:name w:val="WW8Num16z0"/>
    <w:qFormat/>
    <w:rPr>
      <w:rFonts w:ascii="Wingdings" w:hAnsi="Wingdings" w:cs="OpenSymbol"/>
      <w:color w:val="000000"/>
      <w:sz w:val="24"/>
    </w:rPr>
  </w:style>
  <w:style w:type="character" w:styleId="WW8Num17z0" w:customStyle="1">
    <w:name w:val="WW8Num17z0"/>
    <w:qFormat/>
    <w:rPr>
      <w:color w:val="000000"/>
      <w:sz w:val="24"/>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color w:val="000000"/>
      <w:sz w:val="24"/>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color w:val="000000"/>
      <w:sz w:val="24"/>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color w:val="000000"/>
      <w:sz w:val="24"/>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color w:val="000000"/>
      <w:sz w:val="24"/>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color w:val="000000"/>
      <w:sz w:val="24"/>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000000"/>
      <w:sz w:val="24"/>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color w:val="000000"/>
      <w:sz w:val="24"/>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color w:val="000000"/>
      <w:sz w:val="24"/>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color w:val="000000"/>
      <w:sz w:val="24"/>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color w:val="000000"/>
      <w:sz w:val="24"/>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WW8Num2z1" w:customStyle="1">
    <w:name w:val="WW8Num2z1"/>
    <w:qFormat/>
    <w:rPr>
      <w:rFonts w:ascii="OpenSymbol" w:hAnsi="OpenSymbol" w:cs="OpenSymbol"/>
    </w:rPr>
  </w:style>
  <w:style w:type="character" w:styleId="WW8Num3z1" w:customStyle="1">
    <w:name w:val="WW8Num3z1"/>
    <w:qFormat/>
    <w:rPr>
      <w:rFonts w:ascii="OpenSymbol" w:hAnsi="OpenSymbol" w:cs="OpenSymbol"/>
    </w:rPr>
  </w:style>
  <w:style w:type="character" w:styleId="WW8Num5z1" w:customStyle="1">
    <w:name w:val="WW8Num5z1"/>
    <w:qFormat/>
    <w:rPr>
      <w:rFonts w:ascii="OpenSymbol" w:hAnsi="OpenSymbol" w:cs="OpenSymbol"/>
    </w:rPr>
  </w:style>
  <w:style w:type="character" w:styleId="WW8Num6z1" w:customStyle="1">
    <w:name w:val="WW8Num6z1"/>
    <w:qFormat/>
    <w:rPr>
      <w:rFonts w:ascii="OpenSymbol" w:hAnsi="OpenSymbol" w:cs="OpenSymbol"/>
    </w:rPr>
  </w:style>
  <w:style w:type="character" w:styleId="WW8Num9z2" w:customStyle="1">
    <w:name w:val="WW8Num9z2"/>
    <w:qFormat/>
    <w:rPr>
      <w:rFonts w:ascii="Wingdings" w:hAnsi="Wingdings" w:cs="Wingdings"/>
      <w:sz w:val="20"/>
    </w:rPr>
  </w:style>
  <w:style w:type="character" w:styleId="WW8Num15z2" w:customStyle="1">
    <w:name w:val="WW8Num15z2"/>
    <w:qFormat/>
    <w:rPr>
      <w:rFonts w:ascii="Wingdings" w:hAnsi="Wingdings" w:cs="Wingdings"/>
    </w:rPr>
  </w:style>
  <w:style w:type="character" w:styleId="WW8Num16z1" w:customStyle="1">
    <w:name w:val="WW8Num16z1"/>
    <w:qFormat/>
    <w:rPr>
      <w:rFonts w:ascii="OpenSymbol" w:hAnsi="OpenSymbol" w:cs="Courier New"/>
    </w:rPr>
  </w:style>
  <w:style w:type="character" w:styleId="Fontepargpadro12" w:customStyle="1">
    <w:name w:val="Fonte parág. padrão12"/>
    <w:qFormat/>
    <w:rPr/>
  </w:style>
  <w:style w:type="character" w:styleId="WW8Num13z2" w:customStyle="1">
    <w:name w:val="WW8Num13z2"/>
    <w:qFormat/>
    <w:rPr>
      <w:rFonts w:ascii="Wingdings" w:hAnsi="Wingdings" w:cs="Wingdings"/>
      <w:sz w:val="20"/>
    </w:rPr>
  </w:style>
  <w:style w:type="character" w:styleId="Fontepargpadro11" w:customStyle="1">
    <w:name w:val="Fonte parág. padrão11"/>
    <w:qFormat/>
    <w:rPr/>
  </w:style>
  <w:style w:type="character" w:styleId="Fontepargpadro9" w:customStyle="1">
    <w:name w:val="Fonte parág. padrão9"/>
    <w:qFormat/>
    <w:rPr/>
  </w:style>
  <w:style w:type="character" w:styleId="WW8Num14z2" w:customStyle="1">
    <w:name w:val="WW8Num14z2"/>
    <w:qFormat/>
    <w:rPr>
      <w:rFonts w:ascii="Wingdings" w:hAnsi="Wingdings" w:cs="Wingdings"/>
    </w:rPr>
  </w:style>
  <w:style w:type="character" w:styleId="WW8Num28z0" w:customStyle="1">
    <w:name w:val="WW8Num28z0"/>
    <w:qFormat/>
    <w:rPr>
      <w:rFonts w:ascii="Times New Roman" w:hAnsi="Times New Roman" w:cs="Times New Roman"/>
      <w:sz w:val="24"/>
    </w:rPr>
  </w:style>
  <w:style w:type="character" w:styleId="WW8Num29z0" w:customStyle="1">
    <w:name w:val="WW8Num29z0"/>
    <w:qFormat/>
    <w:rPr>
      <w:rFonts w:ascii="StarSymbol" w:hAnsi="StarSymbol" w:eastAsia="OpenSymbol" w:cs="OpenSymbol"/>
    </w:rPr>
  </w:style>
  <w:style w:type="character" w:styleId="WW8Num30z0" w:customStyle="1">
    <w:name w:val="WW8Num30z0"/>
    <w:qFormat/>
    <w:rPr>
      <w:rFonts w:ascii="Times New Roman" w:hAnsi="Times New Roman" w:cs="Times New Roman"/>
      <w:b/>
      <w:color w:val="000000"/>
      <w:sz w:val="24"/>
    </w:rPr>
  </w:style>
  <w:style w:type="character" w:styleId="WW8Num31z0" w:customStyle="1">
    <w:name w:val="WW8Num31z0"/>
    <w:qFormat/>
    <w:rPr>
      <w:rFonts w:ascii="Times New Roman" w:hAnsi="Times New Roman" w:cs="Times New Roman"/>
      <w:sz w:val="24"/>
    </w:rPr>
  </w:style>
  <w:style w:type="character" w:styleId="WW8Num32z0" w:customStyle="1">
    <w:name w:val="WW8Num32z0"/>
    <w:qFormat/>
    <w:rPr>
      <w:rFonts w:ascii="StarSymbol" w:hAnsi="StarSymbol" w:eastAsia="OpenSymbol" w:cs="OpenSymbol"/>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Wingdings" w:hAnsi="Wingdings" w:cs="Wingdings"/>
    </w:rPr>
  </w:style>
  <w:style w:type="character" w:styleId="WW8Num33z1" w:customStyle="1">
    <w:name w:val="WW8Num33z1"/>
    <w:qFormat/>
    <w:rPr>
      <w:rFonts w:ascii="Courier New" w:hAnsi="Courier New" w:cs="Courier New"/>
    </w:rPr>
  </w:style>
  <w:style w:type="character" w:styleId="WW8Num33z3" w:customStyle="1">
    <w:name w:val="WW8Num33z3"/>
    <w:qFormat/>
    <w:rPr>
      <w:rFonts w:ascii="Symbol" w:hAnsi="Symbol" w:cs="Symbol"/>
    </w:rPr>
  </w:style>
  <w:style w:type="character" w:styleId="WW8Num34z0" w:customStyle="1">
    <w:name w:val="WW8Num34z0"/>
    <w:qFormat/>
    <w:rPr>
      <w:rFonts w:ascii="StarSymbol" w:hAnsi="StarSymbol" w:eastAsia="OpenSymbol" w:cs="OpenSymbol"/>
      <w:color w:val="000000"/>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2" w:customStyle="1">
    <w:name w:val="Fonte parág. padrão2"/>
    <w:qFormat/>
    <w:rPr/>
  </w:style>
  <w:style w:type="character" w:styleId="WW8Num4z2" w:customStyle="1">
    <w:name w:val="WW8Num4z2"/>
    <w:qFormat/>
    <w:rPr>
      <w:rFonts w:ascii="Wingdings" w:hAnsi="Wingdings" w:cs="Wingdings"/>
    </w:rPr>
  </w:style>
  <w:style w:type="character" w:styleId="WW8Num6z2" w:customStyle="1">
    <w:name w:val="WW8Num6z2"/>
    <w:qFormat/>
    <w:rPr>
      <w:rFonts w:ascii="Wingdings" w:hAnsi="Wingdings" w:cs="Wingdings"/>
    </w:rPr>
  </w:style>
  <w:style w:type="character" w:styleId="WW8Num7z2" w:customStyle="1">
    <w:name w:val="WW8Num7z2"/>
    <w:qFormat/>
    <w:rPr>
      <w:rFonts w:ascii="Wingdings" w:hAnsi="Wingdings" w:cs="Wingdings"/>
    </w:rPr>
  </w:style>
  <w:style w:type="character" w:styleId="WW8Num8z2" w:customStyle="1">
    <w:name w:val="WW8Num8z2"/>
    <w:qFormat/>
    <w:rPr>
      <w:rFonts w:ascii="Wingdings" w:hAnsi="Wingdings" w:cs="Wingdings"/>
    </w:rPr>
  </w:style>
  <w:style w:type="character" w:styleId="WW8Num10z2" w:customStyle="1">
    <w:name w:val="WW8Num10z2"/>
    <w:qFormat/>
    <w:rPr>
      <w:rFonts w:ascii="Wingdings" w:hAnsi="Wingdings" w:cs="Wingdings"/>
    </w:rPr>
  </w:style>
  <w:style w:type="character" w:styleId="WW8Num11z2" w:customStyle="1">
    <w:name w:val="WW8Num11z2"/>
    <w:qFormat/>
    <w:rPr>
      <w:rFonts w:ascii="Wingdings" w:hAnsi="Wingdings" w:cs="Wingdings"/>
    </w:rPr>
  </w:style>
  <w:style w:type="character" w:styleId="WW8Num12z5" w:customStyle="1">
    <w:name w:val="WW8Num12z5"/>
    <w:qFormat/>
    <w:rPr>
      <w:rFonts w:ascii="Wingdings" w:hAnsi="Wingdings" w:cs="Wingdings"/>
    </w:rPr>
  </w:style>
  <w:style w:type="character" w:styleId="WW8Num13z3" w:customStyle="1">
    <w:name w:val="WW8Num13z3"/>
    <w:qFormat/>
    <w:rPr>
      <w:rFonts w:ascii="Symbol" w:hAnsi="Symbol" w:cs="Symbol"/>
    </w:rPr>
  </w:style>
  <w:style w:type="character" w:styleId="WW8Num16z2" w:customStyle="1">
    <w:name w:val="WW8Num16z2"/>
    <w:qFormat/>
    <w:rPr>
      <w:rFonts w:ascii="Wingdings" w:hAnsi="Wingdings" w:cs="Wingdings"/>
    </w:rPr>
  </w:style>
  <w:style w:type="character" w:styleId="Fontepargpadro1" w:customStyle="1">
    <w:name w:val="Fonte parág. padrão1"/>
    <w:qFormat/>
    <w:rPr/>
  </w:style>
  <w:style w:type="character" w:styleId="Ttulo1Char" w:customStyle="1">
    <w:name w:val="Título 1 Char"/>
    <w:qFormat/>
    <w:rPr>
      <w:rFonts w:ascii="Arial" w:hAnsi="Arial" w:cs="Arial"/>
      <w:b/>
      <w:bCs/>
      <w:kern w:val="2"/>
      <w:sz w:val="32"/>
      <w:szCs w:val="32"/>
    </w:rPr>
  </w:style>
  <w:style w:type="character" w:styleId="Ttulo2Char" w:customStyle="1">
    <w:name w:val="Título 2 Char"/>
    <w:qFormat/>
    <w:rPr>
      <w:rFonts w:ascii="Cambria" w:hAnsi="Cambria" w:eastAsia="Times New Roman" w:cs="Times New Roman"/>
      <w:b/>
      <w:bCs/>
      <w:i/>
      <w:iCs/>
      <w:sz w:val="28"/>
      <w:szCs w:val="28"/>
    </w:rPr>
  </w:style>
  <w:style w:type="character" w:styleId="Ttulo3Char" w:customStyle="1">
    <w:name w:val="Título 3 Char"/>
    <w:qFormat/>
    <w:rPr>
      <w:rFonts w:ascii="Cambria" w:hAnsi="Cambria" w:eastAsia="Times New Roman" w:cs="Times New Roman"/>
      <w:b/>
      <w:bCs/>
      <w:color w:val="4F81BD"/>
      <w:sz w:val="24"/>
      <w:szCs w:val="24"/>
    </w:rPr>
  </w:style>
  <w:style w:type="character" w:styleId="Ttulo4Char" w:customStyle="1">
    <w:name w:val="Título 4 Char"/>
    <w:qFormat/>
    <w:rPr>
      <w:rFonts w:ascii="Cambria" w:hAnsi="Cambria" w:eastAsia="Times New Roman" w:cs="Times New Roman"/>
      <w:b/>
      <w:bCs/>
      <w:i/>
      <w:iCs/>
      <w:color w:val="4F81BD"/>
      <w:sz w:val="24"/>
      <w:szCs w:val="24"/>
    </w:rPr>
  </w:style>
  <w:style w:type="character" w:styleId="InternetLink" w:customStyle="1">
    <w:name w:val="Internet Link"/>
    <w:qFormat/>
    <w:rPr>
      <w:color w:val="0000FF"/>
      <w:u w:val="single"/>
    </w:rPr>
  </w:style>
  <w:style w:type="character" w:styleId="PageNumber">
    <w:name w:val="page number"/>
    <w:basedOn w:val="Fontepargpadro1"/>
    <w:rPr/>
  </w:style>
  <w:style w:type="character" w:styleId="CorpodetextoChar" w:customStyle="1">
    <w:name w:val="Corpo de texto Char"/>
    <w:qFormat/>
    <w:rPr>
      <w:sz w:val="24"/>
      <w:szCs w:val="24"/>
    </w:rPr>
  </w:style>
  <w:style w:type="character" w:styleId="Recuodecorpodetexto2Char" w:customStyle="1">
    <w:name w:val="Recuo de corpo de texto 2 Char"/>
    <w:qFormat/>
    <w:rPr>
      <w:sz w:val="24"/>
      <w:szCs w:val="24"/>
    </w:rPr>
  </w:style>
  <w:style w:type="character" w:styleId="Forte1" w:customStyle="1">
    <w:name w:val="Forte1"/>
    <w:qFormat/>
    <w:rPr>
      <w:b/>
      <w:bCs/>
    </w:rPr>
  </w:style>
  <w:style w:type="character" w:styleId="Emphasis">
    <w:name w:val="Emphasis"/>
    <w:qFormat/>
    <w:rPr>
      <w:i/>
      <w:iCs/>
    </w:rPr>
  </w:style>
  <w:style w:type="character" w:styleId="FollowedHyperlink">
    <w:name w:val="FollowedHyperlink"/>
    <w:rPr>
      <w:color w:val="800080"/>
      <w:u w:val="single"/>
    </w:rPr>
  </w:style>
  <w:style w:type="character" w:styleId="TextodebaloChar" w:customStyle="1">
    <w:name w:val="Texto de balão Char"/>
    <w:qFormat/>
    <w:rPr>
      <w:rFonts w:ascii="Tahoma" w:hAnsi="Tahoma" w:cs="Tahoma"/>
      <w:sz w:val="16"/>
      <w:szCs w:val="16"/>
    </w:rPr>
  </w:style>
  <w:style w:type="character" w:styleId="style33" w:customStyle="1">
    <w:name w:val="style33"/>
    <w:basedOn w:val="Fontepargpadro1"/>
    <w:qFormat/>
    <w:rPr/>
  </w:style>
  <w:style w:type="character" w:styleId="style112" w:customStyle="1">
    <w:name w:val="style112"/>
    <w:basedOn w:val="Fontepargpadro1"/>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rFonts w:eastAsia="MS Mincho"/>
    </w:rPr>
  </w:style>
  <w:style w:type="character" w:styleId="Caracteresdenotaderodapuser" w:customStyle="1">
    <w:name w:val="Caracteres de nota de rodapé (user)"/>
    <w:qFormat/>
    <w:rPr>
      <w:vertAlign w:val="superscript"/>
    </w:rPr>
  </w:style>
  <w:style w:type="character" w:styleId="par1" w:customStyle="1">
    <w:name w:val="par1"/>
    <w:basedOn w:val="Fontepargpadro1"/>
    <w:qFormat/>
    <w:rPr/>
  </w:style>
  <w:style w:type="character" w:styleId="texto" w:customStyle="1">
    <w:name w:val="texto"/>
    <w:basedOn w:val="Fontepargpadro1"/>
    <w:qFormat/>
    <w:rPr/>
  </w:style>
  <w:style w:type="character" w:styleId="A4" w:customStyle="1">
    <w:name w:val="A4"/>
    <w:qFormat/>
    <w:rPr>
      <w:rFonts w:cs="Helvetica LT Light"/>
      <w:color w:val="000000"/>
      <w:sz w:val="16"/>
      <w:szCs w:val="16"/>
    </w:rPr>
  </w:style>
  <w:style w:type="character" w:styleId="CharChar8" w:customStyle="1">
    <w:name w:val="Char Char8"/>
    <w:qFormat/>
    <w:rPr>
      <w:rFonts w:ascii="Arial" w:hAnsi="Arial" w:cs="Arial"/>
      <w:b/>
      <w:bCs/>
      <w:kern w:val="2"/>
      <w:sz w:val="32"/>
      <w:szCs w:val="32"/>
      <w:lang w:val="pt-BR" w:bidi="ar-SA"/>
    </w:rPr>
  </w:style>
  <w:style w:type="character" w:styleId="Ttulo6Char" w:customStyle="1">
    <w:name w:val="Título 6 Char"/>
    <w:qFormat/>
    <w:rPr>
      <w:b/>
      <w:bCs/>
      <w:sz w:val="22"/>
      <w:szCs w:val="22"/>
    </w:rPr>
  </w:style>
  <w:style w:type="character" w:styleId="RecuodecorpodetextoChar" w:customStyle="1">
    <w:name w:val="Recuo de corpo de texto Char"/>
    <w:qFormat/>
    <w:rPr>
      <w:sz w:val="24"/>
      <w:szCs w:val="24"/>
    </w:rPr>
  </w:style>
  <w:style w:type="character" w:styleId="RodapChar" w:customStyle="1">
    <w:name w:val="Rodapé Char"/>
    <w:qFormat/>
    <w:rPr>
      <w:sz w:val="24"/>
      <w:szCs w:val="24"/>
    </w:rPr>
  </w:style>
  <w:style w:type="character" w:styleId="apple-style-span" w:customStyle="1">
    <w:name w:val="apple-style-span"/>
    <w:qFormat/>
    <w:rPr/>
  </w:style>
  <w:style w:type="character" w:styleId="apple-converted-space" w:customStyle="1">
    <w:name w:val="apple-converted-space"/>
    <w:qFormat/>
    <w:rPr/>
  </w:style>
  <w:style w:type="character" w:styleId="m1064158159206228657gmail-im" w:customStyle="1">
    <w:name w:val="m_1064158159206228657gmail-im"/>
    <w:qFormat/>
    <w:rPr/>
  </w:style>
  <w:style w:type="character" w:styleId="TtuloChar" w:customStyle="1">
    <w:name w:val="Título Char"/>
    <w:qFormat/>
    <w:rPr>
      <w:rFonts w:ascii="Cambria" w:hAnsi="Cambria" w:eastAsia="Cambria" w:cs="Cambria"/>
      <w:b/>
      <w:bCs/>
      <w:kern w:val="2"/>
      <w:sz w:val="32"/>
      <w:szCs w:val="32"/>
    </w:rPr>
  </w:style>
  <w:style w:type="character" w:styleId="TextodecomentrioChar" w:customStyle="1">
    <w:name w:val="Texto de comentário Char"/>
    <w:qFormat/>
    <w:rPr>
      <w:rFonts w:ascii="Calibri" w:hAnsi="Calibri" w:cs="Calibri"/>
      <w:kern w:val="2"/>
    </w:rPr>
  </w:style>
  <w:style w:type="character" w:styleId="AssuntodocomentrioChar" w:customStyle="1">
    <w:name w:val="Assunto do comentário Char"/>
    <w:qFormat/>
    <w:rPr>
      <w:rFonts w:ascii="Calibri" w:hAnsi="Calibri" w:cs="Calibri"/>
      <w:b/>
      <w:bCs/>
      <w:kern w:val="2"/>
    </w:rPr>
  </w:style>
  <w:style w:type="character" w:styleId="Corpodetexto3Char" w:customStyle="1">
    <w:name w:val="Corpo de texto 3 Char"/>
    <w:qFormat/>
    <w:rPr>
      <w:rFonts w:ascii="Calibri" w:hAnsi="Calibri" w:cs="Calibri"/>
      <w:kern w:val="2"/>
      <w:sz w:val="16"/>
      <w:szCs w:val="16"/>
    </w:rPr>
  </w:style>
  <w:style w:type="character" w:styleId="CabealhoChar" w:customStyle="1">
    <w:name w:val="Cabeçalho Char"/>
    <w:qFormat/>
    <w:rPr>
      <w:rFonts w:cs="Times New Roman"/>
    </w:rPr>
  </w:style>
  <w:style w:type="character" w:styleId="il" w:customStyle="1">
    <w:name w:val="il"/>
    <w:qFormat/>
    <w:rPr>
      <w:rFonts w:cs="Times New Roman"/>
    </w:rPr>
  </w:style>
  <w:style w:type="character" w:styleId="Hyperlink1" w:customStyle="1">
    <w:name w:val="Hyperlink1"/>
    <w:qFormat/>
    <w:rPr>
      <w:rFonts w:cs="Times New Roman"/>
      <w:color w:val="0000FF"/>
      <w:u w:val="single"/>
    </w:rPr>
  </w:style>
  <w:style w:type="character" w:styleId="Refdecomentrio2" w:customStyle="1">
    <w:name w:val="Ref. de comentário2"/>
    <w:qFormat/>
    <w:rPr>
      <w:rFonts w:cs="Times New Roman"/>
      <w:sz w:val="16"/>
      <w:szCs w:val="16"/>
    </w:rPr>
  </w:style>
  <w:style w:type="character" w:styleId="StrongEmphasis" w:customStyle="1">
    <w:name w:val="Strong Emphasis"/>
    <w:qFormat/>
    <w:rPr>
      <w:b/>
      <w:bCs/>
    </w:rPr>
  </w:style>
  <w:style w:type="character" w:styleId="Smbolosdenumeraouser" w:customStyle="1">
    <w:name w:val="Símbolos de numeração (user)"/>
    <w:qFormat/>
    <w:rPr/>
  </w:style>
  <w:style w:type="character" w:styleId="Marcadoresuser" w:customStyle="1">
    <w:name w:val="Marcadores (user)"/>
    <w:qFormat/>
    <w:rPr>
      <w:rFonts w:ascii="OpenSymbol" w:hAnsi="OpenSymbol" w:eastAsia="OpenSymbol" w:cs="OpenSymbol"/>
    </w:rPr>
  </w:style>
  <w:style w:type="character" w:styleId="Marcas" w:customStyle="1">
    <w:name w:val="Marcas"/>
    <w:qFormat/>
    <w:rPr>
      <w:rFonts w:ascii="OpenSymbol" w:hAnsi="OpenSymbol" w:eastAsia="OpenSymbol" w:cs="OpenSymbol"/>
    </w:rPr>
  </w:style>
  <w:style w:type="character" w:styleId="WW8Num5z3" w:customStyle="1">
    <w:name w:val="WW8Num5z3"/>
    <w:qFormat/>
    <w:rPr>
      <w:rFonts w:ascii="Symbol" w:hAnsi="Symbol" w:cs="OpenSymbol"/>
    </w:rPr>
  </w:style>
  <w:style w:type="character" w:styleId="WW8Num31z3" w:customStyle="1">
    <w:name w:val="WW8Num31z3"/>
    <w:qFormat/>
    <w:rPr>
      <w:rFonts w:ascii="Symbol" w:hAnsi="Symbol" w:cs="Symbol"/>
    </w:rPr>
  </w:style>
  <w:style w:type="character" w:styleId="WW8Num31z1" w:customStyle="1">
    <w:name w:val="WW8Num31z1"/>
    <w:qFormat/>
    <w:rPr>
      <w:rFonts w:ascii="Courier New" w:hAnsi="Courier New" w:cs="Courier New"/>
    </w:rPr>
  </w:style>
  <w:style w:type="character" w:styleId="WW8Num30z3" w:customStyle="1">
    <w:name w:val="WW8Num30z3"/>
    <w:qFormat/>
    <w:rPr>
      <w:rFonts w:ascii="Symbol" w:hAnsi="Symbol" w:cs="Symbol"/>
    </w:rPr>
  </w:style>
  <w:style w:type="character" w:styleId="WW8Num30z1" w:customStyle="1">
    <w:name w:val="WW8Num30z1"/>
    <w:qFormat/>
    <w:rPr>
      <w:rFonts w:ascii="Courier New" w:hAnsi="Courier New" w:cs="Courier New"/>
    </w:rPr>
  </w:style>
  <w:style w:type="character" w:styleId="WW8Num29z3" w:customStyle="1">
    <w:name w:val="WW8Num29z3"/>
    <w:qFormat/>
    <w:rPr>
      <w:rFonts w:ascii="Symbol" w:hAnsi="Symbol" w:cs="Symbol"/>
    </w:rPr>
  </w:style>
  <w:style w:type="character" w:styleId="WW8Num29z2" w:customStyle="1">
    <w:name w:val="WW8Num29z2"/>
    <w:qFormat/>
    <w:rPr>
      <w:rFonts w:ascii="Wingdings" w:hAnsi="Wingdings" w:cs="Wingdings"/>
    </w:rPr>
  </w:style>
  <w:style w:type="character" w:styleId="WW8Num29z1" w:customStyle="1">
    <w:name w:val="WW8Num29z1"/>
    <w:qFormat/>
    <w:rPr>
      <w:rFonts w:ascii="Courier New" w:hAnsi="Courier New" w:cs="Courier New"/>
    </w:rPr>
  </w:style>
  <w:style w:type="character" w:styleId="WW8Num28z3" w:customStyle="1">
    <w:name w:val="WW8Num28z3"/>
    <w:qFormat/>
    <w:rPr>
      <w:rFonts w:ascii="Symbol" w:hAnsi="Symbol" w:cs="Symbol"/>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0z3" w:customStyle="1">
    <w:name w:val="WW8Num10z3"/>
    <w:qFormat/>
    <w:rPr>
      <w:rFonts w:ascii="Symbol" w:hAnsi="Symbol" w:cs="Symbol"/>
    </w:rPr>
  </w:style>
  <w:style w:type="character" w:styleId="WW8Num4z3" w:customStyle="1">
    <w:name w:val="WW8Num4z3"/>
    <w:qFormat/>
    <w:rPr>
      <w:rFonts w:ascii="Symbol" w:hAnsi="Symbol" w:cs="OpenSymbol"/>
    </w:rPr>
  </w:style>
  <w:style w:type="character" w:styleId="Refdenotaderodap2" w:customStyle="1">
    <w:name w:val="Ref. de nota de rodapé2"/>
    <w:qFormat/>
    <w:rPr>
      <w:vertAlign w:val="superscript"/>
    </w:rPr>
  </w:style>
  <w:style w:type="character" w:styleId="Refdenotaderodap1" w:customStyle="1">
    <w:name w:val="Ref. de nota de rodapé1"/>
    <w:qFormat/>
    <w:rPr>
      <w:vertAlign w:val="superscript"/>
    </w:rPr>
  </w:style>
  <w:style w:type="character" w:styleId="Fontepargpadro10" w:customStyle="1">
    <w:name w:val="Fonte parág. padrão10"/>
    <w:qFormat/>
    <w:rPr/>
  </w:style>
  <w:style w:type="character" w:styleId="Absatz-Standardschriftart" w:customStyle="1">
    <w:name w:val="Absatz-Standardschriftart"/>
    <w:qFormat/>
    <w:rPr/>
  </w:style>
  <w:style w:type="character" w:styleId="CorpoChar" w:customStyle="1">
    <w:name w:val="Corpo Char"/>
    <w:qFormat/>
    <w:rPr>
      <w:rFonts w:ascii="Times New" w:hAnsi="Times New" w:cs="Times New"/>
      <w:lang w:val="pt-BR" w:bidi="ar-SA"/>
    </w:rPr>
  </w:style>
  <w:style w:type="character" w:styleId="moz-txt-underscore" w:customStyle="1">
    <w:name w:val="moz-txt-underscore"/>
    <w:basedOn w:val="Fontepargpadro2"/>
    <w:qFormat/>
    <w:rPr/>
  </w:style>
  <w:style w:type="character" w:styleId="CharChar" w:customStyle="1">
    <w:name w:val="Char Char"/>
    <w:qFormat/>
    <w:rPr>
      <w:rFonts w:eastAsia="MS Mincho"/>
    </w:rPr>
  </w:style>
  <w:style w:type="character" w:styleId="CharChar1" w:customStyle="1">
    <w:name w:val="Char Char1"/>
    <w:qFormat/>
    <w:rPr>
      <w:rFonts w:ascii="Tahoma" w:hAnsi="Tahoma" w:cs="Tahoma"/>
      <w:sz w:val="16"/>
      <w:szCs w:val="16"/>
    </w:rPr>
  </w:style>
  <w:style w:type="character" w:styleId="CharChar2" w:customStyle="1">
    <w:name w:val="Char Char2"/>
    <w:qFormat/>
    <w:rPr>
      <w:sz w:val="24"/>
      <w:szCs w:val="24"/>
    </w:rPr>
  </w:style>
  <w:style w:type="character" w:styleId="CharChar3" w:customStyle="1">
    <w:name w:val="Char Char3"/>
    <w:qFormat/>
    <w:rPr>
      <w:sz w:val="24"/>
      <w:szCs w:val="24"/>
    </w:rPr>
  </w:style>
  <w:style w:type="character" w:styleId="CharChar4" w:customStyle="1">
    <w:name w:val="Char Char4"/>
    <w:qFormat/>
    <w:rPr>
      <w:rFonts w:ascii="Cambria" w:hAnsi="Cambria" w:eastAsia="Times New Roman" w:cs="Times New Roman"/>
      <w:b/>
      <w:bCs/>
      <w:i/>
      <w:iCs/>
      <w:color w:val="4F81BD"/>
      <w:sz w:val="24"/>
      <w:szCs w:val="24"/>
    </w:rPr>
  </w:style>
  <w:style w:type="character" w:styleId="CharChar5" w:customStyle="1">
    <w:name w:val="Char Char5"/>
    <w:qFormat/>
    <w:rPr>
      <w:rFonts w:ascii="Cambria" w:hAnsi="Cambria" w:eastAsia="Times New Roman" w:cs="Times New Roman"/>
      <w:b/>
      <w:bCs/>
      <w:color w:val="4F81BD"/>
      <w:sz w:val="24"/>
      <w:szCs w:val="24"/>
    </w:rPr>
  </w:style>
  <w:style w:type="character" w:styleId="CharChar6" w:customStyle="1">
    <w:name w:val="Char Char6"/>
    <w:qFormat/>
    <w:rPr>
      <w:rFonts w:ascii="Cambria" w:hAnsi="Cambria" w:eastAsia="Times New Roman" w:cs="Times New Roman"/>
      <w:b/>
      <w:bCs/>
      <w:i/>
      <w:iCs/>
      <w:sz w:val="28"/>
      <w:szCs w:val="28"/>
    </w:rPr>
  </w:style>
  <w:style w:type="character" w:styleId="CharChar7" w:customStyle="1">
    <w:name w:val="Char Char7"/>
    <w:qFormat/>
    <w:rPr>
      <w:rFonts w:ascii="Arial" w:hAnsi="Arial" w:cs="Arial"/>
      <w:b/>
      <w:bCs/>
      <w:kern w:val="2"/>
      <w:sz w:val="32"/>
      <w:szCs w:val="32"/>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style>
  <w:style w:type="character" w:styleId="WW8Num37z0" w:customStyle="1">
    <w:name w:val="WW8Num37z0"/>
    <w:qFormat/>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b w:val="false"/>
    </w:rPr>
  </w:style>
  <w:style w:type="character" w:styleId="WW8Num35z0" w:customStyle="1">
    <w:name w:val="WW8Num35z0"/>
    <w:qFormat/>
    <w:rPr/>
  </w:style>
  <w:style w:type="character" w:styleId="WW8Num16z3" w:customStyle="1">
    <w:name w:val="WW8Num16z3"/>
    <w:qFormat/>
    <w:rPr>
      <w:rFonts w:ascii="Symbol" w:hAnsi="Symbol" w:cs="Symbol"/>
    </w:rPr>
  </w:style>
  <w:style w:type="character" w:styleId="WW8Num12z2" w:customStyle="1">
    <w:name w:val="WW8Num12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5z2" w:customStyle="1">
    <w:name w:val="WW8Num5z2"/>
    <w:qFormat/>
    <w:rPr>
      <w:rFonts w:ascii="Wingdings" w:hAnsi="Wingdings" w:cs="Wingdings"/>
    </w:rPr>
  </w:style>
  <w:style w:type="character" w:styleId="WW8Num4z5" w:customStyle="1">
    <w:name w:val="WW8Num4z5"/>
    <w:qFormat/>
    <w:rPr>
      <w:rFonts w:ascii="Marlett" w:hAnsi="Marlett" w:cs="Marlett"/>
    </w:rPr>
  </w:style>
  <w:style w:type="character" w:styleId="WW8Num4z4" w:customStyle="1">
    <w:name w:val="WW8Num4z4"/>
    <w:qFormat/>
    <w:rPr>
      <w:rFonts w:ascii="Courier New" w:hAnsi="Courier New" w:cs="Courier New"/>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6z5" w:customStyle="1">
    <w:name w:val="WW8Num16z5"/>
    <w:qFormat/>
    <w:rPr>
      <w:rFonts w:ascii="Wingdings" w:hAnsi="Wingdings" w:cs="Wingdings"/>
    </w:rPr>
  </w:style>
  <w:style w:type="character" w:styleId="WW8Num30z2" w:customStyle="1">
    <w:name w:val="WW8Num30z2"/>
    <w:qFormat/>
    <w:rPr>
      <w:rFonts w:ascii="Wingdings" w:hAnsi="Wingdings" w:cs="Wingdings"/>
    </w:rPr>
  </w:style>
  <w:style w:type="character" w:styleId="WW8Num31z2" w:customStyle="1">
    <w:name w:val="WW8Num31z2"/>
    <w:qFormat/>
    <w:rPr>
      <w:b w:val="false"/>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Recuodecorpodetexto3Char" w:customStyle="1">
    <w:name w:val="Recuo de corpo de texto 3 Char"/>
    <w:qFormat/>
    <w:rPr>
      <w:sz w:val="16"/>
      <w:szCs w:val="16"/>
    </w:rPr>
  </w:style>
  <w:style w:type="character" w:styleId="Corpodetexto2Char" w:customStyle="1">
    <w:name w:val="Corpo de texto 2 Char"/>
    <w:qFormat/>
    <w:rPr>
      <w:sz w:val="24"/>
      <w:szCs w:val="24"/>
    </w:rPr>
  </w:style>
  <w:style w:type="character" w:styleId="WW-WW8Num43ztrue6" w:customStyle="1">
    <w:name w:val="WW-WW8Num43ztrue6"/>
    <w:qFormat/>
    <w:rPr/>
  </w:style>
  <w:style w:type="character" w:styleId="WW-WW8Num43ztrue5" w:customStyle="1">
    <w:name w:val="WW-WW8Num43ztrue5"/>
    <w:qFormat/>
    <w:rPr/>
  </w:style>
  <w:style w:type="character" w:styleId="WW-WW8Num43ztrue4" w:customStyle="1">
    <w:name w:val="WW-WW8Num43ztrue4"/>
    <w:qFormat/>
    <w:rPr/>
  </w:style>
  <w:style w:type="character" w:styleId="WW-WW8Num43ztrue3" w:customStyle="1">
    <w:name w:val="WW-WW8Num43ztrue3"/>
    <w:qFormat/>
    <w:rPr/>
  </w:style>
  <w:style w:type="character" w:styleId="WW-WW8Num43ztrue2" w:customStyle="1">
    <w:name w:val="WW-WW8Num43ztrue2"/>
    <w:qFormat/>
    <w:rPr/>
  </w:style>
  <w:style w:type="character" w:styleId="WW-WW8Num43ztrue1" w:customStyle="1">
    <w:name w:val="WW-WW8Num43ztrue1"/>
    <w:qFormat/>
    <w:rPr/>
  </w:style>
  <w:style w:type="character" w:styleId="WW-WW8Num43ztrue" w:customStyle="1">
    <w:name w:val="WW-WW8Num43ztrue"/>
    <w:qFormat/>
    <w:rPr/>
  </w:style>
  <w:style w:type="character" w:styleId="WW8Num43ztrue" w:customStyle="1">
    <w:name w:val="WW8Num43ztrue"/>
    <w:qFormat/>
    <w:rPr/>
  </w:style>
  <w:style w:type="character" w:styleId="WW8Num43z0" w:customStyle="1">
    <w:name w:val="WW8Num43z0"/>
    <w:qFormat/>
    <w:rPr>
      <w:rFonts w:ascii="Times New Roman" w:hAnsi="Times New Roman" w:cs="Times New Roman"/>
    </w:rPr>
  </w:style>
  <w:style w:type="character" w:styleId="WW8Num42zfalse" w:customStyle="1">
    <w:name w:val="WW8Num42zfalse"/>
    <w:qFormat/>
    <w:rPr/>
  </w:style>
  <w:style w:type="character" w:styleId="WW8Num41zfalse" w:customStyle="1">
    <w:name w:val="WW8Num41zfalse"/>
    <w:qFormat/>
    <w:rPr/>
  </w:style>
  <w:style w:type="character" w:styleId="WW-WW8Num40ztrue6" w:customStyle="1">
    <w:name w:val="WW-WW8Num40ztrue6"/>
    <w:qFormat/>
    <w:rPr/>
  </w:style>
  <w:style w:type="character" w:styleId="WW-WW8Num40ztrue5" w:customStyle="1">
    <w:name w:val="WW-WW8Num40ztrue5"/>
    <w:qFormat/>
    <w:rPr/>
  </w:style>
  <w:style w:type="character" w:styleId="WW-WW8Num40ztrue4" w:customStyle="1">
    <w:name w:val="WW-WW8Num40ztrue4"/>
    <w:qFormat/>
    <w:rPr/>
  </w:style>
  <w:style w:type="character" w:styleId="WW-WW8Num40ztrue3" w:customStyle="1">
    <w:name w:val="WW-WW8Num40ztrue3"/>
    <w:qFormat/>
    <w:rPr/>
  </w:style>
  <w:style w:type="character" w:styleId="WW-WW8Num40ztrue2" w:customStyle="1">
    <w:name w:val="WW-WW8Num40ztrue2"/>
    <w:qFormat/>
    <w:rPr/>
  </w:style>
  <w:style w:type="character" w:styleId="WW-WW8Num40ztrue1" w:customStyle="1">
    <w:name w:val="WW-WW8Num40ztrue1"/>
    <w:qFormat/>
    <w:rPr/>
  </w:style>
  <w:style w:type="character" w:styleId="WW-WW8Num40ztrue" w:customStyle="1">
    <w:name w:val="WW-WW8Num40ztrue"/>
    <w:qFormat/>
    <w:rPr/>
  </w:style>
  <w:style w:type="character" w:styleId="WW8Num40ztrue" w:customStyle="1">
    <w:name w:val="WW8Num40ztrue"/>
    <w:qFormat/>
    <w:rPr/>
  </w:style>
  <w:style w:type="character" w:styleId="WW8Num40zfalse" w:customStyle="1">
    <w:name w:val="WW8Num40zfalse"/>
    <w:qFormat/>
    <w:rPr/>
  </w:style>
  <w:style w:type="character" w:styleId="WW-WW8Num39ztrue6" w:customStyle="1">
    <w:name w:val="WW-WW8Num39ztrue6"/>
    <w:qFormat/>
    <w:rPr/>
  </w:style>
  <w:style w:type="character" w:styleId="WW-WW8Num39ztrue5" w:customStyle="1">
    <w:name w:val="WW-WW8Num39ztrue5"/>
    <w:qFormat/>
    <w:rPr/>
  </w:style>
  <w:style w:type="character" w:styleId="WW-WW8Num39ztrue4" w:customStyle="1">
    <w:name w:val="WW-WW8Num39ztrue4"/>
    <w:qFormat/>
    <w:rPr/>
  </w:style>
  <w:style w:type="character" w:styleId="WW-WW8Num39ztrue3" w:customStyle="1">
    <w:name w:val="WW-WW8Num39ztrue3"/>
    <w:qFormat/>
    <w:rPr/>
  </w:style>
  <w:style w:type="character" w:styleId="WW-WW8Num39ztrue2" w:customStyle="1">
    <w:name w:val="WW-WW8Num39ztrue2"/>
    <w:qFormat/>
    <w:rPr/>
  </w:style>
  <w:style w:type="character" w:styleId="WW-WW8Num39ztrue1" w:customStyle="1">
    <w:name w:val="WW-WW8Num39ztrue1"/>
    <w:qFormat/>
    <w:rPr/>
  </w:style>
  <w:style w:type="character" w:styleId="WW-WW8Num39ztrue" w:customStyle="1">
    <w:name w:val="WW-WW8Num39ztrue"/>
    <w:qFormat/>
    <w:rPr/>
  </w:style>
  <w:style w:type="character" w:styleId="WW8Num39ztrue" w:customStyle="1">
    <w:name w:val="WW8Num39ztrue"/>
    <w:qFormat/>
    <w:rPr/>
  </w:style>
  <w:style w:type="character" w:styleId="WW8Num39zfalse" w:customStyle="1">
    <w:name w:val="WW8Num39zfalse"/>
    <w:qFormat/>
    <w:rPr/>
  </w:style>
  <w:style w:type="character" w:styleId="WW-WW8Num38ztrue6" w:customStyle="1">
    <w:name w:val="WW-WW8Num38ztrue6"/>
    <w:qFormat/>
    <w:rPr/>
  </w:style>
  <w:style w:type="character" w:styleId="WW-WW8Num38ztrue5" w:customStyle="1">
    <w:name w:val="WW-WW8Num38ztrue5"/>
    <w:qFormat/>
    <w:rPr/>
  </w:style>
  <w:style w:type="character" w:styleId="WW-WW8Num38ztrue4" w:customStyle="1">
    <w:name w:val="WW-WW8Num38ztrue4"/>
    <w:qFormat/>
    <w:rPr/>
  </w:style>
  <w:style w:type="character" w:styleId="WW-WW8Num38ztrue3" w:customStyle="1">
    <w:name w:val="WW-WW8Num38ztrue3"/>
    <w:qFormat/>
    <w:rPr/>
  </w:style>
  <w:style w:type="character" w:styleId="WW-WW8Num38ztrue2" w:customStyle="1">
    <w:name w:val="WW-WW8Num38ztrue2"/>
    <w:qFormat/>
    <w:rPr/>
  </w:style>
  <w:style w:type="character" w:styleId="WW-WW8Num38ztrue1" w:customStyle="1">
    <w:name w:val="WW-WW8Num38ztrue1"/>
    <w:qFormat/>
    <w:rPr/>
  </w:style>
  <w:style w:type="character" w:styleId="WW-WW8Num38ztrue" w:customStyle="1">
    <w:name w:val="WW-WW8Num38ztrue"/>
    <w:qFormat/>
    <w:rPr/>
  </w:style>
  <w:style w:type="character" w:styleId="WW8Num38ztrue" w:customStyle="1">
    <w:name w:val="WW8Num38ztrue"/>
    <w:qFormat/>
    <w:rPr/>
  </w:style>
  <w:style w:type="character" w:styleId="WW8Num38zfalse" w:customStyle="1">
    <w:name w:val="WW8Num38zfalse"/>
    <w:qFormat/>
    <w:rPr/>
  </w:style>
  <w:style w:type="character" w:styleId="WW-WW8Num37ztrue6" w:customStyle="1">
    <w:name w:val="WW-WW8Num37ztrue6"/>
    <w:qFormat/>
    <w:rPr/>
  </w:style>
  <w:style w:type="character" w:styleId="WW-WW8Num37ztrue5" w:customStyle="1">
    <w:name w:val="WW-WW8Num37ztrue5"/>
    <w:qFormat/>
    <w:rPr/>
  </w:style>
  <w:style w:type="character" w:styleId="WW-WW8Num37ztrue4" w:customStyle="1">
    <w:name w:val="WW-WW8Num37ztrue4"/>
    <w:qFormat/>
    <w:rPr/>
  </w:style>
  <w:style w:type="character" w:styleId="WW-WW8Num37ztrue3" w:customStyle="1">
    <w:name w:val="WW-WW8Num37ztrue3"/>
    <w:qFormat/>
    <w:rPr/>
  </w:style>
  <w:style w:type="character" w:styleId="WW-WW8Num37ztrue2" w:customStyle="1">
    <w:name w:val="WW-WW8Num37ztrue2"/>
    <w:qFormat/>
    <w:rPr/>
  </w:style>
  <w:style w:type="character" w:styleId="WW-WW8Num37ztrue1" w:customStyle="1">
    <w:name w:val="WW-WW8Num37ztrue1"/>
    <w:qFormat/>
    <w:rPr/>
  </w:style>
  <w:style w:type="character" w:styleId="WW-WW8Num37ztrue" w:customStyle="1">
    <w:name w:val="WW-WW8Num37ztrue"/>
    <w:qFormat/>
    <w:rPr/>
  </w:style>
  <w:style w:type="character" w:styleId="WW8Num37ztrue" w:customStyle="1">
    <w:name w:val="WW8Num37ztrue"/>
    <w:qFormat/>
    <w:rPr/>
  </w:style>
  <w:style w:type="character" w:styleId="WW8Num37zfalse" w:customStyle="1">
    <w:name w:val="WW8Num37zfalse"/>
    <w:qFormat/>
    <w:rPr/>
  </w:style>
  <w:style w:type="character" w:styleId="WW-WW8Num36ztrue6" w:customStyle="1">
    <w:name w:val="WW-WW8Num36ztrue6"/>
    <w:qFormat/>
    <w:rPr/>
  </w:style>
  <w:style w:type="character" w:styleId="WW-WW8Num36ztrue5" w:customStyle="1">
    <w:name w:val="WW-WW8Num36ztrue5"/>
    <w:qFormat/>
    <w:rPr/>
  </w:style>
  <w:style w:type="character" w:styleId="WW-WW8Num36ztrue4" w:customStyle="1">
    <w:name w:val="WW-WW8Num36ztrue4"/>
    <w:qFormat/>
    <w:rPr/>
  </w:style>
  <w:style w:type="character" w:styleId="WW-WW8Num36ztrue3" w:customStyle="1">
    <w:name w:val="WW-WW8Num36ztrue3"/>
    <w:qFormat/>
    <w:rPr/>
  </w:style>
  <w:style w:type="character" w:styleId="WW-WW8Num36ztrue2" w:customStyle="1">
    <w:name w:val="WW-WW8Num36ztrue2"/>
    <w:qFormat/>
    <w:rPr/>
  </w:style>
  <w:style w:type="character" w:styleId="WW-WW8Num36ztrue1" w:customStyle="1">
    <w:name w:val="WW-WW8Num36ztrue1"/>
    <w:qFormat/>
    <w:rPr/>
  </w:style>
  <w:style w:type="character" w:styleId="WW-WW8Num36ztrue" w:customStyle="1">
    <w:name w:val="WW-WW8Num36ztrue"/>
    <w:qFormat/>
    <w:rPr/>
  </w:style>
  <w:style w:type="character" w:styleId="WW8Num36ztrue" w:customStyle="1">
    <w:name w:val="WW8Num36ztrue"/>
    <w:qFormat/>
    <w:rPr/>
  </w:style>
  <w:style w:type="character" w:styleId="WW8Num36zfalse" w:customStyle="1">
    <w:name w:val="WW8Num36zfalse"/>
    <w:qFormat/>
    <w:rPr/>
  </w:style>
  <w:style w:type="character" w:styleId="WW-WW8Num35ztrue6" w:customStyle="1">
    <w:name w:val="WW-WW8Num35ztrue6"/>
    <w:qFormat/>
    <w:rPr/>
  </w:style>
  <w:style w:type="character" w:styleId="WW-WW8Num35ztrue5" w:customStyle="1">
    <w:name w:val="WW-WW8Num35ztrue5"/>
    <w:qFormat/>
    <w:rPr/>
  </w:style>
  <w:style w:type="character" w:styleId="WW-WW8Num35ztrue4" w:customStyle="1">
    <w:name w:val="WW-WW8Num35ztrue4"/>
    <w:qFormat/>
    <w:rPr/>
  </w:style>
  <w:style w:type="character" w:styleId="WW-WW8Num35ztrue3" w:customStyle="1">
    <w:name w:val="WW-WW8Num35ztrue3"/>
    <w:qFormat/>
    <w:rPr/>
  </w:style>
  <w:style w:type="character" w:styleId="WW-WW8Num35ztrue2" w:customStyle="1">
    <w:name w:val="WW-WW8Num35ztrue2"/>
    <w:qFormat/>
    <w:rPr/>
  </w:style>
  <w:style w:type="character" w:styleId="WW-WW8Num35ztrue1" w:customStyle="1">
    <w:name w:val="WW-WW8Num35ztrue1"/>
    <w:qFormat/>
    <w:rPr/>
  </w:style>
  <w:style w:type="character" w:styleId="WW-WW8Num35ztrue" w:customStyle="1">
    <w:name w:val="WW-WW8Num35ztrue"/>
    <w:qFormat/>
    <w:rPr/>
  </w:style>
  <w:style w:type="character" w:styleId="WW8Num35ztrue" w:customStyle="1">
    <w:name w:val="WW8Num35ztrue"/>
    <w:qFormat/>
    <w:rPr/>
  </w:style>
  <w:style w:type="character" w:styleId="WW8Num35zfalse" w:customStyle="1">
    <w:name w:val="WW8Num35zfalse"/>
    <w:qFormat/>
    <w:rPr/>
  </w:style>
  <w:style w:type="character" w:styleId="WW-WW8Num34ztrue6" w:customStyle="1">
    <w:name w:val="WW-WW8Num34ztrue6"/>
    <w:qFormat/>
    <w:rPr/>
  </w:style>
  <w:style w:type="character" w:styleId="WW-WW8Num34ztrue5" w:customStyle="1">
    <w:name w:val="WW-WW8Num34ztrue5"/>
    <w:qFormat/>
    <w:rPr/>
  </w:style>
  <w:style w:type="character" w:styleId="WW-WW8Num34ztrue4" w:customStyle="1">
    <w:name w:val="WW-WW8Num34ztrue4"/>
    <w:qFormat/>
    <w:rPr/>
  </w:style>
  <w:style w:type="character" w:styleId="WW-WW8Num34ztrue3" w:customStyle="1">
    <w:name w:val="WW-WW8Num34ztrue3"/>
    <w:qFormat/>
    <w:rPr/>
  </w:style>
  <w:style w:type="character" w:styleId="WW-WW8Num34ztrue2" w:customStyle="1">
    <w:name w:val="WW-WW8Num34ztrue2"/>
    <w:qFormat/>
    <w:rPr/>
  </w:style>
  <w:style w:type="character" w:styleId="WW-WW8Num34ztrue1" w:customStyle="1">
    <w:name w:val="WW-WW8Num34ztrue1"/>
    <w:qFormat/>
    <w:rPr/>
  </w:style>
  <w:style w:type="character" w:styleId="WW-WW8Num34ztrue" w:customStyle="1">
    <w:name w:val="WW-WW8Num34ztrue"/>
    <w:qFormat/>
    <w:rPr/>
  </w:style>
  <w:style w:type="character" w:styleId="WW8Num34ztrue" w:customStyle="1">
    <w:name w:val="WW8Num34ztrue"/>
    <w:qFormat/>
    <w:rPr/>
  </w:style>
  <w:style w:type="character" w:styleId="WW8Num34zfalse" w:customStyle="1">
    <w:name w:val="WW8Num34zfalse"/>
    <w:qFormat/>
    <w:rPr/>
  </w:style>
  <w:style w:type="character" w:styleId="WW8Num32zfalse" w:customStyle="1">
    <w:name w:val="WW8Num32zfalse"/>
    <w:qFormat/>
    <w:rPr/>
  </w:style>
  <w:style w:type="character" w:styleId="WW-WW8Num31ztrue6" w:customStyle="1">
    <w:name w:val="WW-WW8Num31ztrue6"/>
    <w:qFormat/>
    <w:rPr/>
  </w:style>
  <w:style w:type="character" w:styleId="WW-WW8Num31ztrue5" w:customStyle="1">
    <w:name w:val="WW-WW8Num31ztrue5"/>
    <w:qFormat/>
    <w:rPr/>
  </w:style>
  <w:style w:type="character" w:styleId="WW-WW8Num31ztrue4" w:customStyle="1">
    <w:name w:val="WW-WW8Num31ztrue4"/>
    <w:qFormat/>
    <w:rPr/>
  </w:style>
  <w:style w:type="character" w:styleId="WW-WW8Num31ztrue3" w:customStyle="1">
    <w:name w:val="WW-WW8Num31ztrue3"/>
    <w:qFormat/>
    <w:rPr/>
  </w:style>
  <w:style w:type="character" w:styleId="WW-WW8Num31ztrue2" w:customStyle="1">
    <w:name w:val="WW-WW8Num31ztrue2"/>
    <w:qFormat/>
    <w:rPr/>
  </w:style>
  <w:style w:type="character" w:styleId="WW-WW8Num31ztrue1" w:customStyle="1">
    <w:name w:val="WW-WW8Num31ztrue1"/>
    <w:qFormat/>
    <w:rPr/>
  </w:style>
  <w:style w:type="character" w:styleId="WW-WW8Num31ztrue" w:customStyle="1">
    <w:name w:val="WW-WW8Num31ztrue"/>
    <w:qFormat/>
    <w:rPr/>
  </w:style>
  <w:style w:type="character" w:styleId="WW8Num31ztrue" w:customStyle="1">
    <w:name w:val="WW8Num31ztrue"/>
    <w:qFormat/>
    <w:rPr/>
  </w:style>
  <w:style w:type="character" w:styleId="WW8Num31zfalse" w:customStyle="1">
    <w:name w:val="WW8Num31zfalse"/>
    <w:qFormat/>
    <w:rPr/>
  </w:style>
  <w:style w:type="character" w:styleId="WW8Num30zfalse" w:customStyle="1">
    <w:name w:val="WW8Num30zfalse"/>
    <w:qFormat/>
    <w:rPr/>
  </w:style>
  <w:style w:type="character" w:styleId="WW-WW8Num29ztrue6" w:customStyle="1">
    <w:name w:val="WW-WW8Num29ztrue6"/>
    <w:qFormat/>
    <w:rPr/>
  </w:style>
  <w:style w:type="character" w:styleId="WW-WW8Num29ztrue5" w:customStyle="1">
    <w:name w:val="WW-WW8Num29ztrue5"/>
    <w:qFormat/>
    <w:rPr/>
  </w:style>
  <w:style w:type="character" w:styleId="WW-WW8Num29ztrue4" w:customStyle="1">
    <w:name w:val="WW-WW8Num29ztrue4"/>
    <w:qFormat/>
    <w:rPr/>
  </w:style>
  <w:style w:type="character" w:styleId="WW-WW8Num29ztrue3" w:customStyle="1">
    <w:name w:val="WW-WW8Num29ztrue3"/>
    <w:qFormat/>
    <w:rPr/>
  </w:style>
  <w:style w:type="character" w:styleId="WW-WW8Num29ztrue2" w:customStyle="1">
    <w:name w:val="WW-WW8Num29ztrue2"/>
    <w:qFormat/>
    <w:rPr/>
  </w:style>
  <w:style w:type="character" w:styleId="WW-WW8Num29ztrue1" w:customStyle="1">
    <w:name w:val="WW-WW8Num29ztrue1"/>
    <w:qFormat/>
    <w:rPr/>
  </w:style>
  <w:style w:type="character" w:styleId="WW-WW8Num29ztrue" w:customStyle="1">
    <w:name w:val="WW-WW8Num29ztrue"/>
    <w:qFormat/>
    <w:rPr/>
  </w:style>
  <w:style w:type="character" w:styleId="WW8Num29ztrue" w:customStyle="1">
    <w:name w:val="WW8Num29ztrue"/>
    <w:qFormat/>
    <w:rPr/>
  </w:style>
  <w:style w:type="character" w:styleId="WW8Num29zfalse" w:customStyle="1">
    <w:name w:val="WW8Num29zfalse"/>
    <w:qFormat/>
    <w:rPr/>
  </w:style>
  <w:style w:type="character" w:styleId="WW-WW8Num28ztrue6" w:customStyle="1">
    <w:name w:val="WW-WW8Num28ztrue6"/>
    <w:qFormat/>
    <w:rPr/>
  </w:style>
  <w:style w:type="character" w:styleId="WW-WW8Num28ztrue5" w:customStyle="1">
    <w:name w:val="WW-WW8Num28ztrue5"/>
    <w:qFormat/>
    <w:rPr/>
  </w:style>
  <w:style w:type="character" w:styleId="WW-WW8Num28ztrue4" w:customStyle="1">
    <w:name w:val="WW-WW8Num28ztrue4"/>
    <w:qFormat/>
    <w:rPr/>
  </w:style>
  <w:style w:type="character" w:styleId="WW-WW8Num28ztrue3" w:customStyle="1">
    <w:name w:val="WW-WW8Num28ztrue3"/>
    <w:qFormat/>
    <w:rPr/>
  </w:style>
  <w:style w:type="character" w:styleId="WW-WW8Num28ztrue2" w:customStyle="1">
    <w:name w:val="WW-WW8Num28ztrue2"/>
    <w:qFormat/>
    <w:rPr/>
  </w:style>
  <w:style w:type="character" w:styleId="WW-WW8Num28ztrue1" w:customStyle="1">
    <w:name w:val="WW-WW8Num28ztrue1"/>
    <w:qFormat/>
    <w:rPr/>
  </w:style>
  <w:style w:type="character" w:styleId="WW-WW8Num28ztrue" w:customStyle="1">
    <w:name w:val="WW-WW8Num28ztrue"/>
    <w:qFormat/>
    <w:rPr/>
  </w:style>
  <w:style w:type="character" w:styleId="WW8Num28ztrue" w:customStyle="1">
    <w:name w:val="WW8Num28ztrue"/>
    <w:qFormat/>
    <w:rPr/>
  </w:style>
  <w:style w:type="character" w:styleId="WW8Num28zfalse" w:customStyle="1">
    <w:name w:val="WW8Num28zfalse"/>
    <w:qFormat/>
    <w:rPr/>
  </w:style>
  <w:style w:type="character" w:styleId="WW-WW8Num27ztrue6" w:customStyle="1">
    <w:name w:val="WW-WW8Num27ztrue6"/>
    <w:qFormat/>
    <w:rPr/>
  </w:style>
  <w:style w:type="character" w:styleId="WW-WW8Num27ztrue5" w:customStyle="1">
    <w:name w:val="WW-WW8Num27ztrue5"/>
    <w:qFormat/>
    <w:rPr/>
  </w:style>
  <w:style w:type="character" w:styleId="WW-WW8Num27ztrue4" w:customStyle="1">
    <w:name w:val="WW-WW8Num27ztrue4"/>
    <w:qFormat/>
    <w:rPr/>
  </w:style>
  <w:style w:type="character" w:styleId="WW-WW8Num27ztrue3" w:customStyle="1">
    <w:name w:val="WW-WW8Num27ztrue3"/>
    <w:qFormat/>
    <w:rPr/>
  </w:style>
  <w:style w:type="character" w:styleId="WW-WW8Num27ztrue2" w:customStyle="1">
    <w:name w:val="WW-WW8Num27ztrue2"/>
    <w:qFormat/>
    <w:rPr/>
  </w:style>
  <w:style w:type="character" w:styleId="WW-WW8Num27ztrue1" w:customStyle="1">
    <w:name w:val="WW-WW8Num27ztrue1"/>
    <w:qFormat/>
    <w:rPr/>
  </w:style>
  <w:style w:type="character" w:styleId="WW-WW8Num27ztrue" w:customStyle="1">
    <w:name w:val="WW-WW8Num27ztrue"/>
    <w:qFormat/>
    <w:rPr/>
  </w:style>
  <w:style w:type="character" w:styleId="WW8Num27ztrue" w:customStyle="1">
    <w:name w:val="WW8Num27ztrue"/>
    <w:qFormat/>
    <w:rPr/>
  </w:style>
  <w:style w:type="character" w:styleId="WW8Num27zfalse" w:customStyle="1">
    <w:name w:val="WW8Num27zfalse"/>
    <w:qFormat/>
    <w:rPr/>
  </w:style>
  <w:style w:type="character" w:styleId="WW-WW8Num26ztrue6" w:customStyle="1">
    <w:name w:val="WW-WW8Num26ztrue6"/>
    <w:qFormat/>
    <w:rPr/>
  </w:style>
  <w:style w:type="character" w:styleId="WW-WW8Num26ztrue5" w:customStyle="1">
    <w:name w:val="WW-WW8Num26ztrue5"/>
    <w:qFormat/>
    <w:rPr/>
  </w:style>
  <w:style w:type="character" w:styleId="WW-WW8Num26ztrue4" w:customStyle="1">
    <w:name w:val="WW-WW8Num26ztrue4"/>
    <w:qFormat/>
    <w:rPr/>
  </w:style>
  <w:style w:type="character" w:styleId="WW-WW8Num26ztrue3" w:customStyle="1">
    <w:name w:val="WW-WW8Num26ztrue3"/>
    <w:qFormat/>
    <w:rPr/>
  </w:style>
  <w:style w:type="character" w:styleId="WW-WW8Num26ztrue2" w:customStyle="1">
    <w:name w:val="WW-WW8Num26ztrue2"/>
    <w:qFormat/>
    <w:rPr/>
  </w:style>
  <w:style w:type="character" w:styleId="WW-WW8Num26ztrue1" w:customStyle="1">
    <w:name w:val="WW-WW8Num26ztrue1"/>
    <w:qFormat/>
    <w:rPr/>
  </w:style>
  <w:style w:type="character" w:styleId="WW-WW8Num26ztrue" w:customStyle="1">
    <w:name w:val="WW-WW8Num26ztrue"/>
    <w:qFormat/>
    <w:rPr/>
  </w:style>
  <w:style w:type="character" w:styleId="WW8Num26ztrue" w:customStyle="1">
    <w:name w:val="WW8Num26ztrue"/>
    <w:qFormat/>
    <w:rPr/>
  </w:style>
  <w:style w:type="character" w:styleId="WW8Num26zfalse" w:customStyle="1">
    <w:name w:val="WW8Num26zfalse"/>
    <w:qFormat/>
    <w:rPr/>
  </w:style>
  <w:style w:type="character" w:styleId="WW-WW8Num25ztrue6" w:customStyle="1">
    <w:name w:val="WW-WW8Num25ztrue6"/>
    <w:qFormat/>
    <w:rPr/>
  </w:style>
  <w:style w:type="character" w:styleId="WW-WW8Num25ztrue5" w:customStyle="1">
    <w:name w:val="WW-WW8Num25ztrue5"/>
    <w:qFormat/>
    <w:rPr/>
  </w:style>
  <w:style w:type="character" w:styleId="WW-WW8Num25ztrue4" w:customStyle="1">
    <w:name w:val="WW-WW8Num25ztrue4"/>
    <w:qFormat/>
    <w:rPr/>
  </w:style>
  <w:style w:type="character" w:styleId="WW-WW8Num25ztrue3" w:customStyle="1">
    <w:name w:val="WW-WW8Num25ztrue3"/>
    <w:qFormat/>
    <w:rPr/>
  </w:style>
  <w:style w:type="character" w:styleId="WW-WW8Num25ztrue2" w:customStyle="1">
    <w:name w:val="WW-WW8Num25ztrue2"/>
    <w:qFormat/>
    <w:rPr/>
  </w:style>
  <w:style w:type="character" w:styleId="WW-WW8Num25ztrue1" w:customStyle="1">
    <w:name w:val="WW-WW8Num25ztrue1"/>
    <w:qFormat/>
    <w:rPr/>
  </w:style>
  <w:style w:type="character" w:styleId="WW-WW8Num25ztrue" w:customStyle="1">
    <w:name w:val="WW-WW8Num25ztrue"/>
    <w:qFormat/>
    <w:rPr/>
  </w:style>
  <w:style w:type="character" w:styleId="WW8Num25ztrue" w:customStyle="1">
    <w:name w:val="WW8Num25ztrue"/>
    <w:qFormat/>
    <w:rPr/>
  </w:style>
  <w:style w:type="character" w:styleId="WW8Num25zfalse" w:customStyle="1">
    <w:name w:val="WW8Num25zfalse"/>
    <w:qFormat/>
    <w:rPr/>
  </w:style>
  <w:style w:type="character" w:styleId="WW-WW8Num24ztrue6" w:customStyle="1">
    <w:name w:val="WW-WW8Num24ztrue6"/>
    <w:qFormat/>
    <w:rPr/>
  </w:style>
  <w:style w:type="character" w:styleId="WW-WW8Num24ztrue5" w:customStyle="1">
    <w:name w:val="WW-WW8Num24ztrue5"/>
    <w:qFormat/>
    <w:rPr/>
  </w:style>
  <w:style w:type="character" w:styleId="WW-WW8Num24ztrue4" w:customStyle="1">
    <w:name w:val="WW-WW8Num24ztrue4"/>
    <w:qFormat/>
    <w:rPr/>
  </w:style>
  <w:style w:type="character" w:styleId="WW-WW8Num24ztrue3" w:customStyle="1">
    <w:name w:val="WW-WW8Num24ztrue3"/>
    <w:qFormat/>
    <w:rPr/>
  </w:style>
  <w:style w:type="character" w:styleId="WW-WW8Num24ztrue2" w:customStyle="1">
    <w:name w:val="WW-WW8Num24ztrue2"/>
    <w:qFormat/>
    <w:rPr/>
  </w:style>
  <w:style w:type="character" w:styleId="WW-WW8Num24ztrue1" w:customStyle="1">
    <w:name w:val="WW-WW8Num24ztrue1"/>
    <w:qFormat/>
    <w:rPr/>
  </w:style>
  <w:style w:type="character" w:styleId="WW-WW8Num24ztrue" w:customStyle="1">
    <w:name w:val="WW-WW8Num24ztrue"/>
    <w:qFormat/>
    <w:rPr/>
  </w:style>
  <w:style w:type="character" w:styleId="WW8Num24ztrue" w:customStyle="1">
    <w:name w:val="WW8Num24ztrue"/>
    <w:qFormat/>
    <w:rPr/>
  </w:style>
  <w:style w:type="character" w:styleId="WW8Num24zfalse" w:customStyle="1">
    <w:name w:val="WW8Num24zfalse"/>
    <w:qFormat/>
    <w:rPr/>
  </w:style>
  <w:style w:type="character" w:styleId="WW8Num23zfalse" w:customStyle="1">
    <w:name w:val="WW8Num23zfalse"/>
    <w:qFormat/>
    <w:rPr/>
  </w:style>
  <w:style w:type="character" w:styleId="WW-WW8Num22ztrue6" w:customStyle="1">
    <w:name w:val="WW-WW8Num22ztrue6"/>
    <w:qFormat/>
    <w:rPr/>
  </w:style>
  <w:style w:type="character" w:styleId="WW-WW8Num22ztrue5" w:customStyle="1">
    <w:name w:val="WW-WW8Num22ztrue5"/>
    <w:qFormat/>
    <w:rPr/>
  </w:style>
  <w:style w:type="character" w:styleId="WW-WW8Num22ztrue4" w:customStyle="1">
    <w:name w:val="WW-WW8Num22ztrue4"/>
    <w:qFormat/>
    <w:rPr/>
  </w:style>
  <w:style w:type="character" w:styleId="WW-WW8Num22ztrue3" w:customStyle="1">
    <w:name w:val="WW-WW8Num22ztrue3"/>
    <w:qFormat/>
    <w:rPr/>
  </w:style>
  <w:style w:type="character" w:styleId="WW-WW8Num22ztrue2" w:customStyle="1">
    <w:name w:val="WW-WW8Num22ztrue2"/>
    <w:qFormat/>
    <w:rPr/>
  </w:style>
  <w:style w:type="character" w:styleId="WW-WW8Num22ztrue1" w:customStyle="1">
    <w:name w:val="WW-WW8Num22ztrue1"/>
    <w:qFormat/>
    <w:rPr/>
  </w:style>
  <w:style w:type="character" w:styleId="WW-WW8Num22ztrue" w:customStyle="1">
    <w:name w:val="WW-WW8Num22ztrue"/>
    <w:qFormat/>
    <w:rPr/>
  </w:style>
  <w:style w:type="character" w:styleId="WW8Num22ztrue" w:customStyle="1">
    <w:name w:val="WW8Num22ztrue"/>
    <w:qFormat/>
    <w:rPr/>
  </w:style>
  <w:style w:type="character" w:styleId="WW8Num22zfalse" w:customStyle="1">
    <w:name w:val="WW8Num22zfalse"/>
    <w:qFormat/>
    <w:rPr/>
  </w:style>
  <w:style w:type="character" w:styleId="WW8Num21zfalse" w:customStyle="1">
    <w:name w:val="WW8Num21zfalse"/>
    <w:qFormat/>
    <w:rPr/>
  </w:style>
  <w:style w:type="character" w:styleId="WW-WW8Num20ztrue6" w:customStyle="1">
    <w:name w:val="WW-WW8Num20ztrue6"/>
    <w:qFormat/>
    <w:rPr/>
  </w:style>
  <w:style w:type="character" w:styleId="WW-WW8Num20ztrue5" w:customStyle="1">
    <w:name w:val="WW-WW8Num20ztrue5"/>
    <w:qFormat/>
    <w:rPr/>
  </w:style>
  <w:style w:type="character" w:styleId="WW-WW8Num20ztrue4" w:customStyle="1">
    <w:name w:val="WW-WW8Num20ztrue4"/>
    <w:qFormat/>
    <w:rPr/>
  </w:style>
  <w:style w:type="character" w:styleId="WW-WW8Num20ztrue3" w:customStyle="1">
    <w:name w:val="WW-WW8Num20ztrue3"/>
    <w:qFormat/>
    <w:rPr/>
  </w:style>
  <w:style w:type="character" w:styleId="WW-WW8Num20ztrue2" w:customStyle="1">
    <w:name w:val="WW-WW8Num20ztrue2"/>
    <w:qFormat/>
    <w:rPr/>
  </w:style>
  <w:style w:type="character" w:styleId="WW-WW8Num20ztrue1" w:customStyle="1">
    <w:name w:val="WW-WW8Num20ztrue1"/>
    <w:qFormat/>
    <w:rPr/>
  </w:style>
  <w:style w:type="character" w:styleId="WW-WW8Num20ztrue" w:customStyle="1">
    <w:name w:val="WW-WW8Num20ztrue"/>
    <w:qFormat/>
    <w:rPr/>
  </w:style>
  <w:style w:type="character" w:styleId="WW8Num20ztrue" w:customStyle="1">
    <w:name w:val="WW8Num20ztrue"/>
    <w:qFormat/>
    <w:rPr/>
  </w:style>
  <w:style w:type="character" w:styleId="WW-WW8Num19ztrue6" w:customStyle="1">
    <w:name w:val="WW-WW8Num19ztrue6"/>
    <w:qFormat/>
    <w:rPr/>
  </w:style>
  <w:style w:type="character" w:styleId="WW-WW8Num19ztrue5" w:customStyle="1">
    <w:name w:val="WW-WW8Num19ztrue5"/>
    <w:qFormat/>
    <w:rPr/>
  </w:style>
  <w:style w:type="character" w:styleId="WW-WW8Num19ztrue4" w:customStyle="1">
    <w:name w:val="WW-WW8Num19ztrue4"/>
    <w:qFormat/>
    <w:rPr/>
  </w:style>
  <w:style w:type="character" w:styleId="WW-WW8Num19ztrue3" w:customStyle="1">
    <w:name w:val="WW-WW8Num19ztrue3"/>
    <w:qFormat/>
    <w:rPr/>
  </w:style>
  <w:style w:type="character" w:styleId="WW-WW8Num19ztrue2" w:customStyle="1">
    <w:name w:val="WW-WW8Num19ztrue2"/>
    <w:qFormat/>
    <w:rPr/>
  </w:style>
  <w:style w:type="character" w:styleId="WW-WW8Num19ztrue1" w:customStyle="1">
    <w:name w:val="WW-WW8Num19ztrue1"/>
    <w:qFormat/>
    <w:rPr/>
  </w:style>
  <w:style w:type="character" w:styleId="WW-WW8Num19ztrue" w:customStyle="1">
    <w:name w:val="WW-WW8Num19ztrue"/>
    <w:qFormat/>
    <w:rPr/>
  </w:style>
  <w:style w:type="character" w:styleId="WW8Num19ztrue" w:customStyle="1">
    <w:name w:val="WW8Num19ztrue"/>
    <w:qFormat/>
    <w:rPr/>
  </w:style>
  <w:style w:type="character" w:styleId="WW-WW8Num18ztrue6" w:customStyle="1">
    <w:name w:val="WW-WW8Num18ztrue6"/>
    <w:qFormat/>
    <w:rPr/>
  </w:style>
  <w:style w:type="character" w:styleId="WW-WW8Num18ztrue5" w:customStyle="1">
    <w:name w:val="WW-WW8Num18ztrue5"/>
    <w:qFormat/>
    <w:rPr/>
  </w:style>
  <w:style w:type="character" w:styleId="WW-WW8Num18ztrue4" w:customStyle="1">
    <w:name w:val="WW-WW8Num18ztrue4"/>
    <w:qFormat/>
    <w:rPr/>
  </w:style>
  <w:style w:type="character" w:styleId="WW-WW8Num18ztrue3" w:customStyle="1">
    <w:name w:val="WW-WW8Num18ztrue3"/>
    <w:qFormat/>
    <w:rPr/>
  </w:style>
  <w:style w:type="character" w:styleId="WW-WW8Num18ztrue2" w:customStyle="1">
    <w:name w:val="WW-WW8Num18ztrue2"/>
    <w:qFormat/>
    <w:rPr/>
  </w:style>
  <w:style w:type="character" w:styleId="WW-WW8Num18ztrue1" w:customStyle="1">
    <w:name w:val="WW-WW8Num18ztrue1"/>
    <w:qFormat/>
    <w:rPr/>
  </w:style>
  <w:style w:type="character" w:styleId="WW-WW8Num18ztrue" w:customStyle="1">
    <w:name w:val="WW-WW8Num18ztrue"/>
    <w:qFormat/>
    <w:rPr/>
  </w:style>
  <w:style w:type="character" w:styleId="WW8Num18ztrue" w:customStyle="1">
    <w:name w:val="WW8Num18ztrue"/>
    <w:qFormat/>
    <w:rPr/>
  </w:style>
  <w:style w:type="character" w:styleId="WW8Num18zfalse" w:customStyle="1">
    <w:name w:val="WW8Num18zfalse"/>
    <w:qFormat/>
    <w:rPr/>
  </w:style>
  <w:style w:type="character" w:styleId="WW8Num17zfalse" w:customStyle="1">
    <w:name w:val="WW8Num17zfalse"/>
    <w:qFormat/>
    <w:rPr/>
  </w:style>
  <w:style w:type="character" w:styleId="WW-WW8Num16ztrue6" w:customStyle="1">
    <w:name w:val="WW-WW8Num16ztrue6"/>
    <w:qFormat/>
    <w:rPr/>
  </w:style>
  <w:style w:type="character" w:styleId="WW-WW8Num16ztrue5" w:customStyle="1">
    <w:name w:val="WW-WW8Num16ztrue5"/>
    <w:qFormat/>
    <w:rPr/>
  </w:style>
  <w:style w:type="character" w:styleId="WW-WW8Num16ztrue4" w:customStyle="1">
    <w:name w:val="WW-WW8Num16ztrue4"/>
    <w:qFormat/>
    <w:rPr/>
  </w:style>
  <w:style w:type="character" w:styleId="WW-WW8Num16ztrue3" w:customStyle="1">
    <w:name w:val="WW-WW8Num16ztrue3"/>
    <w:qFormat/>
    <w:rPr/>
  </w:style>
  <w:style w:type="character" w:styleId="WW-WW8Num16ztrue2" w:customStyle="1">
    <w:name w:val="WW-WW8Num16ztrue2"/>
    <w:qFormat/>
    <w:rPr/>
  </w:style>
  <w:style w:type="character" w:styleId="WW-WW8Num16ztrue1" w:customStyle="1">
    <w:name w:val="WW-WW8Num16ztrue1"/>
    <w:qFormat/>
    <w:rPr/>
  </w:style>
  <w:style w:type="character" w:styleId="WW-WW8Num16ztrue" w:customStyle="1">
    <w:name w:val="WW-WW8Num16ztrue"/>
    <w:qFormat/>
    <w:rPr/>
  </w:style>
  <w:style w:type="character" w:styleId="WW8Num16ztrue" w:customStyle="1">
    <w:name w:val="WW8Num16ztrue"/>
    <w:qFormat/>
    <w:rPr/>
  </w:style>
  <w:style w:type="character" w:styleId="WW8Num16zfalse" w:customStyle="1">
    <w:name w:val="WW8Num16zfalse"/>
    <w:qFormat/>
    <w:rPr/>
  </w:style>
  <w:style w:type="character" w:styleId="WW8Num14zfalse" w:customStyle="1">
    <w:name w:val="WW8Num14zfalse"/>
    <w:qFormat/>
    <w:rPr/>
  </w:style>
  <w:style w:type="character" w:styleId="WW-WW8Num13ztrue6" w:customStyle="1">
    <w:name w:val="WW-WW8Num13ztrue6"/>
    <w:qFormat/>
    <w:rPr/>
  </w:style>
  <w:style w:type="character" w:styleId="WW-WW8Num13ztrue5" w:customStyle="1">
    <w:name w:val="WW-WW8Num13ztrue5"/>
    <w:qFormat/>
    <w:rPr/>
  </w:style>
  <w:style w:type="character" w:styleId="WW-WW8Num13ztrue4" w:customStyle="1">
    <w:name w:val="WW-WW8Num13ztrue4"/>
    <w:qFormat/>
    <w:rPr/>
  </w:style>
  <w:style w:type="character" w:styleId="WW-WW8Num13ztrue3" w:customStyle="1">
    <w:name w:val="WW-WW8Num13ztrue3"/>
    <w:qFormat/>
    <w:rPr/>
  </w:style>
  <w:style w:type="character" w:styleId="WW-WW8Num13ztrue2" w:customStyle="1">
    <w:name w:val="WW-WW8Num13ztrue2"/>
    <w:qFormat/>
    <w:rPr/>
  </w:style>
  <w:style w:type="character" w:styleId="WW-WW8Num13ztrue1" w:customStyle="1">
    <w:name w:val="WW-WW8Num13ztrue1"/>
    <w:qFormat/>
    <w:rPr/>
  </w:style>
  <w:style w:type="character" w:styleId="WW-WW8Num13ztrue" w:customStyle="1">
    <w:name w:val="WW-WW8Num13ztrue"/>
    <w:qFormat/>
    <w:rPr/>
  </w:style>
  <w:style w:type="character" w:styleId="WW8Num13ztrue" w:customStyle="1">
    <w:name w:val="WW8Num13ztrue"/>
    <w:qFormat/>
    <w:rPr/>
  </w:style>
  <w:style w:type="character" w:styleId="WW8Num13zfalse" w:customStyle="1">
    <w:name w:val="WW8Num13zfalse"/>
    <w:qFormat/>
    <w:rPr/>
  </w:style>
  <w:style w:type="character" w:styleId="WW-WW8Num12ztrue6" w:customStyle="1">
    <w:name w:val="WW-WW8Num12ztrue6"/>
    <w:qFormat/>
    <w:rPr/>
  </w:style>
  <w:style w:type="character" w:styleId="WW-WW8Num12ztrue5" w:customStyle="1">
    <w:name w:val="WW-WW8Num12ztrue5"/>
    <w:qFormat/>
    <w:rPr/>
  </w:style>
  <w:style w:type="character" w:styleId="WW-WW8Num12ztrue4" w:customStyle="1">
    <w:name w:val="WW-WW8Num12ztrue4"/>
    <w:qFormat/>
    <w:rPr/>
  </w:style>
  <w:style w:type="character" w:styleId="WW-WW8Num12ztrue3" w:customStyle="1">
    <w:name w:val="WW-WW8Num12ztrue3"/>
    <w:qFormat/>
    <w:rPr/>
  </w:style>
  <w:style w:type="character" w:styleId="WW-WW8Num12ztrue2" w:customStyle="1">
    <w:name w:val="WW-WW8Num12ztrue2"/>
    <w:qFormat/>
    <w:rPr/>
  </w:style>
  <w:style w:type="character" w:styleId="WW-WW8Num12ztrue1" w:customStyle="1">
    <w:name w:val="WW-WW8Num12ztrue1"/>
    <w:qFormat/>
    <w:rPr/>
  </w:style>
  <w:style w:type="character" w:styleId="WW-WW8Num12ztrue" w:customStyle="1">
    <w:name w:val="WW-WW8Num12ztrue"/>
    <w:qFormat/>
    <w:rPr/>
  </w:style>
  <w:style w:type="character" w:styleId="WW8Num12ztrue" w:customStyle="1">
    <w:name w:val="WW8Num12ztrue"/>
    <w:qFormat/>
    <w:rPr/>
  </w:style>
  <w:style w:type="character" w:styleId="WW8Num12zfalse" w:customStyle="1">
    <w:name w:val="WW8Num12zfalse"/>
    <w:qFormat/>
    <w:rPr/>
  </w:style>
  <w:style w:type="character" w:styleId="WW8Num11zfalse" w:customStyle="1">
    <w:name w:val="WW8Num11zfalse"/>
    <w:qFormat/>
    <w:rPr/>
  </w:style>
  <w:style w:type="character" w:styleId="WW8Num9z3" w:customStyle="1">
    <w:name w:val="WW8Num9z3"/>
    <w:qFormat/>
    <w:rPr>
      <w:rFonts w:ascii="Symbol" w:hAnsi="Symbol" w:cs="Symbol"/>
    </w:rPr>
  </w:style>
  <w:style w:type="character" w:styleId="WW-WW8Num8ztrue6" w:customStyle="1">
    <w:name w:val="WW-WW8Num8ztrue6"/>
    <w:qFormat/>
    <w:rPr/>
  </w:style>
  <w:style w:type="character" w:styleId="WW-WW8Num8ztrue5" w:customStyle="1">
    <w:name w:val="WW-WW8Num8ztrue5"/>
    <w:qFormat/>
    <w:rPr/>
  </w:style>
  <w:style w:type="character" w:styleId="WW-WW8Num8ztrue4" w:customStyle="1">
    <w:name w:val="WW-WW8Num8ztrue4"/>
    <w:qFormat/>
    <w:rPr/>
  </w:style>
  <w:style w:type="character" w:styleId="WW-WW8Num8ztrue3" w:customStyle="1">
    <w:name w:val="WW-WW8Num8ztrue3"/>
    <w:qFormat/>
    <w:rPr/>
  </w:style>
  <w:style w:type="character" w:styleId="WW-WW8Num8ztrue2" w:customStyle="1">
    <w:name w:val="WW-WW8Num8ztrue2"/>
    <w:qFormat/>
    <w:rPr/>
  </w:style>
  <w:style w:type="character" w:styleId="WW-WW8Num8ztrue1" w:customStyle="1">
    <w:name w:val="WW-WW8Num8ztrue1"/>
    <w:qFormat/>
    <w:rPr/>
  </w:style>
  <w:style w:type="character" w:styleId="WW-WW8Num8ztrue" w:customStyle="1">
    <w:name w:val="WW-WW8Num8ztrue"/>
    <w:qFormat/>
    <w:rPr/>
  </w:style>
  <w:style w:type="character" w:styleId="WW8Num8ztrue" w:customStyle="1">
    <w:name w:val="WW8Num8ztrue"/>
    <w:qFormat/>
    <w:rPr/>
  </w:style>
  <w:style w:type="character" w:styleId="WW8Num8zfalse" w:customStyle="1">
    <w:name w:val="WW8Num8zfalse"/>
    <w:qFormat/>
    <w:rPr/>
  </w:style>
  <w:style w:type="character" w:styleId="WW8Num7zfalse" w:customStyle="1">
    <w:name w:val="WW8Num7zfalse"/>
    <w:qFormat/>
    <w:rPr/>
  </w:style>
  <w:style w:type="character" w:styleId="WW-WW8Num6ztrue6" w:customStyle="1">
    <w:name w:val="WW-WW8Num6ztrue6"/>
    <w:qFormat/>
    <w:rPr/>
  </w:style>
  <w:style w:type="character" w:styleId="WW-WW8Num6ztrue5" w:customStyle="1">
    <w:name w:val="WW-WW8Num6ztrue5"/>
    <w:qFormat/>
    <w:rPr/>
  </w:style>
  <w:style w:type="character" w:styleId="WW-WW8Num6ztrue4" w:customStyle="1">
    <w:name w:val="WW-WW8Num6ztrue4"/>
    <w:qFormat/>
    <w:rPr/>
  </w:style>
  <w:style w:type="character" w:styleId="WW-WW8Num6ztrue3" w:customStyle="1">
    <w:name w:val="WW-WW8Num6ztrue3"/>
    <w:qFormat/>
    <w:rPr/>
  </w:style>
  <w:style w:type="character" w:styleId="WW-WW8Num6ztrue2" w:customStyle="1">
    <w:name w:val="WW-WW8Num6ztrue2"/>
    <w:qFormat/>
    <w:rPr/>
  </w:style>
  <w:style w:type="character" w:styleId="WW-WW8Num6ztrue1" w:customStyle="1">
    <w:name w:val="WW-WW8Num6ztrue1"/>
    <w:qFormat/>
    <w:rPr/>
  </w:style>
  <w:style w:type="character" w:styleId="WW-WW8Num6ztrue" w:customStyle="1">
    <w:name w:val="WW-WW8Num6ztrue"/>
    <w:qFormat/>
    <w:rPr/>
  </w:style>
  <w:style w:type="character" w:styleId="WW8Num6ztrue" w:customStyle="1">
    <w:name w:val="WW8Num6ztrue"/>
    <w:qFormat/>
    <w:rPr/>
  </w:style>
  <w:style w:type="character" w:styleId="WW-WW8Num5ztrue6" w:customStyle="1">
    <w:name w:val="WW-WW8Num5ztrue6"/>
    <w:qFormat/>
    <w:rPr/>
  </w:style>
  <w:style w:type="character" w:styleId="WW-WW8Num5ztrue5" w:customStyle="1">
    <w:name w:val="WW-WW8Num5ztrue5"/>
    <w:qFormat/>
    <w:rPr/>
  </w:style>
  <w:style w:type="character" w:styleId="WW-WW8Num5ztrue4" w:customStyle="1">
    <w:name w:val="WW-WW8Num5ztrue4"/>
    <w:qFormat/>
    <w:rPr/>
  </w:style>
  <w:style w:type="character" w:styleId="WW-WW8Num5ztrue3" w:customStyle="1">
    <w:name w:val="WW-WW8Num5ztrue3"/>
    <w:qFormat/>
    <w:rPr/>
  </w:style>
  <w:style w:type="character" w:styleId="WW-WW8Num5ztrue2" w:customStyle="1">
    <w:name w:val="WW-WW8Num5ztrue2"/>
    <w:qFormat/>
    <w:rPr/>
  </w:style>
  <w:style w:type="character" w:styleId="WW-WW8Num5ztrue1" w:customStyle="1">
    <w:name w:val="WW-WW8Num5ztrue1"/>
    <w:qFormat/>
    <w:rPr/>
  </w:style>
  <w:style w:type="character" w:styleId="WW-WW8Num5ztrue" w:customStyle="1">
    <w:name w:val="WW-WW8Num5ztrue"/>
    <w:qFormat/>
    <w:rPr/>
  </w:style>
  <w:style w:type="character" w:styleId="WW8Num5ztrue" w:customStyle="1">
    <w:name w:val="WW8Num5ztrue"/>
    <w:qFormat/>
    <w:rPr/>
  </w:style>
  <w:style w:type="character" w:styleId="WW8Num5zfalse" w:customStyle="1">
    <w:name w:val="WW8Num5zfalse"/>
    <w:qFormat/>
    <w:rPr/>
  </w:style>
  <w:style w:type="character" w:styleId="WW8Num1zfalse" w:customStyle="1">
    <w:name w:val="WW8Num1zfalse"/>
    <w:qFormat/>
    <w:rPr/>
  </w:style>
  <w:style w:type="character" w:styleId="Fontepargpadro23" w:customStyle="1">
    <w:name w:val="Fonte parág. padrão23"/>
    <w:qFormat/>
    <w:rPr/>
  </w:style>
  <w:style w:type="character" w:styleId="InternetLink1" w:customStyle="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lang w:val="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Arial"/>
    </w:rPr>
  </w:style>
  <w:style w:type="paragraph" w:styleId="Ttulo1" w:customStyle="1">
    <w:name w:val="Título1"/>
    <w:basedOn w:val="Standard"/>
    <w:next w:val="BodyText"/>
    <w:qFormat/>
    <w:pPr>
      <w:jc w:val="center"/>
    </w:pPr>
    <w:rPr>
      <w:b/>
      <w:sz w:val="32"/>
      <w:szCs w:val="20"/>
    </w:rPr>
  </w:style>
  <w:style w:type="paragraph" w:styleId="ndiceuser" w:customStyle="1">
    <w:name w:val="Índice (user)"/>
    <w:basedOn w:val="Standard"/>
    <w:qFormat/>
    <w:pPr>
      <w:widowControl/>
      <w:suppressLineNumbers/>
      <w:spacing w:lineRule="auto" w:line="276" w:before="0" w:after="200"/>
    </w:pPr>
    <w:rPr>
      <w:rFonts w:ascii="Calibri" w:hAnsi="Calibri" w:eastAsia="Times New Roman" w:cs="Calibri"/>
      <w:szCs w:val="22"/>
      <w:lang w:bidi="ar-SA"/>
    </w:rPr>
  </w:style>
  <w:style w:type="paragraph" w:styleId="Ttulo15" w:customStyle="1">
    <w:name w:val="Título15"/>
    <w:basedOn w:val="Normal"/>
    <w:next w:val="BodyText"/>
    <w:qFormat/>
    <w:pPr>
      <w:keepNext w:val="true"/>
      <w:spacing w:before="240" w:after="120"/>
    </w:pPr>
    <w:rPr>
      <w:rFonts w:ascii="Liberation Sans" w:hAnsi="Liberation Sans" w:eastAsia="Microsoft YaHei" w:cs="Ari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Ari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Ari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Ari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eastAsia="zh-CN" w:bidi="hi-IN" w:val="pt-BR"/>
    </w:rPr>
  </w:style>
  <w:style w:type="paragraph" w:styleId="Ttulo8" w:customStyle="1">
    <w:name w:val="Título8"/>
    <w:basedOn w:val="Standard"/>
    <w:next w:val="Standard"/>
    <w:qFormat/>
    <w:pPr>
      <w:widowControl/>
      <w:spacing w:lineRule="auto" w:line="276" w:before="240" w:after="60"/>
      <w:jc w:val="center"/>
    </w:pPr>
    <w:rPr>
      <w:rFonts w:ascii="Cambria" w:hAnsi="Cambria" w:eastAsia="Cambria" w:cs="Cambria"/>
      <w:b/>
      <w:bCs/>
      <w:sz w:val="32"/>
      <w:szCs w:val="32"/>
      <w:lang w:bidi="ar-SA"/>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Mangal"/>
      <w:sz w:val="28"/>
      <w:szCs w:val="28"/>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lang w:val="x-none"/>
    </w:rPr>
  </w:style>
  <w:style w:type="paragraph" w:styleId="BodyTextIndented" w:customStyle="1">
    <w:name w:val="Body Text;Indented"/>
    <w:basedOn w:val="Normal"/>
    <w:qFormat/>
    <w:pPr>
      <w:ind w:firstLine="708"/>
      <w:jc w:val="both"/>
    </w:pPr>
    <w:rPr>
      <w:lang w:val="x-none"/>
    </w:rPr>
  </w:style>
  <w:style w:type="paragraph" w:styleId="Corpodetexto21" w:customStyle="1">
    <w:name w:val="Corpo de texto 21"/>
    <w:basedOn w:val="Normal"/>
    <w:qFormat/>
    <w:pPr>
      <w:spacing w:lineRule="auto" w:line="480" w:before="0" w:after="120"/>
    </w:pPr>
    <w:rPr/>
  </w:style>
  <w:style w:type="paragraph" w:styleId="Recuodecorpodetexto21" w:customStyle="1">
    <w:name w:val="Recuo de corpo de texto 21"/>
    <w:basedOn w:val="Normal"/>
    <w:qFormat/>
    <w:pPr>
      <w:spacing w:lineRule="auto" w:line="480" w:before="0" w:after="120"/>
      <w:ind w:left="283"/>
    </w:pPr>
    <w:rPr>
      <w:lang w:val="x-none"/>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pPr>
    <w:rPr>
      <w:szCs w:val="20"/>
    </w:rPr>
  </w:style>
  <w:style w:type="paragraph" w:styleId="NormalWeb">
    <w:name w:val="Normal (Web)"/>
    <w:basedOn w:val="Normal"/>
    <w:qFormat/>
    <w:pPr>
      <w:spacing w:before="280" w:after="280"/>
    </w:pPr>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lang w:val="x-none"/>
    </w:rPr>
  </w:style>
  <w:style w:type="paragraph" w:styleId="FootnoteText">
    <w:name w:val="footnote text"/>
    <w:basedOn w:val="Normal"/>
    <w:pPr/>
    <w:rPr>
      <w:rFonts w:eastAsia="MS Mincho"/>
      <w:sz w:val="20"/>
      <w:szCs w:val="20"/>
      <w:lang w:val="x-none"/>
    </w:rPr>
  </w:style>
  <w:style w:type="paragraph" w:styleId="Commarcadores21" w:customStyle="1">
    <w:name w:val="Com marcadores 21"/>
    <w:basedOn w:val="Normal"/>
    <w:qFormat/>
    <w:pPr>
      <w:ind w:hanging="283" w:left="566"/>
    </w:pPr>
    <w:rPr>
      <w:rFonts w:ascii="Arial" w:hAnsi="Arial" w:eastAsia="MS Mincho" w:cs="Arial"/>
      <w:sz w:val="20"/>
      <w:szCs w:val="20"/>
    </w:rPr>
  </w:style>
  <w:style w:type="paragraph" w:styleId="Commarcadores41" w:customStyle="1">
    <w:name w:val="Com marcadores 41"/>
    <w:basedOn w:val="Normal"/>
    <w:qFormat/>
    <w:pPr>
      <w:ind w:hanging="283" w:left="1132"/>
    </w:pPr>
    <w:rPr>
      <w:rFonts w:ascii="Arial" w:hAnsi="Arial" w:cs="Arial"/>
      <w:sz w:val="20"/>
      <w:szCs w:val="20"/>
    </w:rPr>
  </w:style>
  <w:style w:type="paragraph" w:styleId="msolistparagraph" w:customStyle="1">
    <w:name w:val="msolistparagraph"/>
    <w:basedOn w:val="Normal"/>
    <w:qFormat/>
    <w:pPr>
      <w:spacing w:before="280" w:after="280"/>
    </w:pPr>
    <w:rPr/>
  </w:style>
  <w:style w:type="paragraph" w:styleId="Pa1" w:customStyle="1">
    <w:name w:val="Pa1"/>
    <w:basedOn w:val="Normal"/>
    <w:next w:val="Normal"/>
    <w:qFormat/>
    <w:pPr>
      <w:spacing w:lineRule="atLeast" w:line="241"/>
    </w:pPr>
    <w:rPr>
      <w:rFonts w:ascii="Helvetica LT Light" w:hAnsi="Helvetica LT Light" w:eastAsia="Calibri"/>
    </w:rPr>
  </w:style>
  <w:style w:type="paragraph" w:styleId="Default" w:customStyle="1">
    <w:name w:val="Default"/>
    <w:qFormat/>
    <w:pPr>
      <w:widowControl/>
      <w:suppressAutoHyphens w:val="true"/>
      <w:bidi w:val="0"/>
      <w:spacing w:before="0" w:after="0"/>
      <w:jc w:val="left"/>
    </w:pPr>
    <w:rPr>
      <w:rFonts w:ascii="Verdana" w:hAnsi="Verdana" w:cs="Verdana" w:eastAsia="Times New Roman"/>
      <w:color w:val="000000"/>
      <w:kern w:val="2"/>
      <w:sz w:val="24"/>
      <w:szCs w:val="24"/>
      <w:lang w:eastAsia="zh-CN" w:val="pt-BR" w:bidi="ar-SA"/>
    </w:rPr>
  </w:style>
  <w:style w:type="paragraph" w:styleId="Contedodoquadrouser" w:customStyle="1">
    <w:name w:val="Conteúdo do quadro (user)"/>
    <w:basedOn w:val="Normal"/>
    <w:qFormat/>
    <w:pPr/>
    <w:rPr/>
  </w:style>
  <w:style w:type="paragraph" w:styleId="Contedodatabelauser" w:customStyle="1">
    <w:name w:val="Conteúdo da tabela (user)"/>
    <w:basedOn w:val="Standard1"/>
    <w:qFormat/>
    <w:pPr>
      <w:suppressLineNumbers/>
    </w:pPr>
    <w:rPr>
      <w:sz w:val="24"/>
    </w:rPr>
  </w:style>
  <w:style w:type="paragraph" w:styleId="Ttulodetabelauser" w:customStyle="1">
    <w:name w:val="Título de tabela (user)"/>
    <w:basedOn w:val="Contedodatabelauser"/>
    <w:qFormat/>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Textbody" w:customStyle="1">
    <w:name w:val="Text body"/>
    <w:basedOn w:val="Standard"/>
    <w:qFormat/>
    <w:pPr>
      <w:widowControl/>
      <w:spacing w:lineRule="auto" w:line="288" w:before="0" w:after="140"/>
    </w:pPr>
    <w:rPr>
      <w:rFonts w:ascii="Calibri" w:hAnsi="Calibri" w:eastAsia="Times New Roman" w:cs="Times New Roman"/>
      <w:sz w:val="22"/>
      <w:szCs w:val="22"/>
      <w:lang w:bidi="ar-SA"/>
    </w:rPr>
  </w:style>
  <w:style w:type="paragraph" w:styleId="Textodecomentrio1" w:customStyle="1">
    <w:name w:val="Texto de comentário1"/>
    <w:basedOn w:val="Standard"/>
    <w:qFormat/>
    <w:pPr>
      <w:widowControl/>
      <w:spacing w:lineRule="auto" w:line="276" w:before="0" w:after="200"/>
    </w:pPr>
    <w:rPr>
      <w:rFonts w:ascii="Calibri" w:hAnsi="Calibri" w:eastAsia="Times New Roman" w:cs="Times New Roman"/>
      <w:sz w:val="20"/>
      <w:szCs w:val="20"/>
      <w:lang w:bidi="ar-SA"/>
    </w:rPr>
  </w:style>
  <w:style w:type="paragraph" w:styleId="annotationsubject">
    <w:name w:val="annotation subject"/>
    <w:basedOn w:val="Textodecomentrio1"/>
    <w:qFormat/>
    <w:pPr/>
    <w:rPr>
      <w:b/>
      <w:bCs/>
    </w:rPr>
  </w:style>
  <w:style w:type="paragraph" w:styleId="padro" w:customStyle="1">
    <w:name w:val="padro"/>
    <w:basedOn w:val="Standard"/>
    <w:qFormat/>
    <w:pPr>
      <w:widowControl/>
      <w:suppressAutoHyphens w:val="false"/>
      <w:spacing w:lineRule="auto" w:line="276" w:before="280" w:after="280"/>
    </w:pPr>
    <w:rPr>
      <w:rFonts w:ascii="Calibri" w:hAnsi="Calibri" w:eastAsia="Times New Roman" w:cs="Times New Roman"/>
      <w:sz w:val="22"/>
      <w:szCs w:val="22"/>
      <w:lang w:bidi="ar-SA"/>
    </w:rPr>
  </w:style>
  <w:style w:type="paragraph" w:styleId="default1" w:customStyle="1">
    <w:name w:val="default1"/>
    <w:basedOn w:val="Standard"/>
    <w:qFormat/>
    <w:pPr>
      <w:widowControl/>
      <w:spacing w:lineRule="auto" w:line="276" w:before="280" w:after="280"/>
    </w:pPr>
    <w:rPr>
      <w:rFonts w:ascii="Calibri" w:hAnsi="Calibri" w:eastAsia="Times New Roman" w:cs="Times New Roman"/>
      <w:sz w:val="22"/>
      <w:szCs w:val="22"/>
      <w:lang w:bidi="ar-SA"/>
    </w:rPr>
  </w:style>
  <w:style w:type="paragraph" w:styleId="BodyTextIndented1" w:customStyle="1">
    <w:name w:val="Body Text;Indented1"/>
    <w:basedOn w:val="Standard"/>
    <w:qFormat/>
    <w:pPr>
      <w:widowControl/>
      <w:spacing w:lineRule="auto" w:line="276" w:before="0" w:after="200"/>
      <w:ind w:firstLine="708"/>
      <w:jc w:val="both"/>
    </w:pPr>
    <w:rPr>
      <w:rFonts w:ascii="Calibri" w:hAnsi="Calibri" w:eastAsia="Times New Roman" w:cs="Times New Roman"/>
      <w:sz w:val="22"/>
      <w:szCs w:val="22"/>
      <w:lang w:bidi="ar-SA"/>
    </w:rPr>
  </w:style>
  <w:style w:type="paragraph" w:styleId="Corpodetexto32" w:customStyle="1">
    <w:name w:val="Corpo de texto 32"/>
    <w:basedOn w:val="Standard"/>
    <w:qFormat/>
    <w:pPr>
      <w:widowControl/>
      <w:spacing w:lineRule="auto" w:line="276" w:before="0" w:after="120"/>
    </w:pPr>
    <w:rPr>
      <w:rFonts w:ascii="Calibri" w:hAnsi="Calibri" w:eastAsia="Times New Roman" w:cs="Times New Roman"/>
      <w:sz w:val="16"/>
      <w:szCs w:val="16"/>
      <w:lang w:bidi="ar-SA"/>
    </w:rPr>
  </w:style>
  <w:style w:type="paragraph" w:styleId="Corpodetexto1" w:customStyle="1">
    <w:name w:val="Corpo de texto1"/>
    <w:basedOn w:val="Normal"/>
    <w:qFormat/>
    <w:pPr>
      <w:spacing w:lineRule="auto" w:line="288" w:before="0" w:after="140"/>
    </w:pPr>
    <w:rPr/>
  </w:style>
  <w:style w:type="paragraph" w:styleId="MapadoDocumento1" w:customStyle="1">
    <w:name w:val="Mapa do Documento1"/>
    <w:basedOn w:val="Normal"/>
    <w:qFormat/>
    <w:pPr/>
    <w:rPr>
      <w:rFonts w:ascii="Tahoma" w:hAnsi="Tahoma" w:cs="Tahoma"/>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Corpodetexto33" w:customStyle="1">
    <w:name w:val="Corpo de texto 33"/>
    <w:basedOn w:val="Normal"/>
    <w:qFormat/>
    <w:pPr>
      <w:spacing w:lineRule="atLeast" w:line="240"/>
      <w:jc w:val="both"/>
    </w:pPr>
    <w:rPr>
      <w:szCs w:val="20"/>
    </w:rPr>
  </w:style>
  <w:style w:type="paragraph" w:styleId="p0" w:customStyle="1">
    <w:name w:val="p0"/>
    <w:basedOn w:val="Normal"/>
    <w:qFormat/>
    <w:pPr>
      <w:widowControl w:val="false"/>
      <w:tabs>
        <w:tab w:val="clear" w:pos="709"/>
        <w:tab w:val="left" w:pos="720" w:leader="none"/>
      </w:tabs>
      <w:spacing w:lineRule="atLeast" w:line="240"/>
      <w:jc w:val="both"/>
    </w:pPr>
    <w:rPr>
      <w:szCs w:val="20"/>
    </w:rPr>
  </w:style>
  <w:style w:type="paragraph" w:styleId="TextosemFormatao1" w:customStyle="1">
    <w:name w:val="Texto sem Formatação1"/>
    <w:basedOn w:val="Normal"/>
    <w:qFormat/>
    <w:pPr>
      <w:spacing w:before="60" w:after="0"/>
    </w:pPr>
    <w:rPr>
      <w:rFonts w:ascii="Courier New" w:hAnsi="Courier New" w:cs="Courier New"/>
      <w:color w:val="000080"/>
      <w:sz w:val="20"/>
      <w:szCs w:val="20"/>
    </w:rPr>
  </w:style>
  <w:style w:type="paragraph" w:styleId="n1" w:customStyle="1">
    <w:name w:val="n1"/>
    <w:basedOn w:val="Normal"/>
    <w:qFormat/>
    <w:pPr>
      <w:tabs>
        <w:tab w:val="clear" w:pos="709"/>
        <w:tab w:val="left" w:pos="1134" w:leader="none"/>
      </w:tabs>
      <w:spacing w:before="240" w:after="0"/>
      <w:jc w:val="both"/>
    </w:pPr>
    <w:rPr>
      <w:rFonts w:ascii="Arial" w:hAnsi="Arial" w:cs="Arial"/>
      <w:sz w:val="20"/>
      <w:szCs w:val="20"/>
    </w:rPr>
  </w:style>
  <w:style w:type="paragraph" w:styleId="Commarcadores43" w:customStyle="1">
    <w:name w:val="Com marcadores 43"/>
    <w:basedOn w:val="Normal"/>
    <w:qFormat/>
    <w:pPr>
      <w:ind w:hanging="283" w:left="1132"/>
    </w:pPr>
    <w:rPr>
      <w:rFonts w:ascii="Arial" w:hAnsi="Arial" w:cs="Arial"/>
      <w:sz w:val="20"/>
      <w:szCs w:val="20"/>
    </w:rPr>
  </w:style>
  <w:style w:type="paragraph" w:styleId="Commarcadores23" w:customStyle="1">
    <w:name w:val="Com marcadores 23"/>
    <w:basedOn w:val="Normal"/>
    <w:qFormat/>
    <w:pPr>
      <w:ind w:hanging="283" w:left="566"/>
    </w:pPr>
    <w:rPr>
      <w:rFonts w:ascii="Arial" w:hAnsi="Arial" w:eastAsia="MS Mincho" w:cs="Arial"/>
      <w:sz w:val="20"/>
      <w:szCs w:val="20"/>
    </w:rPr>
  </w:style>
  <w:style w:type="paragraph" w:styleId="Corpodetexto34" w:customStyle="1">
    <w:name w:val="Corpo de texto 34"/>
    <w:basedOn w:val="Normal"/>
    <w:qFormat/>
    <w:pPr>
      <w:spacing w:lineRule="atLeast" w:line="240"/>
      <w:jc w:val="both"/>
    </w:pPr>
    <w:rPr>
      <w:szCs w:val="20"/>
    </w:rPr>
  </w:style>
  <w:style w:type="paragraph" w:styleId="Recuodecorpodetexto32" w:customStyle="1">
    <w:name w:val="Recuo de corpo de texto 32"/>
    <w:basedOn w:val="Normal"/>
    <w:qFormat/>
    <w:pPr>
      <w:spacing w:before="0" w:after="120"/>
      <w:ind w:left="283"/>
    </w:pPr>
    <w:rPr>
      <w:sz w:val="16"/>
      <w:szCs w:val="16"/>
    </w:rPr>
  </w:style>
  <w:style w:type="paragraph" w:styleId="Recuodecorpodetexto22" w:customStyle="1">
    <w:name w:val="Recuo de corpo de texto 22"/>
    <w:basedOn w:val="Normal"/>
    <w:qFormat/>
    <w:pPr>
      <w:spacing w:lineRule="auto" w:line="480" w:before="0" w:after="120"/>
      <w:ind w:left="283"/>
    </w:pPr>
    <w:rPr/>
  </w:style>
  <w:style w:type="paragraph" w:styleId="Commarcadores22" w:customStyle="1">
    <w:name w:val="Com marcadores 22"/>
    <w:basedOn w:val="Normal"/>
    <w:qFormat/>
    <w:pPr>
      <w:ind w:hanging="283" w:left="566"/>
    </w:pPr>
    <w:rPr>
      <w:rFonts w:ascii="Arial" w:hAnsi="Arial" w:eastAsia="MS Mincho" w:cs="Arial"/>
      <w:sz w:val="20"/>
      <w:szCs w:val="20"/>
    </w:rPr>
  </w:style>
  <w:style w:type="paragraph" w:styleId="Commarcadores42" w:customStyle="1">
    <w:name w:val="Com marcadores 42"/>
    <w:basedOn w:val="Normal"/>
    <w:qFormat/>
    <w:pPr>
      <w:ind w:hanging="283" w:left="1132"/>
    </w:pPr>
    <w:rPr>
      <w:rFonts w:ascii="Arial" w:hAnsi="Arial" w:cs="Arial"/>
      <w:sz w:val="20"/>
      <w:szCs w:val="20"/>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western" w:customStyle="1">
    <w:name w:val="western"/>
    <w:basedOn w:val="Normal"/>
    <w:qFormat/>
    <w:pPr>
      <w:spacing w:before="280" w:after="119"/>
    </w:pPr>
    <w:rPr/>
  </w:style>
  <w:style w:type="paragraph" w:styleId="Descrio" w:customStyle="1">
    <w:name w:val="Descrição"/>
    <w:basedOn w:val="Normal"/>
    <w:qFormat/>
    <w:pPr>
      <w:overflowPunct w:val="true"/>
      <w:spacing w:lineRule="auto" w:line="312"/>
      <w:ind w:left="540" w:right="-6"/>
      <w:jc w:val="both"/>
    </w:pPr>
    <w:rPr>
      <w:szCs w:val="20"/>
    </w:rPr>
  </w:style>
  <w:style w:type="paragraph" w:styleId="Corpodetexto22" w:customStyle="1">
    <w:name w:val="Corpo de texto 22"/>
    <w:basedOn w:val="Normal"/>
    <w:qFormat/>
    <w:pPr>
      <w:spacing w:lineRule="auto" w:line="480" w:before="0" w:after="120"/>
    </w:pPr>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paragraph" w:styleId="Standard2" w:customStyle="1">
    <w:name w:val="Standard2"/>
    <w:qFormat/>
    <w:rsid w:val="00b32a57"/>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paragraph" w:styleId="Contedodatabela" w:customStyle="1">
    <w:name w:val="Conteúdo da tabela"/>
    <w:basedOn w:val="Standard"/>
    <w:qFormat/>
    <w:rsid w:val="0092027d"/>
    <w:pPr>
      <w:widowControl/>
      <w:suppressLineNumbers/>
    </w:pPr>
    <w:rPr>
      <w:rFonts w:ascii="Times New Roman" w:hAnsi="Times New Roman" w:eastAsia="Times New Roman" w:cs="Times New Roman"/>
      <w:kern w:val="2"/>
      <w:sz w:val="28"/>
      <w:lang w:bidi="ar-SA"/>
    </w:rPr>
  </w:style>
  <w:style w:type="paragraph" w:styleId="Nivel2" w:customStyle="1">
    <w:name w:val="Nivel 2"/>
    <w:basedOn w:val="Standard"/>
    <w:qFormat/>
    <w:rsid w:val="0046546d"/>
    <w:pPr>
      <w:widowControl/>
      <w:spacing w:before="120" w:after="120"/>
      <w:jc w:val="both"/>
    </w:pPr>
    <w:rPr>
      <w:rFonts w:ascii="Arial" w:hAnsi="Arial" w:eastAsia="MS Mincho" w:cs="Arial"/>
      <w:color w:val="000000"/>
      <w:kern w:val="2"/>
      <w:sz w:val="20"/>
      <w:szCs w:val="20"/>
      <w:lang w:eastAsia="pt-BR"/>
    </w:rPr>
  </w:style>
  <w:style w:type="paragraph" w:styleId="Nivel3" w:customStyle="1">
    <w:name w:val="Nivel 3"/>
    <w:basedOn w:val="Standard"/>
    <w:qFormat/>
    <w:rsid w:val="0046546d"/>
    <w:pPr>
      <w:widowControl/>
      <w:numPr>
        <w:ilvl w:val="0"/>
        <w:numId w:val="7"/>
      </w:numPr>
      <w:spacing w:before="120" w:after="120"/>
      <w:jc w:val="both"/>
    </w:pPr>
    <w:rPr>
      <w:rFonts w:ascii="Arial" w:hAnsi="Arial" w:eastAsia="MS Mincho" w:cs="Arial"/>
      <w:color w:val="000000"/>
      <w:kern w:val="2"/>
      <w:sz w:val="20"/>
      <w:szCs w:val="20"/>
      <w:lang w:eastAsia="pt-BR"/>
    </w:rPr>
  </w:style>
  <w:style w:type="paragraph" w:styleId="Nvel2-Red" w:customStyle="1">
    <w:name w:val="Nível 2 -Red"/>
    <w:basedOn w:val="Nivel2"/>
    <w:qFormat/>
    <w:rsid w:val="0046546d"/>
    <w:pPr>
      <w:tabs>
        <w:tab w:val="clear" w:pos="709"/>
        <w:tab w:val="left" w:pos="0" w:leader="none"/>
      </w:tabs>
    </w:pPr>
    <w:rPr>
      <w:i/>
      <w:iCs/>
      <w:color w:val="FF0000"/>
    </w:rPr>
  </w:style>
  <w:style w:type="paragraph" w:styleId="ListParagraph">
    <w:name w:val="List Paragraph"/>
    <w:basedOn w:val="Standard"/>
    <w:qFormat/>
    <w:rsid w:val="0046546d"/>
    <w:pPr>
      <w:widowControl/>
      <w:spacing w:before="0" w:after="200"/>
      <w:ind w:left="720"/>
    </w:pPr>
    <w:rPr>
      <w:rFonts w:eastAsia="NSimSun" w:cs="Arial"/>
      <w:kern w:val="2"/>
    </w:rPr>
  </w:style>
  <w:style w:type="paragraph" w:styleId="Nvel1-SemNum" w:customStyle="1">
    <w:name w:val="Nível 1-Sem Num"/>
    <w:basedOn w:val="Normal"/>
    <w:qFormat/>
    <w:rsid w:val="0046546d"/>
    <w:pPr>
      <w:keepNext w:val="true"/>
      <w:keepLines/>
      <w:tabs>
        <w:tab w:val="clear" w:pos="709"/>
        <w:tab w:val="left" w:pos="432" w:leader="none"/>
        <w:tab w:val="left" w:pos="999" w:leader="none"/>
      </w:tabs>
      <w:suppressAutoHyphens w:val="false"/>
      <w:spacing w:before="240" w:after="0"/>
      <w:ind w:hanging="432" w:left="357"/>
      <w:jc w:val="both"/>
      <w:textAlignment w:val="baseline"/>
      <w:outlineLvl w:val="1"/>
    </w:pPr>
    <w:rPr>
      <w:rFonts w:ascii="Arial" w:hAnsi="Arial" w:eastAsia="MS Gothic" w:cs="Arial"/>
      <w:b/>
      <w:bCs/>
      <w:color w:val="FF0000"/>
      <w:kern w:val="0"/>
      <w:sz w:val="20"/>
      <w:szCs w:val="20"/>
      <w:lang w:eastAsia="pt-BR" w:bidi="hi-IN"/>
    </w:rPr>
  </w:style>
  <w:style w:type="numbering" w:styleId="Semlista" w:default="1">
    <w:name w:val="Sem lista"/>
    <w:uiPriority w:val="99"/>
    <w:semiHidden/>
    <w:unhideWhenUsed/>
    <w:qFormat/>
  </w:style>
  <w:style w:type="numbering" w:styleId="WW8Num2" w:customStyle="1">
    <w:name w:val="WW8Num2"/>
    <w:qFormat/>
    <w:rsid w:val="0046546d"/>
  </w:style>
  <w:style w:type="numbering" w:styleId="WW8Num3" w:customStyle="1">
    <w:name w:val="WW8Num3"/>
    <w:qFormat/>
    <w:rsid w:val="0046546d"/>
  </w:style>
  <w:style w:type="numbering" w:styleId="WW8Num4" w:customStyle="1">
    <w:name w:val="WW8Num4"/>
    <w:qFormat/>
    <w:rsid w:val="0046546d"/>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tatiba.sp.gov.br/" TargetMode="External"/><Relationship Id="rId3" Type="http://schemas.openxmlformats.org/officeDocument/2006/relationships/hyperlink" Target="http://www.itatiba.sp.gov.br/" TargetMode="External"/><Relationship Id="rId4" Type="http://schemas.openxmlformats.org/officeDocument/2006/relationships/hyperlink" Target="mailto:licitacoes@licitacoes.itatiba.sp.gov.br" TargetMode="External"/><Relationship Id="rId5" Type="http://schemas.openxmlformats.org/officeDocument/2006/relationships/hyperlink" Target="http://www.itatiba.sp.gov.br/" TargetMode="External"/><Relationship Id="rId6" Type="http://schemas.openxmlformats.org/officeDocument/2006/relationships/hyperlink" Target="https://www.planalto.gov.br/ccivil_03/leis/l8078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_ato2011-2014/2013/lei/l12846.htm" TargetMode="External"/><Relationship Id="rId10" Type="http://schemas.openxmlformats.org/officeDocument/2006/relationships/hyperlink" Target="http://www.planalto.gov.br/ccivil_03/_ato2019-2022/2021/lei/L14133.htm%25art159" TargetMode="External"/><Relationship Id="rId11" Type="http://schemas.openxmlformats.org/officeDocument/2006/relationships/hyperlink" Target="https://www.gov.br/compras/pt-br/acesso-a-informacao/legislacao/instrucoes-normativas/instrucao-normativa-seges-me-no-26-de-13-de-abril-de-2022" TargetMode="External"/><Relationship Id="rId12" Type="http://schemas.openxmlformats.org/officeDocument/2006/relationships/hyperlink" Target="http://www.itatiba.sp.gov.br/"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LibreOffice/25.2.7.2$Windows_X86_64 LibreOffice_project/5cbfd1ab6520636bb5f7b99185aa69bd7456825d</Application>
  <AppVersion>15.0000</AppVersion>
  <Pages>81</Pages>
  <Words>25121</Words>
  <Characters>138297</Characters>
  <CharactersWithSpaces>162910</CharactersWithSpaces>
  <Paragraphs>943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2026-03-17T13:52:00Z</dcterms:created>
  <dc:creator>leonardo</dc:creator>
  <dc:description/>
  <dc:language>pt-BR</dc:language>
  <cp:lastModifiedBy/>
  <cp:lastPrinted>2026-03-10T10:44:00Z</cp:lastPrinted>
  <dcterms:modified xsi:type="dcterms:W3CDTF">2026-04-28T09:19:39Z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