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sz w:val="22"/>
          <w:szCs w:val="22"/>
        </w:rPr>
      </w:pPr>
      <w:bookmarkStart w:id="0" w:name="_Hlk183078598"/>
      <w:r>
        <w:rPr>
          <w:rFonts w:cs="Arial" w:ascii="Arial" w:hAnsi="Arial"/>
          <w:b/>
          <w:bCs/>
          <w:sz w:val="22"/>
          <w:szCs w:val="22"/>
        </w:rPr>
        <w:t>PROCESSO ADMINISTRATIVO Nº 7906/2024</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sz w:val="22"/>
          <w:szCs w:val="22"/>
        </w:rPr>
      </w:pPr>
      <w:r>
        <w:rPr>
          <w:rFonts w:cs="Arial" w:ascii="Arial" w:hAnsi="Arial"/>
          <w:b/>
          <w:bCs/>
          <w:sz w:val="22"/>
          <w:szCs w:val="22"/>
        </w:rPr>
        <w:t>PREGÃO ELETRÔNICO Nº 107/2024</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sz w:val="22"/>
          <w:szCs w:val="22"/>
        </w:rPr>
      </w:pPr>
      <w:r>
        <w:rPr>
          <w:rFonts w:cs="Arial" w:ascii="Arial" w:hAnsi="Arial"/>
          <w:b/>
          <w:bCs/>
          <w:sz w:val="22"/>
          <w:szCs w:val="22"/>
        </w:rPr>
        <w:t>EDITAL Nº 139/2024</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sz w:val="22"/>
          <w:szCs w:val="22"/>
        </w:rPr>
      </w:pPr>
      <w:r>
        <w:rPr>
          <w:rFonts w:cs="Arial" w:ascii="Arial" w:hAnsi="Arial"/>
          <w:b/>
          <w:bCs/>
          <w:sz w:val="22"/>
          <w:szCs w:val="22"/>
        </w:rPr>
        <w:t>OBJETO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sz w:val="22"/>
          <w:szCs w:val="22"/>
        </w:rPr>
      </w:pPr>
      <w:bookmarkStart w:id="1" w:name="_Hlk183078598"/>
      <w:r>
        <w:rPr>
          <w:rStyle w:val="Fontepargpadro15"/>
          <w:rFonts w:eastAsia="MS Mincho" w:cs="Arial" w:ascii="Arial" w:hAnsi="Arial"/>
          <w:sz w:val="22"/>
          <w:szCs w:val="22"/>
        </w:rPr>
        <w:t>Contratação de serviços continuado de manutenção dos veículos que compõe a frota da Prefeitura Municipal de Itatiba, com fornecimento de peças de reposição e acessórios novos, originais ou similares de primeira linha, pelo período de 24 (vinte e quatro) meses.</w:t>
      </w:r>
      <w:bookmarkEnd w:id="1"/>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sz w:val="22"/>
          <w:szCs w:val="22"/>
        </w:rPr>
      </w:pPr>
      <w:r>
        <w:rPr>
          <w:rFonts w:cs="Arial" w:ascii="Arial" w:hAnsi="Arial"/>
          <w:b/>
          <w:bCs/>
          <w:sz w:val="22"/>
          <w:szCs w:val="22"/>
        </w:rPr>
        <w:t>VALOR ESTIMADO DA CONTRATAÇÃO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R$ 8.081.827,93 (oito milhões, oitenta e um mil, oitocentos e vinte e sete reais e noventa e três centavos), pelo período de 24 meses.</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b/>
          <w:bCs/>
          <w:sz w:val="22"/>
          <w:szCs w:val="22"/>
        </w:rPr>
        <w:t>DATA DA SESSÃO PÚBLICA – Data 12 de dezembro de 2024.</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b/>
          <w:bCs/>
          <w:sz w:val="22"/>
          <w:szCs w:val="22"/>
        </w:rPr>
        <w:t xml:space="preserve">Cadastro das Propostas até: </w:t>
        <w:tab/>
        <w:tab/>
      </w:r>
      <w:r>
        <w:rPr>
          <w:rFonts w:cs="Arial" w:ascii="Arial" w:hAnsi="Arial"/>
          <w:sz w:val="22"/>
          <w:szCs w:val="22"/>
        </w:rPr>
        <w:t>12/12/2024</w:t>
        <w:tab/>
        <w:tab/>
        <w:t>08h50min</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b/>
          <w:bCs/>
          <w:sz w:val="22"/>
          <w:szCs w:val="22"/>
        </w:rPr>
        <w:t>Abertura das Propostas:</w:t>
        <w:tab/>
        <w:tab/>
        <w:tab/>
      </w:r>
      <w:r>
        <w:rPr>
          <w:rFonts w:cs="Arial" w:ascii="Arial" w:hAnsi="Arial"/>
          <w:sz w:val="22"/>
          <w:szCs w:val="22"/>
        </w:rPr>
        <w:t>12/12/2024</w:t>
        <w:tab/>
        <w:tab/>
        <w:t>09 horas</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b/>
          <w:bCs/>
          <w:sz w:val="22"/>
          <w:szCs w:val="22"/>
        </w:rPr>
        <w:t>Início do Pregão (fase competitiva)</w:t>
        <w:tab/>
      </w:r>
      <w:r>
        <w:rPr>
          <w:rFonts w:cs="Arial" w:ascii="Arial" w:hAnsi="Arial"/>
          <w:sz w:val="22"/>
          <w:szCs w:val="22"/>
        </w:rPr>
        <w:t>12/12/2024</w:t>
        <w:tab/>
        <w:tab/>
        <w:t>09h10min</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caps/>
          <w:sz w:val="22"/>
          <w:szCs w:val="22"/>
        </w:rPr>
      </w:pPr>
      <w:r>
        <w:rPr>
          <w:rFonts w:cs="Arial" w:ascii="Arial" w:hAnsi="Arial"/>
          <w:b/>
          <w:bCs/>
          <w:caps/>
          <w:sz w:val="22"/>
          <w:szCs w:val="22"/>
        </w:rPr>
        <w:t>Critério de Julgamento: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Menor preço global por lote</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caps/>
          <w:sz w:val="22"/>
          <w:szCs w:val="22"/>
        </w:rPr>
      </w:pPr>
      <w:r>
        <w:rPr>
          <w:rFonts w:cs="Arial" w:ascii="Arial" w:hAnsi="Arial"/>
          <w:b/>
          <w:bCs/>
          <w:caps/>
          <w:sz w:val="22"/>
          <w:szCs w:val="22"/>
        </w:rPr>
        <w:t>Modo de disputa:</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Aberto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sz w:val="22"/>
          <w:szCs w:val="22"/>
        </w:rPr>
      </w:pPr>
      <w:r>
        <w:rPr>
          <w:rFonts w:cs="Arial" w:ascii="Arial" w:hAnsi="Arial"/>
          <w:b/>
          <w:bCs/>
          <w:sz w:val="22"/>
          <w:szCs w:val="22"/>
        </w:rPr>
        <w:t>PREFERÊNCIA ME/EPP</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NÃO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jc w:val="both"/>
        <w:rPr>
          <w:rFonts w:ascii="Arial" w:hAnsi="Arial" w:cs="Arial"/>
          <w:b/>
          <w:bCs/>
          <w:sz w:val="22"/>
          <w:szCs w:val="22"/>
        </w:rPr>
      </w:pPr>
      <w:r>
        <w:rPr>
          <w:rFonts w:cs="Arial" w:ascii="Arial" w:hAnsi="Arial"/>
          <w:b/>
          <w:bCs/>
          <w:sz w:val="22"/>
          <w:szCs w:val="22"/>
        </w:rPr>
        <w:t>SECRETARIA DE ADMINISTRAÇÃO, SECRETARIA DA EDUCAÇÃO, SECRETARIA DE OBRAS E SERVIÇOS PÚBLICOS E SECRETARIA DA SAÚDE</w:t>
      </w:r>
    </w:p>
    <w:p>
      <w:pPr>
        <w:pStyle w:val="Normal"/>
        <w:spacing w:lineRule="auto" w:line="360"/>
        <w:jc w:val="both"/>
        <w:rPr>
          <w:rFonts w:ascii="Arial" w:hAnsi="Arial" w:cs="Arial"/>
          <w:b/>
          <w:bCs/>
          <w:sz w:val="22"/>
          <w:szCs w:val="22"/>
        </w:rPr>
      </w:pPr>
      <w:bookmarkStart w:id="2" w:name="_Hlk160450459"/>
      <w:r>
        <w:rPr>
          <w:rFonts w:cs="Arial" w:ascii="Arial" w:hAnsi="Arial"/>
          <w:b/>
          <w:bCs/>
          <w:sz w:val="22"/>
          <w:szCs w:val="22"/>
        </w:rPr>
        <w:t>PROCESSO ADMINISTRATIVO Nº 7906/2024</w:t>
      </w:r>
      <w:bookmarkEnd w:id="2"/>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ind w:firstLine="567"/>
        <w:jc w:val="center"/>
        <w:rPr>
          <w:rFonts w:ascii="Arial" w:hAnsi="Arial" w:cs="Arial"/>
          <w:sz w:val="22"/>
          <w:szCs w:val="22"/>
        </w:rPr>
      </w:pPr>
      <w:r>
        <w:rPr>
          <w:rFonts w:cs="Arial" w:ascii="Arial" w:hAnsi="Arial"/>
          <w:b/>
          <w:sz w:val="22"/>
          <w:szCs w:val="22"/>
        </w:rPr>
        <w:t>PREGÃO ELETRÔNICO Nº 107/2024</w:t>
      </w:r>
    </w:p>
    <w:p>
      <w:pPr>
        <w:pStyle w:val="Normal"/>
        <w:spacing w:lineRule="auto" w:line="360"/>
        <w:ind w:firstLine="567"/>
        <w:jc w:val="center"/>
        <w:rPr>
          <w:rFonts w:ascii="Arial" w:hAnsi="Arial" w:cs="Arial"/>
          <w:sz w:val="22"/>
          <w:szCs w:val="22"/>
        </w:rPr>
      </w:pPr>
      <w:r>
        <w:rPr>
          <w:rFonts w:cs="Arial" w:ascii="Arial" w:hAnsi="Arial"/>
          <w:b/>
          <w:sz w:val="22"/>
          <w:szCs w:val="22"/>
        </w:rPr>
        <w:t>EDITAL Nº 139/2024</w:t>
      </w:r>
    </w:p>
    <w:p>
      <w:pPr>
        <w:pStyle w:val="Normal"/>
        <w:spacing w:lineRule="auto" w:line="360"/>
        <w:ind w:firstLine="567"/>
        <w:jc w:val="center"/>
        <w:rPr>
          <w:rFonts w:ascii="Arial" w:hAnsi="Arial" w:cs="Arial"/>
          <w:b/>
          <w:sz w:val="22"/>
          <w:szCs w:val="22"/>
        </w:rPr>
      </w:pPr>
      <w:r>
        <w:rPr>
          <w:rFonts w:cs="Arial" w:ascii="Arial" w:hAnsi="Arial"/>
          <w:b/>
          <w:sz w:val="22"/>
          <w:szCs w:val="22"/>
        </w:rPr>
      </w:r>
    </w:p>
    <w:p>
      <w:pPr>
        <w:pStyle w:val="Normal"/>
        <w:spacing w:lineRule="auto" w:line="360"/>
        <w:jc w:val="both"/>
        <w:rPr>
          <w:rFonts w:ascii="Arial" w:hAnsi="Arial" w:cs="Arial"/>
          <w:b/>
          <w:sz w:val="22"/>
          <w:szCs w:val="22"/>
        </w:rPr>
      </w:pPr>
      <w:r>
        <w:rPr>
          <w:rFonts w:cs="Arial" w:ascii="Arial" w:hAnsi="Arial"/>
          <w:b/>
          <w:sz w:val="22"/>
          <w:szCs w:val="22"/>
        </w:rPr>
      </w:r>
    </w:p>
    <w:p>
      <w:pPr>
        <w:pStyle w:val="Normal"/>
        <w:snapToGrid w:val="false"/>
        <w:spacing w:lineRule="auto" w:line="360"/>
        <w:jc w:val="both"/>
        <w:rPr>
          <w:rFonts w:ascii="Arial" w:hAnsi="Arial" w:cs="Arial"/>
          <w:sz w:val="22"/>
          <w:szCs w:val="22"/>
        </w:rPr>
      </w:pPr>
      <w:r>
        <w:rPr>
          <w:rFonts w:cs="Arial" w:ascii="Arial" w:hAnsi="Arial"/>
          <w:sz w:val="22"/>
          <w:szCs w:val="22"/>
        </w:rPr>
        <w:t xml:space="preserve">Torna-se público que a </w:t>
      </w:r>
      <w:r>
        <w:rPr>
          <w:rFonts w:cs="Arial" w:ascii="Arial" w:hAnsi="Arial"/>
          <w:b/>
          <w:sz w:val="22"/>
          <w:szCs w:val="22"/>
        </w:rPr>
        <w:t>PREFEITURA DO MUNICÍPIO DE ITATIBA</w:t>
      </w:r>
      <w:r>
        <w:rPr>
          <w:rFonts w:cs="Arial" w:ascii="Arial" w:hAnsi="Arial"/>
          <w:sz w:val="22"/>
          <w:szCs w:val="22"/>
        </w:rPr>
        <w:t xml:space="preserve">, por meio da </w:t>
      </w:r>
      <w:r>
        <w:rPr>
          <w:rFonts w:cs="Arial" w:ascii="Arial" w:hAnsi="Arial"/>
          <w:b/>
          <w:bCs/>
          <w:sz w:val="22"/>
          <w:szCs w:val="22"/>
        </w:rPr>
        <w:t>SECRETARIA DE ADMINISTRAÇÃO, SECRETARIA DA EDUCAÇÃO, SECRETARIA DE OBRAS E SERVIÇOS PÚBLICOS E SECRETARIA DA SAÚDE,</w:t>
      </w:r>
      <w:r>
        <w:rPr>
          <w:rFonts w:cs="Arial" w:ascii="Arial" w:hAnsi="Arial"/>
          <w:sz w:val="22"/>
          <w:szCs w:val="22"/>
        </w:rPr>
        <w:t xml:space="preserve"> sediada à Avenida Luciano Consoline, nº 600, Jardim de Luca, Itatiba/SP, realizará licitação, na modalidade PREGÃO, na forma ELETRÔNICA, nos termos da </w:t>
      </w:r>
      <w:hyperlink r:id="rId2">
        <w:r>
          <w:rPr>
            <w:rFonts w:cs="Arial" w:ascii="Arial" w:hAnsi="Arial"/>
            <w:sz w:val="22"/>
            <w:szCs w:val="22"/>
          </w:rPr>
          <w:t>Lei nº 14.133, de 2021</w:t>
        </w:r>
      </w:hyperlink>
      <w:r>
        <w:rPr>
          <w:rFonts w:cs="Arial" w:ascii="Arial" w:hAnsi="Arial"/>
          <w:sz w:val="22"/>
          <w:szCs w:val="22"/>
        </w:rPr>
        <w:t>, e demais legislação aplicável e, ainda, de acordo com as condições estabelecidas neste Edital.</w:t>
      </w:r>
    </w:p>
    <w:p>
      <w:pPr>
        <w:pStyle w:val="Normal"/>
        <w:snapToGrid w:val="false"/>
        <w:spacing w:lineRule="auto" w:line="360"/>
        <w:jc w:val="both"/>
        <w:rPr>
          <w:rFonts w:ascii="Arial" w:hAnsi="Arial" w:cs="Arial"/>
          <w:sz w:val="22"/>
          <w:szCs w:val="22"/>
        </w:rPr>
      </w:pPr>
      <w:r>
        <w:rPr>
          <w:rFonts w:cs="Arial" w:ascii="Arial" w:hAnsi="Arial"/>
          <w:sz w:val="22"/>
          <w:szCs w:val="22"/>
        </w:rPr>
      </w:r>
    </w:p>
    <w:p>
      <w:pPr>
        <w:pStyle w:val="Nivel01"/>
        <w:numPr>
          <w:ilvl w:val="0"/>
          <w:numId w:val="2"/>
        </w:numPr>
        <w:spacing w:lineRule="auto" w:line="360" w:before="0" w:after="0"/>
        <w:ind w:left="0" w:hanging="0"/>
        <w:rPr>
          <w:sz w:val="22"/>
          <w:szCs w:val="22"/>
          <w:lang w:eastAsia="en-US"/>
        </w:rPr>
      </w:pPr>
      <w:bookmarkStart w:id="3" w:name="_Toc122606103"/>
      <w:r>
        <w:rPr>
          <w:sz w:val="22"/>
          <w:szCs w:val="22"/>
          <w:lang w:eastAsia="en-US"/>
        </w:rPr>
        <w:t>DO OBJETO</w:t>
      </w:r>
      <w:bookmarkEnd w:id="3"/>
    </w:p>
    <w:p>
      <w:pPr>
        <w:pStyle w:val="Nivel2"/>
        <w:numPr>
          <w:ilvl w:val="1"/>
          <w:numId w:val="2"/>
        </w:numPr>
        <w:spacing w:lineRule="auto" w:line="360" w:before="0" w:after="0"/>
        <w:ind w:left="0" w:hanging="0"/>
        <w:rPr>
          <w:color w:val="auto"/>
          <w:sz w:val="22"/>
          <w:szCs w:val="22"/>
        </w:rPr>
      </w:pPr>
      <w:r>
        <w:rPr>
          <w:b/>
          <w:bCs/>
          <w:color w:val="auto"/>
          <w:sz w:val="22"/>
          <w:szCs w:val="22"/>
        </w:rPr>
        <w:t>O objeto da presente licitação é a contratação de serviços continuado de manutenção dos veículos que compõe a frota da Prefeitura Municipal de Itatiba, com fornecimento de peças de reposição e acessórios novos, originais ou similares de primeira linha, pelo período de 24 (vinte e quatro) meses</w:t>
      </w:r>
      <w:r>
        <w:rPr>
          <w:rStyle w:val="Fontepargpadro15"/>
          <w:b/>
          <w:bCs/>
          <w:color w:val="auto"/>
          <w:sz w:val="22"/>
          <w:szCs w:val="22"/>
        </w:rPr>
        <w:t>,</w:t>
      </w:r>
      <w:r>
        <w:rPr>
          <w:rStyle w:val="Fontepargpadro15"/>
          <w:color w:val="auto"/>
          <w:sz w:val="22"/>
          <w:szCs w:val="22"/>
        </w:rPr>
        <w:t xml:space="preserve"> em regime de empreitada por preço unitário, </w:t>
      </w:r>
      <w:r>
        <w:rPr>
          <w:color w:val="auto"/>
          <w:sz w:val="22"/>
          <w:szCs w:val="22"/>
        </w:rPr>
        <w:t>conforme condições, quantidades e exigências estabelecidas neste Edital e seus anexos.</w:t>
      </w:r>
    </w:p>
    <w:p>
      <w:pPr>
        <w:pStyle w:val="Nivel2"/>
        <w:numPr>
          <w:ilvl w:val="1"/>
          <w:numId w:val="9"/>
        </w:numPr>
        <w:spacing w:lineRule="auto" w:line="360" w:before="0" w:after="0"/>
        <w:rPr>
          <w:color w:val="auto"/>
          <w:sz w:val="22"/>
          <w:szCs w:val="22"/>
        </w:rPr>
      </w:pPr>
      <w:r>
        <w:rPr>
          <w:color w:val="auto"/>
          <w:sz w:val="22"/>
          <w:szCs w:val="22"/>
        </w:rPr>
        <w:t>- A licitação será do tipo MENOR PREÇO GLOBAL POR LOTE.</w:t>
      </w:r>
    </w:p>
    <w:p>
      <w:pPr>
        <w:pStyle w:val="Nivel2"/>
        <w:numPr>
          <w:ilvl w:val="1"/>
          <w:numId w:val="9"/>
        </w:numPr>
        <w:spacing w:lineRule="auto" w:line="360" w:before="0" w:after="0"/>
        <w:rPr>
          <w:color w:val="auto"/>
          <w:sz w:val="22"/>
          <w:szCs w:val="22"/>
        </w:rPr>
      </w:pPr>
      <w:r>
        <w:rPr>
          <w:color w:val="auto"/>
          <w:sz w:val="22"/>
          <w:szCs w:val="22"/>
        </w:rPr>
        <w:t>- O objeto desta licitação será subsidiado com Recursos Próprios da Administração.</w:t>
      </w:r>
    </w:p>
    <w:p>
      <w:pPr>
        <w:pStyle w:val="Nivel2"/>
        <w:numPr>
          <w:ilvl w:val="0"/>
          <w:numId w:val="0"/>
        </w:numPr>
        <w:spacing w:lineRule="auto" w:line="360" w:before="0" w:after="0"/>
        <w:ind w:left="709" w:hanging="0"/>
        <w:rPr>
          <w:color w:val="auto"/>
          <w:sz w:val="22"/>
          <w:szCs w:val="22"/>
        </w:rPr>
      </w:pPr>
      <w:r>
        <w:rPr>
          <w:color w:val="auto"/>
          <w:sz w:val="22"/>
          <w:szCs w:val="22"/>
        </w:rPr>
      </w:r>
    </w:p>
    <w:p>
      <w:pPr>
        <w:pStyle w:val="Nivel01"/>
        <w:numPr>
          <w:ilvl w:val="0"/>
          <w:numId w:val="2"/>
        </w:numPr>
        <w:spacing w:lineRule="auto" w:line="360" w:before="0" w:after="0"/>
        <w:ind w:left="0" w:hanging="0"/>
        <w:rPr>
          <w:sz w:val="22"/>
          <w:szCs w:val="22"/>
        </w:rPr>
      </w:pPr>
      <w:bookmarkStart w:id="4" w:name="_Toc122606104"/>
      <w:r>
        <w:rPr>
          <w:sz w:val="22"/>
          <w:szCs w:val="22"/>
        </w:rPr>
        <w:t>DA PARTICIPAÇÃO NA LICITAÇÃO</w:t>
      </w:r>
      <w:bookmarkEnd w:id="4"/>
    </w:p>
    <w:p>
      <w:pPr>
        <w:pStyle w:val="Nivel2"/>
        <w:numPr>
          <w:ilvl w:val="1"/>
          <w:numId w:val="2"/>
        </w:numPr>
        <w:spacing w:lineRule="auto" w:line="360" w:before="0" w:after="0"/>
        <w:ind w:left="0" w:hanging="0"/>
        <w:rPr>
          <w:color w:val="auto"/>
          <w:sz w:val="22"/>
          <w:szCs w:val="22"/>
        </w:rPr>
      </w:pPr>
      <w:r>
        <w:rPr>
          <w:color w:val="auto"/>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pPr>
        <w:pStyle w:val="Nivel2"/>
        <w:numPr>
          <w:ilvl w:val="1"/>
          <w:numId w:val="2"/>
        </w:numPr>
        <w:spacing w:lineRule="auto" w:line="360" w:before="0" w:after="0"/>
        <w:ind w:left="0" w:hanging="0"/>
        <w:rPr>
          <w:color w:val="auto"/>
          <w:sz w:val="22"/>
          <w:szCs w:val="22"/>
        </w:rPr>
      </w:pPr>
      <w:r>
        <w:rPr>
          <w:b/>
          <w:bCs/>
          <w:color w:val="auto"/>
          <w:sz w:val="22"/>
          <w:szCs w:val="22"/>
        </w:rPr>
        <w:t xml:space="preserve">O licitante deverá promover a sua inscrição e credenciamento para participar do pregão, diretamente no site da Bolsa Brasileira de Mercadorias, até o horário fixado no edital para inscrição e cadastramento. </w:t>
      </w:r>
    </w:p>
    <w:p>
      <w:pPr>
        <w:pStyle w:val="Nivel2"/>
        <w:numPr>
          <w:ilvl w:val="1"/>
          <w:numId w:val="2"/>
        </w:numPr>
        <w:spacing w:lineRule="auto" w:line="360" w:before="0" w:after="0"/>
        <w:ind w:left="0" w:hanging="0"/>
        <w:rPr>
          <w:color w:val="auto"/>
          <w:sz w:val="22"/>
          <w:szCs w:val="22"/>
        </w:rPr>
      </w:pPr>
      <w:r>
        <w:rPr>
          <w:color w:val="auto"/>
          <w:sz w:val="22"/>
          <w:szCs w:val="22"/>
        </w:rPr>
        <w:t xml:space="preserve">A participação no pregão está condicionada obrigatoriamente a inscrição e credenciamento do licitante, até o limite de horário previsto no edital. </w:t>
      </w:r>
    </w:p>
    <w:p>
      <w:pPr>
        <w:pStyle w:val="Nivel2"/>
        <w:numPr>
          <w:ilvl w:val="1"/>
          <w:numId w:val="2"/>
        </w:numPr>
        <w:spacing w:lineRule="auto" w:line="360" w:before="0" w:after="0"/>
        <w:ind w:left="0" w:hanging="0"/>
        <w:rPr>
          <w:b/>
          <w:bCs/>
          <w:color w:val="auto"/>
          <w:sz w:val="22"/>
          <w:szCs w:val="22"/>
        </w:rPr>
      </w:pPr>
      <w:r>
        <w:rPr>
          <w:color w:val="auto"/>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pPr>
        <w:pStyle w:val="Nivel2"/>
        <w:numPr>
          <w:ilvl w:val="1"/>
          <w:numId w:val="2"/>
        </w:numPr>
        <w:spacing w:lineRule="auto" w:line="360" w:before="0" w:after="0"/>
        <w:ind w:left="0" w:hanging="0"/>
        <w:rPr>
          <w:color w:val="auto"/>
          <w:sz w:val="22"/>
          <w:szCs w:val="22"/>
        </w:rPr>
      </w:pPr>
      <w:r>
        <w:rPr>
          <w:color w:val="auto"/>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Nivel2"/>
        <w:numPr>
          <w:ilvl w:val="1"/>
          <w:numId w:val="2"/>
        </w:numPr>
        <w:spacing w:lineRule="auto" w:line="360" w:before="0" w:after="0"/>
        <w:ind w:left="0" w:hanging="0"/>
        <w:rPr>
          <w:rFonts w:eastAsia="Times New Roman"/>
          <w:color w:val="auto"/>
          <w:sz w:val="22"/>
          <w:szCs w:val="22"/>
        </w:rPr>
      </w:pPr>
      <w:bookmarkStart w:id="5" w:name="_Ref117000692"/>
      <w:r>
        <w:rPr>
          <w:rFonts w:eastAsia="Times New Roman"/>
          <w:color w:val="auto"/>
          <w:sz w:val="22"/>
          <w:szCs w:val="22"/>
        </w:rPr>
        <w:t>Não poderão disputar esta licitação:</w:t>
      </w:r>
      <w:bookmarkEnd w:id="5"/>
    </w:p>
    <w:p>
      <w:pPr>
        <w:pStyle w:val="Normal"/>
        <w:numPr>
          <w:ilvl w:val="2"/>
          <w:numId w:val="2"/>
        </w:numPr>
        <w:tabs>
          <w:tab w:val="clear" w:pos="709"/>
          <w:tab w:val="left" w:pos="426" w:leader="none"/>
          <w:tab w:val="left" w:pos="1440" w:leader="none"/>
        </w:tabs>
        <w:suppressAutoHyphens w:val="false"/>
        <w:snapToGrid w:val="false"/>
        <w:spacing w:lineRule="auto" w:line="360"/>
        <w:ind w:left="567" w:hanging="0"/>
        <w:jc w:val="both"/>
        <w:rPr>
          <w:rFonts w:ascii="Arial" w:hAnsi="Arial" w:cs="Arial"/>
          <w:sz w:val="22"/>
          <w:szCs w:val="22"/>
        </w:rPr>
      </w:pPr>
      <w:r>
        <w:rPr>
          <w:rFonts w:cs="Arial" w:ascii="Arial" w:hAnsi="Arial"/>
          <w:sz w:val="22"/>
          <w:szCs w:val="22"/>
        </w:rPr>
        <w:t>aquele que não atenda às condições deste Edital e seu(s) anexo(s);</w:t>
      </w:r>
    </w:p>
    <w:p>
      <w:pPr>
        <w:pStyle w:val="Nivel3"/>
        <w:numPr>
          <w:ilvl w:val="2"/>
          <w:numId w:val="2"/>
        </w:numPr>
        <w:tabs>
          <w:tab w:val="clear" w:pos="709"/>
          <w:tab w:val="left" w:pos="426" w:leader="none"/>
        </w:tabs>
        <w:spacing w:lineRule="auto" w:line="360" w:before="0" w:after="0"/>
        <w:ind w:left="567" w:hanging="504"/>
        <w:rPr>
          <w:color w:val="auto"/>
          <w:sz w:val="22"/>
          <w:szCs w:val="22"/>
        </w:rPr>
      </w:pPr>
      <w:bookmarkStart w:id="6" w:name="_Ref113883003"/>
      <w:bookmarkStart w:id="7" w:name="_Ref113883338"/>
      <w:bookmarkEnd w:id="7"/>
      <w:r>
        <w:rPr>
          <w:color w:val="auto"/>
          <w:sz w:val="22"/>
          <w:szCs w:val="22"/>
        </w:rPr>
        <w:t>pessoa física ou jurídica que se encontre, ao tempo da licitação, impossibilitada de participar da licitação em decorrência de sanção que lhe foi imposta;</w:t>
      </w:r>
      <w:bookmarkEnd w:id="6"/>
    </w:p>
    <w:p>
      <w:pPr>
        <w:pStyle w:val="Nivel3"/>
        <w:numPr>
          <w:ilvl w:val="2"/>
          <w:numId w:val="2"/>
        </w:numPr>
        <w:tabs>
          <w:tab w:val="clear" w:pos="709"/>
          <w:tab w:val="left" w:pos="426" w:leader="none"/>
        </w:tabs>
        <w:spacing w:lineRule="auto" w:line="360" w:before="0" w:after="0"/>
        <w:ind w:left="567" w:hanging="504"/>
        <w:rPr>
          <w:color w:val="auto"/>
          <w:sz w:val="22"/>
          <w:szCs w:val="22"/>
        </w:rPr>
      </w:pPr>
      <w:r>
        <w:rPr>
          <w:color w:val="auto"/>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ivel3"/>
        <w:numPr>
          <w:ilvl w:val="2"/>
          <w:numId w:val="2"/>
        </w:numPr>
        <w:tabs>
          <w:tab w:val="clear" w:pos="709"/>
          <w:tab w:val="left" w:pos="426" w:leader="none"/>
        </w:tabs>
        <w:spacing w:lineRule="auto" w:line="360" w:before="0" w:after="0"/>
        <w:ind w:left="567" w:hanging="504"/>
        <w:rPr>
          <w:color w:val="auto"/>
          <w:sz w:val="22"/>
          <w:szCs w:val="22"/>
        </w:rPr>
      </w:pPr>
      <w:bookmarkStart w:id="8" w:name="_Ref113883579"/>
      <w:r>
        <w:rPr>
          <w:color w:val="auto"/>
          <w:sz w:val="22"/>
          <w:szCs w:val="22"/>
        </w:rPr>
        <w:t>empresas controladoras, controladas ou coligadas, nos termos da Lei nº 6.404, de 15 de dezembro de 1976, concorrendo entre si;</w:t>
      </w:r>
      <w:bookmarkEnd w:id="8"/>
    </w:p>
    <w:p>
      <w:pPr>
        <w:pStyle w:val="Nivel3"/>
        <w:numPr>
          <w:ilvl w:val="2"/>
          <w:numId w:val="2"/>
        </w:numPr>
        <w:tabs>
          <w:tab w:val="clear" w:pos="709"/>
          <w:tab w:val="left" w:pos="426" w:leader="none"/>
        </w:tabs>
        <w:spacing w:lineRule="auto" w:line="360" w:before="0" w:after="0"/>
        <w:ind w:left="567" w:hanging="504"/>
        <w:rPr>
          <w:color w:val="auto"/>
          <w:sz w:val="22"/>
          <w:szCs w:val="22"/>
        </w:rPr>
      </w:pPr>
      <w:r>
        <w:rPr>
          <w:color w:val="auto"/>
          <w:sz w:val="22"/>
          <w:szCs w:val="22"/>
        </w:rPr>
        <w:t>empresas em consórcio;</w:t>
      </w:r>
    </w:p>
    <w:p>
      <w:pPr>
        <w:pStyle w:val="Nivel3"/>
        <w:numPr>
          <w:ilvl w:val="2"/>
          <w:numId w:val="2"/>
        </w:numPr>
        <w:tabs>
          <w:tab w:val="clear" w:pos="709"/>
          <w:tab w:val="left" w:pos="426" w:leader="none"/>
        </w:tabs>
        <w:spacing w:lineRule="auto" w:line="360" w:before="0" w:after="0"/>
        <w:ind w:left="567" w:hanging="504"/>
        <w:rPr>
          <w:color w:val="auto"/>
          <w:sz w:val="22"/>
          <w:szCs w:val="22"/>
        </w:rPr>
      </w:pPr>
      <w:r>
        <w:rPr>
          <w:color w:val="auto"/>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ivel3"/>
        <w:numPr>
          <w:ilvl w:val="2"/>
          <w:numId w:val="2"/>
        </w:numPr>
        <w:tabs>
          <w:tab w:val="clear" w:pos="709"/>
          <w:tab w:val="left" w:pos="426" w:leader="none"/>
        </w:tabs>
        <w:spacing w:lineRule="auto" w:line="360" w:before="0" w:after="0"/>
        <w:ind w:left="567" w:hanging="504"/>
        <w:rPr>
          <w:color w:val="auto"/>
          <w:sz w:val="22"/>
          <w:szCs w:val="22"/>
        </w:rPr>
      </w:pPr>
      <w:bookmarkStart w:id="9" w:name="_Ref113962336"/>
      <w:r>
        <w:rPr>
          <w:color w:val="auto"/>
          <w:sz w:val="22"/>
          <w:szCs w:val="22"/>
        </w:rPr>
        <w:t>agente público do órgão ou entidade licitante;</w:t>
      </w:r>
      <w:bookmarkEnd w:id="9"/>
    </w:p>
    <w:p>
      <w:pPr>
        <w:pStyle w:val="Normal"/>
        <w:numPr>
          <w:ilvl w:val="2"/>
          <w:numId w:val="2"/>
        </w:numPr>
        <w:tabs>
          <w:tab w:val="clear" w:pos="709"/>
          <w:tab w:val="left" w:pos="426" w:leader="none"/>
          <w:tab w:val="left" w:pos="1440" w:leader="none"/>
        </w:tabs>
        <w:suppressAutoHyphens w:val="false"/>
        <w:snapToGrid w:val="false"/>
        <w:spacing w:lineRule="auto" w:line="360"/>
        <w:ind w:left="567" w:hanging="0"/>
        <w:jc w:val="both"/>
        <w:rPr>
          <w:rFonts w:ascii="Arial" w:hAnsi="Arial" w:cs="Arial"/>
          <w:sz w:val="22"/>
          <w:szCs w:val="22"/>
        </w:rPr>
      </w:pPr>
      <w:r>
        <w:rPr>
          <w:rFonts w:cs="Arial" w:ascii="Arial" w:hAnsi="Arial"/>
          <w:sz w:val="22"/>
          <w:szCs w:val="22"/>
        </w:rPr>
        <w:t>Organizações da Sociedade Civil de Interesse Público - OSCIP, atuando nessa condição;</w:t>
      </w:r>
    </w:p>
    <w:p>
      <w:pPr>
        <w:pStyle w:val="Nivel3"/>
        <w:numPr>
          <w:ilvl w:val="2"/>
          <w:numId w:val="2"/>
        </w:numPr>
        <w:tabs>
          <w:tab w:val="clear" w:pos="709"/>
          <w:tab w:val="left" w:pos="426" w:leader="none"/>
        </w:tabs>
        <w:spacing w:lineRule="auto" w:line="360" w:before="0" w:after="0"/>
        <w:ind w:left="567" w:hanging="504"/>
        <w:rPr>
          <w:color w:val="auto"/>
          <w:sz w:val="22"/>
          <w:szCs w:val="22"/>
        </w:rPr>
      </w:pPr>
      <w:r>
        <w:rPr>
          <w:color w:val="auto"/>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LinkdaInternet"/>
          <w:sz w:val="22"/>
          <w:szCs w:val="22"/>
          <w:color w:val="auto"/>
        </w:rPr>
        <w:instrText xml:space="preserve"> HYPERLINK "http://www.planalto.gov.br/ccivil_03/_ato2019-2022/2021/lei/L14133.htm" \l "art9§1"</w:instrText>
      </w:r>
      <w:r>
        <w:rPr>
          <w:rStyle w:val="LinkdaInternet"/>
          <w:sz w:val="22"/>
          <w:szCs w:val="22"/>
          <w:color w:val="auto"/>
        </w:rPr>
        <w:fldChar w:fldCharType="separate"/>
      </w:r>
      <w:r>
        <w:rPr>
          <w:rStyle w:val="LinkdaInternet"/>
          <w:color w:val="auto"/>
          <w:sz w:val="22"/>
          <w:szCs w:val="22"/>
        </w:rPr>
        <w:t>§ 1º do art. 9º da Lei n.º 14.133, de 2021</w:t>
      </w:r>
      <w:r>
        <w:rPr>
          <w:rStyle w:val="LinkdaInternet"/>
          <w:sz w:val="22"/>
          <w:szCs w:val="22"/>
          <w:color w:val="auto"/>
        </w:rPr>
        <w:fldChar w:fldCharType="end"/>
      </w:r>
      <w:r>
        <w:rPr>
          <w:color w:val="auto"/>
          <w:sz w:val="22"/>
          <w:szCs w:val="22"/>
        </w:rPr>
        <w:t>.</w:t>
      </w:r>
    </w:p>
    <w:p>
      <w:pPr>
        <w:pStyle w:val="Nivel2"/>
        <w:numPr>
          <w:ilvl w:val="1"/>
          <w:numId w:val="2"/>
        </w:numPr>
        <w:spacing w:lineRule="auto" w:line="360" w:before="0" w:after="0"/>
        <w:ind w:left="0" w:hanging="0"/>
        <w:rPr>
          <w:color w:val="auto"/>
          <w:sz w:val="22"/>
          <w:szCs w:val="22"/>
        </w:rPr>
      </w:pPr>
      <w:r>
        <w:rPr>
          <w:color w:val="auto"/>
          <w:sz w:val="22"/>
          <w:szCs w:val="22"/>
        </w:rPr>
        <w:t xml:space="preserve">O impedimento de que trata o item </w:t>
      </w:r>
      <w:r>
        <w:rPr>
          <w:color w:val="auto"/>
          <w:sz w:val="22"/>
          <w:szCs w:val="22"/>
        </w:rPr>
        <w:fldChar w:fldCharType="begin"/>
      </w:r>
      <w:r>
        <w:rPr>
          <w:sz w:val="22"/>
          <w:szCs w:val="22"/>
          <w:color w:val="auto"/>
        </w:rPr>
        <w:instrText xml:space="preserve"> REF _Ref113883003 \r \h </w:instrText>
      </w:r>
      <w:r>
        <w:rPr>
          <w:sz w:val="22"/>
          <w:szCs w:val="22"/>
          <w:color w:val="auto"/>
        </w:rPr>
        <w:fldChar w:fldCharType="separate"/>
      </w:r>
      <w:r>
        <w:rPr>
          <w:sz w:val="22"/>
          <w:szCs w:val="22"/>
          <w:color w:val="auto"/>
        </w:rPr>
        <w:t>2.6.2</w:t>
      </w:r>
      <w:r>
        <w:rPr>
          <w:sz w:val="22"/>
          <w:szCs w:val="22"/>
          <w:color w:val="auto"/>
        </w:rPr>
        <w:fldChar w:fldCharType="end"/>
      </w:r>
      <w:r>
        <w:rPr>
          <w:color w:val="auto"/>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ivel2"/>
        <w:numPr>
          <w:ilvl w:val="0"/>
          <w:numId w:val="0"/>
        </w:numPr>
        <w:spacing w:lineRule="auto" w:line="360" w:before="0" w:after="0"/>
        <w:ind w:left="567" w:hanging="0"/>
        <w:rPr>
          <w:color w:val="auto"/>
          <w:sz w:val="22"/>
          <w:szCs w:val="22"/>
        </w:rPr>
      </w:pPr>
      <w:r>
        <w:rPr>
          <w:color w:val="auto"/>
          <w:sz w:val="22"/>
          <w:szCs w:val="22"/>
        </w:rPr>
      </w:r>
    </w:p>
    <w:p>
      <w:pPr>
        <w:pStyle w:val="Nivel01"/>
        <w:numPr>
          <w:ilvl w:val="0"/>
          <w:numId w:val="2"/>
        </w:numPr>
        <w:spacing w:lineRule="auto" w:line="360" w:before="0" w:after="0"/>
        <w:ind w:left="0" w:hanging="0"/>
        <w:rPr>
          <w:sz w:val="22"/>
          <w:szCs w:val="22"/>
        </w:rPr>
      </w:pPr>
      <w:bookmarkStart w:id="10" w:name="_Toc122606105"/>
      <w:bookmarkStart w:id="11" w:name="art14§2"/>
      <w:bookmarkEnd w:id="11"/>
      <w:r>
        <w:rPr>
          <w:sz w:val="22"/>
          <w:szCs w:val="22"/>
        </w:rPr>
        <w:t>DA APRESENTAÇÃO DA PROPOSTA E DOS DOCUMENTOS DE HABILITAÇÃO</w:t>
      </w:r>
      <w:bookmarkEnd w:id="10"/>
    </w:p>
    <w:p>
      <w:pPr>
        <w:pStyle w:val="Nivel2"/>
        <w:numPr>
          <w:ilvl w:val="1"/>
          <w:numId w:val="2"/>
        </w:numPr>
        <w:spacing w:lineRule="auto" w:line="360" w:before="0" w:after="0"/>
        <w:ind w:left="0" w:hanging="0"/>
        <w:rPr>
          <w:color w:val="auto"/>
          <w:sz w:val="22"/>
          <w:szCs w:val="22"/>
        </w:rPr>
      </w:pPr>
      <w:r>
        <w:rPr>
          <w:color w:val="auto"/>
          <w:sz w:val="22"/>
          <w:szCs w:val="22"/>
        </w:rPr>
        <w:t>Na presente licitação, a fase de habilitação sucederá as fases de apresentação de propostas, lances e julgamento.</w:t>
      </w:r>
    </w:p>
    <w:p>
      <w:pPr>
        <w:pStyle w:val="Nivel2"/>
        <w:numPr>
          <w:ilvl w:val="1"/>
          <w:numId w:val="2"/>
        </w:numPr>
        <w:spacing w:lineRule="auto" w:line="360" w:before="0" w:after="0"/>
        <w:ind w:left="0" w:hanging="0"/>
        <w:rPr>
          <w:color w:val="auto"/>
          <w:sz w:val="22"/>
          <w:szCs w:val="22"/>
        </w:rPr>
      </w:pPr>
      <w:r>
        <w:rPr>
          <w:color w:val="auto"/>
          <w:sz w:val="22"/>
          <w:szCs w:val="22"/>
        </w:rPr>
        <w:t xml:space="preserve">Os procedimentos para credenciamento e obtenção da chave e senha de acesso poderão ser iniciados diretamente no site de licitações no endereço eletrônico </w:t>
      </w:r>
      <w:r>
        <w:rPr>
          <w:rStyle w:val="LinkdaInternet"/>
          <w:color w:val="auto"/>
          <w:sz w:val="22"/>
          <w:szCs w:val="22"/>
        </w:rPr>
        <w:t>www.novobbmnet.com.br</w:t>
      </w:r>
      <w:r>
        <w:rPr>
          <w:color w:val="auto"/>
          <w:sz w:val="22"/>
          <w:szCs w:val="22"/>
        </w:rPr>
        <w:t xml:space="preserve">, acesso “credenciamento – licitantes (fornecedores)”. </w:t>
      </w:r>
    </w:p>
    <w:p>
      <w:pPr>
        <w:pStyle w:val="Nivel2"/>
        <w:numPr>
          <w:ilvl w:val="1"/>
          <w:numId w:val="2"/>
        </w:numPr>
        <w:spacing w:lineRule="auto" w:line="360" w:before="0" w:after="0"/>
        <w:ind w:left="0" w:hanging="0"/>
        <w:rPr>
          <w:color w:val="auto"/>
          <w:sz w:val="22"/>
          <w:szCs w:val="22"/>
        </w:rPr>
      </w:pPr>
      <w:r>
        <w:rPr>
          <w:color w:val="auto"/>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3">
        <w:r>
          <w:rPr>
            <w:rStyle w:val="LinkdaInternet"/>
            <w:color w:val="auto"/>
            <w:sz w:val="22"/>
            <w:szCs w:val="22"/>
          </w:rPr>
          <w:t>www.novobbmnet.com.br</w:t>
        </w:r>
      </w:hyperlink>
      <w:r>
        <w:rPr>
          <w:color w:val="auto"/>
          <w:sz w:val="22"/>
          <w:szCs w:val="22"/>
        </w:rPr>
        <w:t>.</w:t>
      </w:r>
    </w:p>
    <w:p>
      <w:pPr>
        <w:pStyle w:val="Nivel2"/>
        <w:numPr>
          <w:ilvl w:val="1"/>
          <w:numId w:val="2"/>
        </w:numPr>
        <w:spacing w:lineRule="auto" w:line="360" w:before="0" w:after="0"/>
        <w:ind w:left="0" w:hanging="0"/>
        <w:rPr>
          <w:color w:val="auto"/>
          <w:sz w:val="22"/>
          <w:szCs w:val="22"/>
        </w:rPr>
      </w:pPr>
      <w:r>
        <w:rPr>
          <w:color w:val="auto"/>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4">
        <w:r>
          <w:rPr>
            <w:rStyle w:val="LinkdaInternet"/>
            <w:color w:val="auto"/>
            <w:sz w:val="22"/>
            <w:szCs w:val="22"/>
          </w:rPr>
          <w:t>www.novobbmnet.com.br</w:t>
        </w:r>
      </w:hyperlink>
      <w:r>
        <w:rPr>
          <w:color w:val="auto"/>
          <w:sz w:val="22"/>
          <w:szCs w:val="22"/>
        </w:rPr>
        <w:t>.</w:t>
      </w:r>
    </w:p>
    <w:p>
      <w:pPr>
        <w:pStyle w:val="Nivel2"/>
        <w:numPr>
          <w:ilvl w:val="1"/>
          <w:numId w:val="2"/>
        </w:numPr>
        <w:spacing w:lineRule="auto" w:line="360" w:before="0" w:after="0"/>
        <w:ind w:left="0" w:hanging="0"/>
        <w:rPr>
          <w:color w:val="auto"/>
          <w:sz w:val="22"/>
          <w:szCs w:val="22"/>
        </w:rPr>
      </w:pPr>
      <w:r>
        <w:rPr>
          <w:color w:val="auto"/>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5">
        <w:r>
          <w:rPr>
            <w:rStyle w:val="LinkdaInternet"/>
            <w:color w:val="auto"/>
            <w:sz w:val="22"/>
            <w:szCs w:val="22"/>
          </w:rPr>
          <w:t>www.novobbmnet.com.br</w:t>
        </w:r>
      </w:hyperlink>
      <w:r>
        <w:rPr>
          <w:color w:val="auto"/>
          <w:sz w:val="22"/>
          <w:szCs w:val="22"/>
        </w:rPr>
        <w:t>, opção “Login” opção “Licitação Pública” “Sala de Negociação”.</w:t>
      </w:r>
    </w:p>
    <w:p>
      <w:pPr>
        <w:pStyle w:val="Nivel2"/>
        <w:numPr>
          <w:ilvl w:val="1"/>
          <w:numId w:val="2"/>
        </w:numPr>
        <w:spacing w:lineRule="auto" w:line="360" w:before="0" w:after="0"/>
        <w:ind w:left="0" w:hanging="0"/>
        <w:rPr>
          <w:color w:val="auto"/>
          <w:sz w:val="22"/>
          <w:szCs w:val="22"/>
        </w:rPr>
      </w:pPr>
      <w:bookmarkStart w:id="12" w:name="_Ref113886867"/>
      <w:r>
        <w:rPr>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2"/>
    </w:p>
    <w:p>
      <w:pPr>
        <w:pStyle w:val="Nivel2"/>
        <w:numPr>
          <w:ilvl w:val="1"/>
          <w:numId w:val="2"/>
        </w:numPr>
        <w:spacing w:lineRule="auto" w:line="360" w:before="0" w:after="0"/>
        <w:ind w:left="0" w:hanging="0"/>
        <w:rPr>
          <w:color w:val="auto"/>
          <w:sz w:val="22"/>
          <w:szCs w:val="22"/>
        </w:rPr>
      </w:pPr>
      <w:bookmarkStart w:id="13" w:name="_Ref113968921"/>
      <w:r>
        <w:rPr>
          <w:rFonts w:eastAsia="Times New Roman"/>
          <w:color w:val="auto"/>
          <w:sz w:val="22"/>
          <w:szCs w:val="22"/>
        </w:rPr>
        <w:t>No cadastramento da proposta inicial, o licitante declarará, em campo próprio do sistema, que:</w:t>
      </w:r>
      <w:bookmarkEnd w:id="13"/>
    </w:p>
    <w:p>
      <w:pPr>
        <w:pStyle w:val="Nivel3"/>
        <w:numPr>
          <w:ilvl w:val="2"/>
          <w:numId w:val="2"/>
        </w:numPr>
        <w:tabs>
          <w:tab w:val="clear" w:pos="709"/>
          <w:tab w:val="left" w:pos="993" w:leader="none"/>
        </w:tabs>
        <w:spacing w:lineRule="auto" w:line="360" w:before="0" w:after="0"/>
        <w:ind w:left="0" w:hanging="0"/>
        <w:rPr>
          <w:color w:val="auto"/>
          <w:sz w:val="22"/>
          <w:szCs w:val="22"/>
        </w:rPr>
      </w:pPr>
      <w:r>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Nivel3"/>
        <w:numPr>
          <w:ilvl w:val="2"/>
          <w:numId w:val="2"/>
        </w:numPr>
        <w:tabs>
          <w:tab w:val="clear" w:pos="709"/>
          <w:tab w:val="left" w:pos="993" w:leader="none"/>
        </w:tabs>
        <w:spacing w:lineRule="auto" w:line="360" w:before="0" w:after="0"/>
        <w:ind w:left="0" w:hanging="0"/>
        <w:rPr>
          <w:color w:val="auto"/>
          <w:sz w:val="22"/>
          <w:szCs w:val="22"/>
        </w:rPr>
      </w:pPr>
      <w:r>
        <w:rPr>
          <w:color w:val="auto"/>
          <w:sz w:val="22"/>
          <w:szCs w:val="22"/>
        </w:rPr>
        <w:t xml:space="preserve">não emprega menor de 18 anos em trabalho noturno, perigoso ou insalubre e não emprega menor de 16 anos, salvo menor, a partir de 14 anos, na condição de aprendiz, nos termos do </w:t>
      </w:r>
      <w:r>
        <w:fldChar w:fldCharType="begin"/>
      </w:r>
      <w:r>
        <w:rPr>
          <w:rStyle w:val="LinkdaInternet"/>
          <w:sz w:val="22"/>
          <w:szCs w:val="22"/>
          <w:color w:val="auto"/>
        </w:rPr>
        <w:instrText xml:space="preserve"> HYPERLINK "https://www.planalto.gov.br/ccivil_03/constituicao/constituicaocompilado.htm" \l "art7"</w:instrText>
      </w:r>
      <w:r>
        <w:rPr>
          <w:rStyle w:val="LinkdaInternet"/>
          <w:sz w:val="22"/>
          <w:szCs w:val="22"/>
          <w:color w:val="auto"/>
        </w:rPr>
        <w:fldChar w:fldCharType="separate"/>
      </w:r>
      <w:r>
        <w:rPr>
          <w:rStyle w:val="LinkdaInternet"/>
          <w:color w:val="auto"/>
          <w:sz w:val="22"/>
          <w:szCs w:val="22"/>
        </w:rPr>
        <w:t>artigo 7°, XXXIII, da Constituição</w:t>
      </w:r>
      <w:r>
        <w:rPr>
          <w:rStyle w:val="LinkdaInternet"/>
          <w:sz w:val="22"/>
          <w:szCs w:val="22"/>
          <w:color w:val="auto"/>
        </w:rPr>
        <w:fldChar w:fldCharType="end"/>
      </w:r>
      <w:r>
        <w:rPr>
          <w:color w:val="auto"/>
          <w:sz w:val="22"/>
          <w:szCs w:val="22"/>
        </w:rPr>
        <w:t>;</w:t>
      </w:r>
    </w:p>
    <w:p>
      <w:pPr>
        <w:pStyle w:val="Nivel3"/>
        <w:numPr>
          <w:ilvl w:val="2"/>
          <w:numId w:val="2"/>
        </w:numPr>
        <w:tabs>
          <w:tab w:val="clear" w:pos="709"/>
          <w:tab w:val="left" w:pos="993" w:leader="none"/>
        </w:tabs>
        <w:spacing w:lineRule="auto" w:line="360" w:before="0" w:after="0"/>
        <w:ind w:left="0" w:hanging="0"/>
        <w:rPr>
          <w:color w:val="auto"/>
          <w:sz w:val="22"/>
          <w:szCs w:val="22"/>
        </w:rPr>
      </w:pPr>
      <w:r>
        <w:rPr>
          <w:color w:val="auto"/>
          <w:sz w:val="22"/>
          <w:szCs w:val="22"/>
        </w:rPr>
        <w:t xml:space="preserve">não possui, em sua cadeia produtiva, empregados executando trabalho degradante ou forçado, observando o disposto nos </w:t>
      </w:r>
      <w:hyperlink r:id="rId6">
        <w:r>
          <w:rPr>
            <w:rStyle w:val="LinkdaInternet"/>
            <w:color w:val="auto"/>
            <w:sz w:val="22"/>
            <w:szCs w:val="22"/>
          </w:rPr>
          <w:t>incisos III e IV do art. 1º e no inciso III do art. 5º da Constituição Federal</w:t>
        </w:r>
      </w:hyperlink>
      <w:r>
        <w:rPr>
          <w:color w:val="auto"/>
          <w:sz w:val="22"/>
          <w:szCs w:val="22"/>
        </w:rPr>
        <w:t>;</w:t>
      </w:r>
    </w:p>
    <w:p>
      <w:pPr>
        <w:pStyle w:val="Nivel3"/>
        <w:numPr>
          <w:ilvl w:val="2"/>
          <w:numId w:val="2"/>
        </w:numPr>
        <w:tabs>
          <w:tab w:val="clear" w:pos="709"/>
          <w:tab w:val="left" w:pos="993" w:leader="none"/>
        </w:tabs>
        <w:spacing w:lineRule="auto" w:line="360" w:before="0" w:after="0"/>
        <w:ind w:left="0" w:hanging="0"/>
        <w:rPr>
          <w:color w:val="auto"/>
          <w:sz w:val="22"/>
          <w:szCs w:val="22"/>
        </w:rPr>
      </w:pPr>
      <w:r>
        <w:rPr>
          <w:color w:val="auto"/>
          <w:sz w:val="22"/>
          <w:szCs w:val="22"/>
        </w:rPr>
        <w:t>cumpre as exigências de reserva de cargos para pessoa com deficiência e para reabilitado da Previdência Social, previstas em lei e em outras normas específicas.</w:t>
      </w:r>
    </w:p>
    <w:p>
      <w:pPr>
        <w:pStyle w:val="Nivel2"/>
        <w:numPr>
          <w:ilvl w:val="1"/>
          <w:numId w:val="2"/>
        </w:numPr>
        <w:spacing w:lineRule="auto" w:line="360" w:before="0" w:after="0"/>
        <w:ind w:left="0" w:hanging="0"/>
        <w:rPr>
          <w:color w:val="auto"/>
          <w:sz w:val="22"/>
          <w:szCs w:val="22"/>
        </w:rPr>
      </w:pPr>
      <w:r>
        <w:rPr>
          <w:color w:val="auto"/>
          <w:sz w:val="22"/>
          <w:szCs w:val="22"/>
        </w:rPr>
        <w:t xml:space="preserve">O licitante organizado em cooperativa deverá declarar, ainda, em campo próprio do sistema eletrônico, que cumpre os requisitos estabelecidos no </w:t>
      </w:r>
      <w:r>
        <w:fldChar w:fldCharType="begin"/>
      </w:r>
      <w:r>
        <w:rPr>
          <w:rStyle w:val="LinkdaInternet"/>
          <w:sz w:val="22"/>
          <w:szCs w:val="22"/>
          <w:color w:val="auto"/>
        </w:rPr>
        <w:instrText xml:space="preserve"> HYPERLINK "http://www.planalto.gov.br/ccivil_03/_ato2019-2022/2021/lei/L14133.htm" \l "art16"</w:instrText>
      </w:r>
      <w:r>
        <w:rPr>
          <w:rStyle w:val="LinkdaInternet"/>
          <w:sz w:val="22"/>
          <w:szCs w:val="22"/>
          <w:color w:val="auto"/>
        </w:rPr>
        <w:fldChar w:fldCharType="separate"/>
      </w:r>
      <w:r>
        <w:rPr>
          <w:rStyle w:val="LinkdaInternet"/>
          <w:color w:val="auto"/>
          <w:sz w:val="22"/>
          <w:szCs w:val="22"/>
        </w:rPr>
        <w:t>artigo 16 da Lei nº 14.133, de 2021</w:t>
      </w:r>
      <w:r>
        <w:rPr>
          <w:rStyle w:val="LinkdaInternet"/>
          <w:sz w:val="22"/>
          <w:szCs w:val="22"/>
          <w:color w:val="auto"/>
        </w:rPr>
        <w:fldChar w:fldCharType="end"/>
      </w:r>
      <w:r>
        <w:rPr>
          <w:color w:val="auto"/>
          <w:sz w:val="22"/>
          <w:szCs w:val="22"/>
        </w:rPr>
        <w:t>.</w:t>
      </w:r>
    </w:p>
    <w:p>
      <w:pPr>
        <w:pStyle w:val="Nivel2"/>
        <w:numPr>
          <w:ilvl w:val="1"/>
          <w:numId w:val="2"/>
        </w:numPr>
        <w:spacing w:lineRule="auto" w:line="360" w:before="0" w:after="0"/>
        <w:ind w:left="0" w:hanging="0"/>
        <w:rPr>
          <w:color w:val="auto"/>
          <w:sz w:val="22"/>
          <w:szCs w:val="22"/>
        </w:rPr>
      </w:pPr>
      <w:bookmarkStart w:id="14" w:name="_Ref117000019"/>
      <w:r>
        <w:rPr>
          <w:color w:val="auto"/>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rPr>
          <w:rStyle w:val="LinkdaInternet"/>
          <w:sz w:val="22"/>
          <w:szCs w:val="22"/>
          <w:color w:val="auto"/>
        </w:rPr>
        <w:instrText xml:space="preserve"> HYPERLINK "https://www.planalto.gov.br/ccivil_03/leis/lcp/lcp123.htm" \l "art3"</w:instrText>
      </w:r>
      <w:r>
        <w:rPr>
          <w:rStyle w:val="LinkdaInternet"/>
          <w:sz w:val="22"/>
          <w:szCs w:val="22"/>
          <w:color w:val="auto"/>
        </w:rPr>
        <w:fldChar w:fldCharType="separate"/>
      </w:r>
      <w:r>
        <w:rPr>
          <w:rStyle w:val="LinkdaInternet"/>
          <w:color w:val="auto"/>
          <w:sz w:val="22"/>
          <w:szCs w:val="22"/>
        </w:rPr>
        <w:t>artigo 3° da Lei Complementar nº 123, de 2006</w:t>
      </w:r>
      <w:r>
        <w:rPr>
          <w:rStyle w:val="LinkdaInternet"/>
          <w:sz w:val="22"/>
          <w:szCs w:val="22"/>
          <w:color w:val="auto"/>
        </w:rPr>
        <w:fldChar w:fldCharType="end"/>
      </w:r>
      <w:r>
        <w:rPr>
          <w:color w:val="auto"/>
          <w:sz w:val="22"/>
          <w:szCs w:val="22"/>
        </w:rPr>
        <w:t xml:space="preserve">, estando apto a usufruir do tratamento favorecido estabelecido em seus </w:t>
      </w:r>
      <w:r>
        <w:fldChar w:fldCharType="begin"/>
      </w:r>
      <w:r>
        <w:rPr>
          <w:rStyle w:val="LinkdaInternet"/>
          <w:sz w:val="22"/>
          <w:szCs w:val="22"/>
          <w:color w:val="auto"/>
        </w:rPr>
        <w:instrText xml:space="preserve"> HYPERLINK "https://www.planalto.gov.br/ccivil_03/leis/lcp/lcp123.htm" \l "art42"</w:instrText>
      </w:r>
      <w:r>
        <w:rPr>
          <w:rStyle w:val="LinkdaInternet"/>
          <w:sz w:val="22"/>
          <w:szCs w:val="22"/>
          <w:color w:val="auto"/>
        </w:rPr>
        <w:fldChar w:fldCharType="separate"/>
      </w:r>
      <w:r>
        <w:rPr>
          <w:rStyle w:val="LinkdaInternet"/>
          <w:color w:val="auto"/>
          <w:sz w:val="22"/>
          <w:szCs w:val="22"/>
        </w:rPr>
        <w:t>arts. 42 a 49</w:t>
      </w:r>
      <w:r>
        <w:rPr>
          <w:rStyle w:val="LinkdaInternet"/>
          <w:sz w:val="22"/>
          <w:szCs w:val="22"/>
          <w:color w:val="auto"/>
        </w:rPr>
        <w:fldChar w:fldCharType="end"/>
      </w:r>
      <w:r>
        <w:rPr>
          <w:color w:val="auto"/>
          <w:sz w:val="22"/>
          <w:szCs w:val="22"/>
        </w:rPr>
        <w:t xml:space="preserve">, observado o disposto nos </w:t>
      </w:r>
      <w:r>
        <w:fldChar w:fldCharType="begin"/>
      </w:r>
      <w:r>
        <w:rPr>
          <w:rStyle w:val="LinkdaInternet"/>
          <w:sz w:val="22"/>
          <w:szCs w:val="22"/>
          <w:color w:val="auto"/>
        </w:rPr>
        <w:instrText xml:space="preserve"> HYPERLINK "http://www.planalto.gov.br/ccivil_03/_ato2019-2022/2021/lei/L14133.htm" \l "art4§1"</w:instrText>
      </w:r>
      <w:r>
        <w:rPr>
          <w:rStyle w:val="LinkdaInternet"/>
          <w:sz w:val="22"/>
          <w:szCs w:val="22"/>
          <w:color w:val="auto"/>
        </w:rPr>
        <w:fldChar w:fldCharType="separate"/>
      </w:r>
      <w:r>
        <w:rPr>
          <w:rStyle w:val="LinkdaInternet"/>
          <w:color w:val="auto"/>
          <w:sz w:val="22"/>
          <w:szCs w:val="22"/>
        </w:rPr>
        <w:t>§§ 1º ao 3º do art. 4º, da Lei n.º 14.133, de 2021.</w:t>
      </w:r>
      <w:r>
        <w:rPr>
          <w:rStyle w:val="LinkdaInternet"/>
          <w:sz w:val="22"/>
          <w:szCs w:val="22"/>
          <w:color w:val="auto"/>
        </w:rPr>
        <w:fldChar w:fldCharType="end"/>
      </w:r>
      <w:bookmarkEnd w:id="14"/>
      <w:r>
        <w:rPr>
          <w:color w:val="auto"/>
          <w:sz w:val="22"/>
          <w:szCs w:val="22"/>
        </w:rPr>
        <w:t xml:space="preserve"> </w:t>
      </w:r>
    </w:p>
    <w:p>
      <w:pPr>
        <w:pStyle w:val="Nivel2"/>
        <w:numPr>
          <w:ilvl w:val="1"/>
          <w:numId w:val="2"/>
        </w:numPr>
        <w:spacing w:lineRule="auto" w:line="360" w:before="0" w:after="0"/>
        <w:ind w:left="0" w:hanging="0"/>
        <w:rPr>
          <w:color w:val="auto"/>
          <w:sz w:val="22"/>
          <w:szCs w:val="22"/>
        </w:rPr>
      </w:pPr>
      <w:r>
        <w:rPr>
          <w:color w:val="auto"/>
          <w:sz w:val="22"/>
          <w:szCs w:val="22"/>
        </w:rPr>
        <w:t xml:space="preserve">A falsidade da declaração de que trata os itens </w:t>
      </w:r>
      <w:r>
        <w:rPr>
          <w:color w:val="auto"/>
          <w:sz w:val="22"/>
          <w:szCs w:val="22"/>
        </w:rPr>
        <w:fldChar w:fldCharType="begin"/>
      </w:r>
      <w:r>
        <w:rPr>
          <w:sz w:val="22"/>
          <w:szCs w:val="22"/>
          <w:color w:val="auto"/>
        </w:rPr>
        <w:instrText xml:space="preserve"> REF _Ref113968921 \r \h </w:instrText>
      </w:r>
      <w:r>
        <w:rPr>
          <w:sz w:val="22"/>
          <w:szCs w:val="22"/>
          <w:color w:val="auto"/>
        </w:rPr>
        <w:fldChar w:fldCharType="separate"/>
      </w:r>
      <w:r>
        <w:rPr>
          <w:sz w:val="22"/>
          <w:szCs w:val="22"/>
          <w:color w:val="auto"/>
        </w:rPr>
        <w:t>3.7</w:t>
      </w:r>
      <w:r>
        <w:rPr>
          <w:sz w:val="22"/>
          <w:szCs w:val="22"/>
          <w:color w:val="auto"/>
        </w:rPr>
        <w:fldChar w:fldCharType="end"/>
      </w:r>
      <w:r>
        <w:rPr>
          <w:color w:val="auto"/>
          <w:sz w:val="22"/>
          <w:szCs w:val="22"/>
        </w:rPr>
        <w:t xml:space="preserve"> ou </w:t>
      </w:r>
      <w:r>
        <w:rPr>
          <w:color w:val="auto"/>
          <w:sz w:val="22"/>
          <w:szCs w:val="22"/>
        </w:rPr>
        <w:fldChar w:fldCharType="begin"/>
      </w:r>
      <w:r>
        <w:rPr>
          <w:sz w:val="22"/>
          <w:szCs w:val="22"/>
          <w:color w:val="auto"/>
        </w:rPr>
        <w:instrText xml:space="preserve"> REF _Ref117000019 \r \h </w:instrText>
      </w:r>
      <w:r>
        <w:rPr>
          <w:sz w:val="22"/>
          <w:szCs w:val="22"/>
          <w:color w:val="auto"/>
        </w:rPr>
        <w:fldChar w:fldCharType="separate"/>
      </w:r>
      <w:r>
        <w:rPr>
          <w:sz w:val="22"/>
          <w:szCs w:val="22"/>
          <w:color w:val="auto"/>
        </w:rPr>
        <w:t>3.9</w:t>
      </w:r>
      <w:r>
        <w:rPr>
          <w:sz w:val="22"/>
          <w:szCs w:val="22"/>
          <w:color w:val="auto"/>
        </w:rPr>
        <w:fldChar w:fldCharType="end"/>
      </w:r>
      <w:r>
        <w:rPr>
          <w:color w:val="auto"/>
          <w:sz w:val="22"/>
          <w:szCs w:val="22"/>
        </w:rPr>
        <w:t xml:space="preserve"> sujeitará o licitante às sanções previstas na </w:t>
      </w:r>
      <w:hyperlink r:id="rId7">
        <w:r>
          <w:rPr>
            <w:rStyle w:val="LinkdaInternet"/>
            <w:color w:val="auto"/>
            <w:sz w:val="22"/>
            <w:szCs w:val="22"/>
          </w:rPr>
          <w:t>Lei nº 14.133, de 2021</w:t>
        </w:r>
      </w:hyperlink>
      <w:r>
        <w:rPr>
          <w:color w:val="auto"/>
          <w:sz w:val="22"/>
          <w:szCs w:val="22"/>
        </w:rPr>
        <w:t>, e neste Edital.</w:t>
      </w:r>
    </w:p>
    <w:p>
      <w:pPr>
        <w:pStyle w:val="Nivel2"/>
        <w:numPr>
          <w:ilvl w:val="1"/>
          <w:numId w:val="2"/>
        </w:numPr>
        <w:spacing w:lineRule="auto" w:line="360" w:before="0" w:after="0"/>
        <w:ind w:left="0" w:hanging="0"/>
        <w:rPr>
          <w:color w:val="auto"/>
          <w:sz w:val="22"/>
          <w:szCs w:val="22"/>
        </w:rPr>
      </w:pPr>
      <w:r>
        <w:rPr>
          <w:color w:val="auto"/>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pPr>
        <w:pStyle w:val="Nivel2"/>
        <w:numPr>
          <w:ilvl w:val="1"/>
          <w:numId w:val="2"/>
        </w:numPr>
        <w:spacing w:lineRule="auto" w:line="360" w:before="0" w:after="0"/>
        <w:ind w:left="0" w:hanging="0"/>
        <w:rPr>
          <w:color w:val="auto"/>
          <w:sz w:val="22"/>
          <w:szCs w:val="22"/>
        </w:rPr>
      </w:pPr>
      <w:r>
        <w:rPr>
          <w:color w:val="auto"/>
          <w:sz w:val="22"/>
          <w:szCs w:val="22"/>
        </w:rPr>
        <w:t>Não haverá ordem de classificação na etapa de apresentação da proposta pelo licitante, o que ocorrerá somente após os procedimentos de abertura da sessão pública e da fase de envio de lances.</w:t>
      </w:r>
    </w:p>
    <w:p>
      <w:pPr>
        <w:pStyle w:val="Nivel2"/>
        <w:numPr>
          <w:ilvl w:val="1"/>
          <w:numId w:val="2"/>
        </w:numPr>
        <w:spacing w:lineRule="auto" w:line="360" w:before="0" w:after="0"/>
        <w:ind w:left="0" w:hanging="0"/>
        <w:rPr>
          <w:color w:val="auto"/>
          <w:sz w:val="22"/>
          <w:szCs w:val="22"/>
        </w:rPr>
      </w:pPr>
      <w:r>
        <w:rPr>
          <w:color w:val="auto"/>
          <w:sz w:val="22"/>
          <w:szCs w:val="22"/>
        </w:rPr>
        <w:t>Serão disponibilizados para acesso público os documentos que compõem a proposta dos licitantes quando convocados para apresentação de propostas, após a fase de envio de lances.</w:t>
      </w:r>
    </w:p>
    <w:p>
      <w:pPr>
        <w:pStyle w:val="Nivel2"/>
        <w:numPr>
          <w:ilvl w:val="1"/>
          <w:numId w:val="2"/>
        </w:numPr>
        <w:spacing w:lineRule="auto" w:line="360" w:before="0" w:after="0"/>
        <w:ind w:left="0" w:hanging="0"/>
        <w:rPr>
          <w:color w:val="auto"/>
          <w:sz w:val="22"/>
          <w:szCs w:val="22"/>
        </w:rPr>
      </w:pPr>
      <w:bookmarkStart w:id="15" w:name="_Ref116992247"/>
      <w:r>
        <w:rPr>
          <w:color w:val="auto"/>
          <w:sz w:val="22"/>
          <w:szCs w:val="22"/>
        </w:rPr>
        <w:t>Desde que disponibilizada a funcionalidade no sistema, o licitante poderá parametrizar o seu valor final mínimo ou o seu percentual de desconto máximo quando do cadastramento da proposta.</w:t>
      </w:r>
      <w:bookmarkEnd w:id="15"/>
      <w:r>
        <w:rPr>
          <w:color w:val="auto"/>
          <w:sz w:val="22"/>
          <w:szCs w:val="22"/>
        </w:rPr>
        <w:t xml:space="preserve"> </w:t>
      </w:r>
    </w:p>
    <w:p>
      <w:pPr>
        <w:pStyle w:val="Nivel2"/>
        <w:numPr>
          <w:ilvl w:val="1"/>
          <w:numId w:val="2"/>
        </w:numPr>
        <w:spacing w:lineRule="auto" w:line="360" w:before="0" w:after="0"/>
        <w:ind w:left="0" w:hanging="0"/>
        <w:rPr>
          <w:color w:val="auto"/>
          <w:sz w:val="22"/>
          <w:szCs w:val="22"/>
        </w:rPr>
      </w:pPr>
      <w:r>
        <w:rPr>
          <w:color w:val="auto"/>
          <w:sz w:val="22"/>
          <w:szCs w:val="22"/>
        </w:rPr>
        <w:t>O valor final mínimo ou o percentual de desconto final máximo parametrizado no sistema poderá ser alterado pelo fornecedor durante a fase de disputa, sendo vedado:</w:t>
      </w:r>
    </w:p>
    <w:p>
      <w:pPr>
        <w:pStyle w:val="Nivel3"/>
        <w:numPr>
          <w:ilvl w:val="2"/>
          <w:numId w:val="2"/>
        </w:numPr>
        <w:tabs>
          <w:tab w:val="clear" w:pos="709"/>
          <w:tab w:val="left" w:pos="851" w:leader="none"/>
        </w:tabs>
        <w:spacing w:lineRule="auto" w:line="360" w:before="0" w:after="0"/>
        <w:ind w:left="0" w:hanging="0"/>
        <w:rPr>
          <w:color w:val="auto"/>
          <w:sz w:val="22"/>
          <w:szCs w:val="22"/>
        </w:rPr>
      </w:pPr>
      <w:r>
        <w:rPr>
          <w:color w:val="auto"/>
          <w:sz w:val="22"/>
          <w:szCs w:val="22"/>
        </w:rPr>
        <w:t>valor superior a lance já registrado pelo fornecedor no sistema, quando adotado o critério de julgamento por menor preço; e</w:t>
      </w:r>
    </w:p>
    <w:p>
      <w:pPr>
        <w:pStyle w:val="Nivel3"/>
        <w:numPr>
          <w:ilvl w:val="2"/>
          <w:numId w:val="2"/>
        </w:numPr>
        <w:tabs>
          <w:tab w:val="clear" w:pos="709"/>
          <w:tab w:val="left" w:pos="851" w:leader="none"/>
        </w:tabs>
        <w:spacing w:lineRule="auto" w:line="360" w:before="0" w:after="0"/>
        <w:ind w:left="0" w:hanging="0"/>
        <w:rPr>
          <w:color w:val="auto"/>
          <w:sz w:val="22"/>
          <w:szCs w:val="22"/>
        </w:rPr>
      </w:pPr>
      <w:r>
        <w:rPr>
          <w:color w:val="auto"/>
          <w:sz w:val="22"/>
          <w:szCs w:val="22"/>
        </w:rPr>
        <w:t xml:space="preserve"> </w:t>
      </w:r>
      <w:r>
        <w:rPr>
          <w:color w:val="auto"/>
          <w:sz w:val="22"/>
          <w:szCs w:val="22"/>
        </w:rPr>
        <w:t>percentual de desconto inferior a lance já registrado pelo fornecedor no sistema, quando adotado o critério de julgamento por maior desconto.</w:t>
      </w:r>
    </w:p>
    <w:p>
      <w:pPr>
        <w:pStyle w:val="Nivel2"/>
        <w:numPr>
          <w:ilvl w:val="1"/>
          <w:numId w:val="2"/>
        </w:numPr>
        <w:spacing w:lineRule="auto" w:line="360" w:before="0" w:after="0"/>
        <w:ind w:left="0" w:hanging="0"/>
        <w:rPr>
          <w:rFonts w:eastAsia="Times New Roman"/>
          <w:color w:val="auto"/>
          <w:sz w:val="22"/>
          <w:szCs w:val="22"/>
        </w:rPr>
      </w:pPr>
      <w:r>
        <w:rPr>
          <w:rFonts w:eastAsia="Times New Roman"/>
          <w:color w:val="auto"/>
          <w:sz w:val="22"/>
          <w:szCs w:val="22"/>
        </w:rPr>
        <w:t xml:space="preserve">Caberá ao licitante interessado em participar da licitação </w:t>
      </w:r>
      <w:r>
        <w:rPr>
          <w:color w:val="auto"/>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pPr>
        <w:pStyle w:val="Nivel2"/>
        <w:numPr>
          <w:ilvl w:val="1"/>
          <w:numId w:val="2"/>
        </w:numPr>
        <w:spacing w:lineRule="auto" w:line="360" w:before="0" w:after="0"/>
        <w:ind w:left="0" w:hanging="0"/>
        <w:rPr>
          <w:rFonts w:eastAsia="Times New Roman"/>
          <w:color w:val="auto"/>
          <w:sz w:val="22"/>
          <w:szCs w:val="22"/>
        </w:rPr>
      </w:pPr>
      <w:r>
        <w:rPr>
          <w:color w:val="auto"/>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pPr>
        <w:pStyle w:val="Nivel2"/>
        <w:numPr>
          <w:ilvl w:val="1"/>
          <w:numId w:val="2"/>
        </w:numPr>
        <w:spacing w:lineRule="auto" w:line="360" w:before="0" w:after="0"/>
        <w:ind w:left="0" w:hanging="0"/>
        <w:rPr>
          <w:rFonts w:eastAsia="Times New Roman"/>
          <w:color w:val="auto"/>
          <w:sz w:val="22"/>
          <w:szCs w:val="22"/>
        </w:rPr>
      </w:pPr>
      <w:r>
        <w:rPr>
          <w:color w:val="auto"/>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pPr>
        <w:pStyle w:val="Nivel2"/>
        <w:numPr>
          <w:ilvl w:val="1"/>
          <w:numId w:val="2"/>
        </w:numPr>
        <w:spacing w:lineRule="auto" w:line="360" w:before="0" w:after="0"/>
        <w:ind w:left="0" w:hanging="0"/>
        <w:rPr>
          <w:rFonts w:eastAsia="Times New Roman"/>
          <w:color w:val="auto"/>
          <w:sz w:val="22"/>
          <w:szCs w:val="22"/>
        </w:rPr>
      </w:pPr>
      <w:r>
        <w:rPr>
          <w:color w:val="auto"/>
          <w:sz w:val="22"/>
          <w:szCs w:val="22"/>
        </w:rPr>
        <w:t>Caso exista a necessidade de ser suspenso o pregão, tendo em vista a quantidade de itens, o pregoeiro designará novo dia e horário para a continuidade do certame.</w:t>
      </w:r>
    </w:p>
    <w:p>
      <w:pPr>
        <w:pStyle w:val="Nivel2"/>
        <w:numPr>
          <w:ilvl w:val="1"/>
          <w:numId w:val="2"/>
        </w:numPr>
        <w:spacing w:lineRule="auto" w:line="360" w:before="0" w:after="0"/>
        <w:ind w:left="0" w:hanging="0"/>
        <w:rPr>
          <w:rFonts w:eastAsia="Times New Roman"/>
          <w:color w:val="auto"/>
          <w:sz w:val="22"/>
          <w:szCs w:val="22"/>
        </w:rPr>
      </w:pPr>
      <w:r>
        <w:rPr>
          <w:color w:val="auto"/>
          <w:sz w:val="22"/>
          <w:szCs w:val="22"/>
        </w:rPr>
        <w:t xml:space="preserve">O andamento do procedimento de licitação entre a data de abertura das propostas e a adjudicação do objeto deve ser acompanhado pelos participantes por meio do portal </w:t>
      </w:r>
      <w:hyperlink r:id="rId8">
        <w:r>
          <w:rPr>
            <w:rStyle w:val="LinkdaInternet"/>
            <w:color w:val="auto"/>
            <w:sz w:val="22"/>
            <w:szCs w:val="22"/>
          </w:rPr>
          <w:t>www.novobbmnet.com.br</w:t>
        </w:r>
      </w:hyperlink>
      <w:r>
        <w:rPr>
          <w:color w:val="auto"/>
          <w:sz w:val="22"/>
          <w:szCs w:val="22"/>
        </w:rPr>
        <w:t>, que veiculará avisos, convocações, desclassificações de licitantes, justificativas e outras decisões referentes ao procedimento.</w:t>
      </w:r>
    </w:p>
    <w:p>
      <w:pPr>
        <w:pStyle w:val="Nivel2"/>
        <w:numPr>
          <w:ilvl w:val="1"/>
          <w:numId w:val="2"/>
        </w:numPr>
        <w:spacing w:lineRule="auto" w:line="360" w:before="0" w:after="0"/>
        <w:ind w:left="0" w:hanging="0"/>
        <w:rPr>
          <w:color w:val="auto"/>
          <w:sz w:val="22"/>
          <w:szCs w:val="22"/>
        </w:rPr>
      </w:pPr>
      <w:r>
        <w:rPr>
          <w:rFonts w:eastAsia="Times New Roman"/>
          <w:color w:val="auto"/>
          <w:sz w:val="22"/>
          <w:szCs w:val="22"/>
        </w:rPr>
        <w:t xml:space="preserve">O licitante deverá </w:t>
      </w:r>
      <w:r>
        <w:rPr>
          <w:color w:val="auto"/>
          <w:sz w:val="22"/>
          <w:szCs w:val="22"/>
        </w:rPr>
        <w:t>comunicar imediatamente ao provedor do sistema qualquer acontecimento que possa comprometer o sigilo ou a segurança, para imediato bloqueio de acesso.</w:t>
      </w:r>
    </w:p>
    <w:p>
      <w:pPr>
        <w:pStyle w:val="Normal"/>
        <w:spacing w:lineRule="auto" w:line="360"/>
        <w:jc w:val="both"/>
        <w:rPr>
          <w:rFonts w:ascii="Arial" w:hAnsi="Arial" w:cs="Arial"/>
          <w:sz w:val="22"/>
          <w:szCs w:val="22"/>
        </w:rPr>
      </w:pPr>
      <w:r>
        <w:rPr>
          <w:rFonts w:cs="Arial" w:ascii="Arial" w:hAnsi="Arial"/>
          <w:sz w:val="22"/>
          <w:szCs w:val="22"/>
        </w:rPr>
        <w:tab/>
        <w:t>.</w:t>
      </w:r>
    </w:p>
    <w:p>
      <w:pPr>
        <w:pStyle w:val="Nivel01"/>
        <w:numPr>
          <w:ilvl w:val="0"/>
          <w:numId w:val="2"/>
        </w:numPr>
        <w:spacing w:lineRule="auto" w:line="360" w:before="0" w:after="0"/>
        <w:ind w:left="0" w:hanging="0"/>
        <w:rPr>
          <w:sz w:val="22"/>
          <w:szCs w:val="22"/>
        </w:rPr>
      </w:pPr>
      <w:bookmarkStart w:id="16" w:name="_Toc122606106"/>
      <w:r>
        <w:rPr>
          <w:sz w:val="22"/>
          <w:szCs w:val="22"/>
        </w:rPr>
        <w:t>DO PREENCHIMENTO DA PROPOSTA</w:t>
      </w:r>
      <w:bookmarkEnd w:id="16"/>
    </w:p>
    <w:p>
      <w:pPr>
        <w:pStyle w:val="Nivel2"/>
        <w:numPr>
          <w:ilvl w:val="0"/>
          <w:numId w:val="0"/>
        </w:numPr>
        <w:tabs>
          <w:tab w:val="clear" w:pos="709"/>
          <w:tab w:val="left" w:pos="0" w:leader="none"/>
        </w:tabs>
        <w:spacing w:lineRule="auto" w:line="360" w:before="0" w:after="0"/>
        <w:ind w:left="0" w:hanging="0"/>
        <w:rPr>
          <w:color w:val="auto"/>
          <w:sz w:val="22"/>
          <w:szCs w:val="22"/>
        </w:rPr>
      </w:pPr>
      <w:r>
        <w:rPr>
          <w:color w:val="auto"/>
          <w:sz w:val="22"/>
          <w:szCs w:val="22"/>
        </w:rPr>
        <w:t>O licitante deverá enviar sua proposta mediante o preenchimento, no sistema eletrônico, dos seguintes campos: VALOR TOTAL GLOBAL DO LOTE.</w:t>
      </w:r>
      <w:r>
        <w:rPr>
          <w:i/>
          <w:color w:val="auto"/>
          <w:sz w:val="22"/>
          <w:szCs w:val="22"/>
        </w:rPr>
        <w:t xml:space="preserve"> </w:t>
      </w:r>
    </w:p>
    <w:p>
      <w:pPr>
        <w:pStyle w:val="Nivel2"/>
        <w:numPr>
          <w:ilvl w:val="1"/>
          <w:numId w:val="2"/>
        </w:numPr>
        <w:spacing w:lineRule="auto" w:line="360" w:before="0" w:after="0"/>
        <w:ind w:left="0" w:hanging="0"/>
        <w:rPr>
          <w:color w:val="auto"/>
          <w:sz w:val="22"/>
          <w:szCs w:val="22"/>
        </w:rPr>
      </w:pPr>
      <w:r>
        <w:rPr>
          <w:color w:val="auto"/>
          <w:sz w:val="22"/>
          <w:szCs w:val="22"/>
        </w:rPr>
        <w:t>Todas as especificações do objeto contidas na proposta vinculam o licitante.</w:t>
      </w:r>
    </w:p>
    <w:p>
      <w:pPr>
        <w:pStyle w:val="Nivel2"/>
        <w:numPr>
          <w:ilvl w:val="1"/>
          <w:numId w:val="2"/>
        </w:numPr>
        <w:spacing w:lineRule="auto" w:line="360" w:before="0" w:after="0"/>
        <w:ind w:left="0" w:hanging="0"/>
        <w:rPr>
          <w:color w:val="auto"/>
          <w:sz w:val="22"/>
          <w:szCs w:val="22"/>
        </w:rPr>
      </w:pPr>
      <w:r>
        <w:rPr>
          <w:color w:val="auto"/>
          <w:sz w:val="22"/>
          <w:szCs w:val="22"/>
        </w:rPr>
        <w:t>Nos valores propostos estarão inclusos todos os custos operacionais, encargos previdenciários, trabalhistas, tributários, comerciais e quaisquer outros que incidam direta ou indiretamente na execução do objeto.</w:t>
      </w:r>
    </w:p>
    <w:p>
      <w:pPr>
        <w:pStyle w:val="Nivel2"/>
        <w:numPr>
          <w:ilvl w:val="1"/>
          <w:numId w:val="2"/>
        </w:numPr>
        <w:spacing w:lineRule="auto" w:line="360" w:before="0" w:after="0"/>
        <w:ind w:left="0" w:hanging="0"/>
        <w:rPr>
          <w:color w:val="auto"/>
          <w:sz w:val="22"/>
          <w:szCs w:val="22"/>
        </w:rPr>
      </w:pPr>
      <w:r>
        <w:rPr>
          <w:color w:val="auto"/>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Nivel2"/>
        <w:numPr>
          <w:ilvl w:val="1"/>
          <w:numId w:val="2"/>
        </w:numPr>
        <w:spacing w:lineRule="auto" w:line="360" w:before="0" w:after="0"/>
        <w:ind w:left="0" w:hanging="0"/>
        <w:rPr>
          <w:color w:val="auto"/>
          <w:sz w:val="22"/>
          <w:szCs w:val="22"/>
        </w:rPr>
      </w:pPr>
      <w:r>
        <w:rPr>
          <w:color w:val="auto"/>
          <w:sz w:val="22"/>
          <w:szCs w:val="22"/>
        </w:rPr>
        <w:t xml:space="preserve">Se o regime tributário da empresa implicar o recolhimento de tributos em percentuais variáveis, a cotação adequada será a que corresponde à média dos efetivos recolhimentos da empresa nos últimos doze meses. </w:t>
      </w:r>
    </w:p>
    <w:p>
      <w:pPr>
        <w:pStyle w:val="Nivel2"/>
        <w:numPr>
          <w:ilvl w:val="1"/>
          <w:numId w:val="2"/>
        </w:numPr>
        <w:spacing w:lineRule="auto" w:line="360" w:before="0" w:after="0"/>
        <w:ind w:left="0" w:hanging="0"/>
        <w:rPr>
          <w:color w:val="auto"/>
          <w:sz w:val="22"/>
          <w:szCs w:val="22"/>
        </w:rPr>
      </w:pPr>
      <w:r>
        <w:rPr>
          <w:color w:val="auto"/>
          <w:sz w:val="22"/>
          <w:szCs w:val="22"/>
        </w:rPr>
        <w:t>Independentemente do percentual de tributo inserido na planilha, no pagamento serão retidos na fonte os percentuais estabelecidos na legislação vigente.</w:t>
      </w:r>
    </w:p>
    <w:p>
      <w:pPr>
        <w:pStyle w:val="Nivel2"/>
        <w:numPr>
          <w:ilvl w:val="1"/>
          <w:numId w:val="2"/>
        </w:numPr>
        <w:spacing w:lineRule="auto" w:line="360" w:before="0" w:after="0"/>
        <w:ind w:left="0" w:hanging="0"/>
        <w:rPr>
          <w:color w:val="auto"/>
          <w:sz w:val="22"/>
          <w:szCs w:val="22"/>
        </w:rPr>
      </w:pPr>
      <w:r>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Nivel2"/>
        <w:numPr>
          <w:ilvl w:val="1"/>
          <w:numId w:val="2"/>
        </w:numPr>
        <w:spacing w:lineRule="auto" w:line="360" w:before="0" w:after="0"/>
        <w:ind w:left="0" w:hanging="0"/>
        <w:rPr>
          <w:color w:val="auto"/>
          <w:sz w:val="22"/>
          <w:szCs w:val="22"/>
        </w:rPr>
      </w:pPr>
      <w:r>
        <w:rPr>
          <w:color w:val="auto"/>
          <w:sz w:val="22"/>
          <w:szCs w:val="22"/>
        </w:rPr>
        <w:t xml:space="preserve">O prazo de validade da proposta não será inferior a </w:t>
      </w:r>
      <w:r>
        <w:rPr>
          <w:b/>
          <w:bCs/>
          <w:color w:val="auto"/>
          <w:sz w:val="22"/>
          <w:szCs w:val="22"/>
        </w:rPr>
        <w:t>60 (sessenta)</w:t>
      </w:r>
      <w:r>
        <w:rPr>
          <w:color w:val="auto"/>
          <w:sz w:val="22"/>
          <w:szCs w:val="22"/>
        </w:rPr>
        <w:t xml:space="preserve"> dias</w:t>
      </w:r>
      <w:r>
        <w:rPr>
          <w:b/>
          <w:color w:val="auto"/>
          <w:sz w:val="22"/>
          <w:szCs w:val="22"/>
        </w:rPr>
        <w:t>,</w:t>
      </w:r>
      <w:r>
        <w:rPr>
          <w:color w:val="auto"/>
          <w:sz w:val="22"/>
          <w:szCs w:val="22"/>
        </w:rPr>
        <w:t xml:space="preserve"> a contar da data de sua apresentação.</w:t>
      </w:r>
    </w:p>
    <w:p>
      <w:pPr>
        <w:pStyle w:val="Nivel2"/>
        <w:numPr>
          <w:ilvl w:val="1"/>
          <w:numId w:val="2"/>
        </w:numPr>
        <w:spacing w:lineRule="auto" w:line="360" w:before="0" w:after="0"/>
        <w:ind w:left="0" w:hanging="0"/>
        <w:rPr>
          <w:color w:val="auto"/>
          <w:sz w:val="22"/>
          <w:szCs w:val="22"/>
        </w:rPr>
      </w:pPr>
      <w:r>
        <w:rPr>
          <w:color w:val="auto"/>
          <w:sz w:val="22"/>
          <w:szCs w:val="22"/>
        </w:rPr>
        <w:t>Os licitantes devem respeitar os preços máximos estabelecidos nas normas de regência de contratações públicas federais, quando participarem de licitações públicas.</w:t>
      </w:r>
    </w:p>
    <w:p>
      <w:pPr>
        <w:pStyle w:val="Nivel3"/>
        <w:numPr>
          <w:ilvl w:val="0"/>
          <w:numId w:val="0"/>
        </w:numPr>
        <w:spacing w:lineRule="auto" w:line="360" w:before="0" w:after="0"/>
        <w:ind w:left="0" w:hanging="0"/>
        <w:rPr>
          <w:color w:val="auto"/>
          <w:sz w:val="22"/>
          <w:szCs w:val="22"/>
        </w:rPr>
      </w:pPr>
      <w:r>
        <w:rPr>
          <w:color w:val="auto"/>
          <w:sz w:val="22"/>
          <w:szCs w:val="22"/>
        </w:rPr>
      </w:r>
    </w:p>
    <w:p>
      <w:pPr>
        <w:pStyle w:val="Nivel01"/>
        <w:numPr>
          <w:ilvl w:val="0"/>
          <w:numId w:val="2"/>
        </w:numPr>
        <w:spacing w:lineRule="auto" w:line="360" w:before="0" w:after="0"/>
        <w:ind w:left="0" w:hanging="0"/>
        <w:rPr>
          <w:sz w:val="22"/>
          <w:szCs w:val="22"/>
        </w:rPr>
      </w:pPr>
      <w:r>
        <w:rPr>
          <w:sz w:val="22"/>
          <w:szCs w:val="22"/>
        </w:rPr>
        <w:t>EXIGÊNCIAS DE HABILITAÇÃO</w:t>
      </w:r>
    </w:p>
    <w:p>
      <w:pPr>
        <w:pStyle w:val="Normal"/>
        <w:spacing w:lineRule="auto" w:line="360"/>
        <w:rPr>
          <w:rFonts w:ascii="Arial" w:hAnsi="Arial" w:eastAsia="MS Mincho" w:cs="Arial"/>
          <w:kern w:val="0"/>
          <w:sz w:val="22"/>
          <w:szCs w:val="22"/>
          <w:lang w:eastAsia="pt-BR"/>
        </w:rPr>
      </w:pPr>
      <w:r>
        <w:rPr>
          <w:rFonts w:eastAsia="MS Mincho" w:cs="Arial" w:ascii="Arial" w:hAnsi="Arial"/>
          <w:kern w:val="0"/>
          <w:sz w:val="22"/>
          <w:szCs w:val="22"/>
          <w:lang w:eastAsia="pt-BR"/>
        </w:rPr>
        <w:t>Para fins de habilitação, deverá o licitante comprovar os seguintes requisitos:</w:t>
      </w:r>
    </w:p>
    <w:p>
      <w:pPr>
        <w:pStyle w:val="Normal"/>
        <w:spacing w:lineRule="auto" w:line="360"/>
        <w:rPr>
          <w:rFonts w:ascii="Arial" w:hAnsi="Arial" w:eastAsia="MS Mincho" w:cs="Arial"/>
          <w:b/>
          <w:bCs/>
          <w:kern w:val="0"/>
          <w:sz w:val="22"/>
          <w:szCs w:val="22"/>
          <w:lang w:eastAsia="pt-BR"/>
        </w:rPr>
      </w:pPr>
      <w:r>
        <w:rPr>
          <w:rFonts w:eastAsia="MS Mincho" w:cs="Arial" w:ascii="Arial" w:hAnsi="Arial"/>
          <w:b/>
          <w:bCs/>
          <w:kern w:val="0"/>
          <w:sz w:val="22"/>
          <w:szCs w:val="22"/>
          <w:lang w:eastAsia="pt-BR"/>
        </w:rPr>
        <w:t>5.1 - HABILITAÇÃO JURÍDICA</w:t>
      </w:r>
    </w:p>
    <w:p>
      <w:pPr>
        <w:pStyle w:val="ListParagraph"/>
        <w:numPr>
          <w:ilvl w:val="0"/>
          <w:numId w:val="8"/>
        </w:numPr>
        <w:tabs>
          <w:tab w:val="clear" w:pos="709"/>
          <w:tab w:val="left" w:pos="0" w:leader="none"/>
        </w:tabs>
        <w:spacing w:lineRule="auto" w:line="360"/>
        <w:ind w:left="0" w:hanging="11"/>
        <w:jc w:val="both"/>
        <w:rPr>
          <w:rFonts w:ascii="Arial" w:hAnsi="Arial" w:cs="Arial"/>
          <w:sz w:val="22"/>
          <w:szCs w:val="22"/>
        </w:rPr>
      </w:pPr>
      <w:r>
        <w:rPr>
          <w:rFonts w:cs="Arial" w:ascii="Arial" w:hAnsi="Arial"/>
          <w:sz w:val="22"/>
          <w:szCs w:val="22"/>
        </w:rPr>
        <w:t>Empresário individual: inscrição no Registro Público de Empresas Mercantis, a cargo da Junta Comercial da respectiva sede;</w:t>
      </w:r>
    </w:p>
    <w:p>
      <w:pPr>
        <w:pStyle w:val="ListParagraph"/>
        <w:numPr>
          <w:ilvl w:val="0"/>
          <w:numId w:val="8"/>
        </w:numPr>
        <w:tabs>
          <w:tab w:val="clear" w:pos="709"/>
          <w:tab w:val="left" w:pos="0" w:leader="none"/>
        </w:tabs>
        <w:spacing w:lineRule="auto" w:line="360"/>
        <w:ind w:left="0" w:hanging="11"/>
        <w:jc w:val="both"/>
        <w:rPr>
          <w:rFonts w:ascii="Arial" w:hAnsi="Arial" w:cs="Arial"/>
          <w:sz w:val="22"/>
          <w:szCs w:val="22"/>
        </w:rPr>
      </w:pPr>
      <w:r>
        <w:rPr>
          <w:rFonts w:cs="Arial" w:ascii="Arial" w:hAnsi="Arial"/>
          <w:sz w:val="22"/>
          <w:szCs w:val="22"/>
        </w:rPr>
        <w:t xml:space="preserve">Microempreendedor Individual - MEI: Certificado da Condição de Microempreendedor Individual - CCMEI, cuja aceitação ficará condicionada à verificação da autenticidade no sítio </w:t>
      </w:r>
      <w:hyperlink r:id="rId9">
        <w:r>
          <w:rPr>
            <w:rFonts w:cs="Arial" w:ascii="Arial" w:hAnsi="Arial"/>
            <w:sz w:val="22"/>
            <w:szCs w:val="22"/>
          </w:rPr>
          <w:t>https://www.gov.br/empresas-enegocios/pt-br/empreendedor</w:t>
        </w:r>
      </w:hyperlink>
      <w:r>
        <w:rPr>
          <w:rFonts w:cs="Arial" w:ascii="Arial" w:hAnsi="Arial"/>
          <w:sz w:val="22"/>
          <w:szCs w:val="22"/>
        </w:rPr>
        <w:t>;</w:t>
      </w:r>
    </w:p>
    <w:p>
      <w:pPr>
        <w:pStyle w:val="ListParagraph"/>
        <w:numPr>
          <w:ilvl w:val="0"/>
          <w:numId w:val="8"/>
        </w:numPr>
        <w:tabs>
          <w:tab w:val="clear" w:pos="709"/>
          <w:tab w:val="left" w:pos="0" w:leader="none"/>
        </w:tabs>
        <w:spacing w:lineRule="auto" w:line="360"/>
        <w:ind w:left="0" w:hanging="11"/>
        <w:jc w:val="both"/>
        <w:rPr>
          <w:rFonts w:ascii="Arial" w:hAnsi="Arial" w:cs="Arial"/>
          <w:sz w:val="22"/>
          <w:szCs w:val="22"/>
        </w:rPr>
      </w:pPr>
      <w:r>
        <w:rPr>
          <w:rFonts w:cs="Arial" w:ascii="Arial" w:hAnsi="Arial"/>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ListParagraph"/>
        <w:numPr>
          <w:ilvl w:val="0"/>
          <w:numId w:val="8"/>
        </w:numPr>
        <w:tabs>
          <w:tab w:val="clear" w:pos="709"/>
          <w:tab w:val="left" w:pos="0" w:leader="none"/>
        </w:tabs>
        <w:spacing w:lineRule="auto" w:line="360"/>
        <w:ind w:left="0" w:hanging="11"/>
        <w:jc w:val="both"/>
        <w:rPr>
          <w:rFonts w:ascii="Arial" w:hAnsi="Arial" w:cs="Arial"/>
          <w:sz w:val="22"/>
          <w:szCs w:val="22"/>
        </w:rPr>
      </w:pPr>
      <w:r>
        <w:rPr>
          <w:rFonts w:cs="Arial" w:ascii="Arial" w:hAnsi="Arial"/>
          <w:sz w:val="22"/>
          <w:szCs w:val="22"/>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ListParagraph"/>
        <w:numPr>
          <w:ilvl w:val="0"/>
          <w:numId w:val="8"/>
        </w:numPr>
        <w:tabs>
          <w:tab w:val="clear" w:pos="709"/>
          <w:tab w:val="left" w:pos="0" w:leader="none"/>
        </w:tabs>
        <w:spacing w:lineRule="auto" w:line="360"/>
        <w:ind w:left="0" w:hanging="11"/>
        <w:jc w:val="both"/>
        <w:rPr>
          <w:rFonts w:ascii="Arial" w:hAnsi="Arial" w:cs="Arial"/>
          <w:sz w:val="22"/>
          <w:szCs w:val="22"/>
        </w:rPr>
      </w:pPr>
      <w:r>
        <w:rPr>
          <w:rFonts w:cs="Arial" w:ascii="Arial" w:hAnsi="Arial"/>
          <w:sz w:val="22"/>
          <w:szCs w:val="22"/>
        </w:rPr>
        <w:t>Sociedade simples: inscrição do ato constitutivo no Registro Civil de Pessoas Jurídicas do local de sua sede, acompanhada de documento comprobatório de seus administradores;</w:t>
      </w:r>
    </w:p>
    <w:p>
      <w:pPr>
        <w:pStyle w:val="ListParagraph"/>
        <w:numPr>
          <w:ilvl w:val="0"/>
          <w:numId w:val="8"/>
        </w:numPr>
        <w:tabs>
          <w:tab w:val="clear" w:pos="709"/>
          <w:tab w:val="left" w:pos="0" w:leader="none"/>
        </w:tabs>
        <w:spacing w:lineRule="auto" w:line="360"/>
        <w:ind w:left="0" w:hanging="11"/>
        <w:jc w:val="both"/>
        <w:rPr>
          <w:rFonts w:ascii="Arial" w:hAnsi="Arial" w:cs="Arial"/>
          <w:sz w:val="22"/>
          <w:szCs w:val="22"/>
        </w:rPr>
      </w:pPr>
      <w:r>
        <w:rPr>
          <w:rFonts w:cs="Arial" w:ascii="Arial" w:hAnsi="Arial"/>
          <w:sz w:val="22"/>
          <w:szCs w:val="22"/>
        </w:rPr>
        <w:t>Decreto de autorização, em se tratando de empresa ou sociedade estrangeira em funcionamento no País, e ato de registro ou autorização para funcionamento expedidos pelo órgão competente, quando a atividade assim o exigir.</w:t>
      </w:r>
    </w:p>
    <w:p>
      <w:pPr>
        <w:pStyle w:val="ListParagraph"/>
        <w:numPr>
          <w:ilvl w:val="0"/>
          <w:numId w:val="8"/>
        </w:numPr>
        <w:tabs>
          <w:tab w:val="clear" w:pos="709"/>
          <w:tab w:val="left" w:pos="0" w:leader="none"/>
        </w:tabs>
        <w:spacing w:lineRule="auto" w:line="360"/>
        <w:ind w:left="0" w:hanging="11"/>
        <w:jc w:val="both"/>
        <w:rPr>
          <w:rFonts w:ascii="Arial" w:hAnsi="Arial" w:cs="Arial"/>
          <w:sz w:val="22"/>
          <w:szCs w:val="22"/>
        </w:rPr>
      </w:pPr>
      <w:r>
        <w:rPr>
          <w:rFonts w:cs="Arial" w:ascii="Arial" w:hAnsi="Arial"/>
          <w:sz w:val="22"/>
          <w:szCs w:val="22"/>
        </w:rPr>
        <w:t xml:space="preserve">Os documentos apresentados deverão estar acompanhados de todas as alterações ou da consolidação respectiva. </w:t>
      </w:r>
    </w:p>
    <w:p>
      <w:pPr>
        <w:pStyle w:val="Normal"/>
        <w:spacing w:lineRule="auto" w:line="360"/>
        <w:rPr>
          <w:rFonts w:ascii="Arial" w:hAnsi="Arial" w:eastAsia="MS Mincho" w:cs="Arial"/>
          <w:b/>
          <w:bCs/>
          <w:kern w:val="0"/>
          <w:sz w:val="22"/>
          <w:szCs w:val="22"/>
          <w:lang w:eastAsia="pt-BR"/>
        </w:rPr>
      </w:pPr>
      <w:r>
        <w:rPr>
          <w:rFonts w:eastAsia="MS Mincho" w:cs="Arial" w:ascii="Arial" w:hAnsi="Arial"/>
          <w:b/>
          <w:bCs/>
          <w:kern w:val="0"/>
          <w:sz w:val="22"/>
          <w:szCs w:val="22"/>
          <w:lang w:eastAsia="pt-BR"/>
        </w:rPr>
        <w:t>5.2 - HABILITAÇÃO FISCAL, SOCIAL e TRABALHISTA</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a) Prova de inscrição no Cadastro Nacional de Pessoas Jurídicas do Ministério da Fazenda </w:t>
      </w:r>
      <w:r>
        <w:rPr>
          <w:rFonts w:cs="Arial" w:ascii="Arial" w:hAnsi="Arial"/>
          <w:b/>
          <w:bCs/>
          <w:sz w:val="22"/>
          <w:szCs w:val="22"/>
        </w:rPr>
        <w:t xml:space="preserve">(CNPJ); </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b) Certidão Conjunta Negativa de Débitos ou Positiva com efeito de Negativa, relativa a </w:t>
      </w:r>
      <w:r>
        <w:rPr>
          <w:rFonts w:cs="Arial" w:ascii="Arial" w:hAnsi="Arial"/>
          <w:b/>
          <w:bCs/>
          <w:sz w:val="22"/>
          <w:szCs w:val="22"/>
        </w:rPr>
        <w:t>Tributos Federais</w:t>
      </w:r>
      <w:r>
        <w:rPr>
          <w:rFonts w:cs="Arial" w:ascii="Arial" w:hAnsi="Arial"/>
          <w:sz w:val="22"/>
          <w:szCs w:val="22"/>
        </w:rPr>
        <w:t xml:space="preserve"> (inclusive às contribuições sociais) e a Dívida Ativa da União.</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c) Certidão de </w:t>
      </w:r>
      <w:r>
        <w:rPr>
          <w:rFonts w:cs="Arial" w:ascii="Arial" w:hAnsi="Arial"/>
          <w:b/>
          <w:bCs/>
          <w:sz w:val="22"/>
          <w:szCs w:val="22"/>
        </w:rPr>
        <w:t xml:space="preserve">regularidade de débitos com a Fazenda Municipal, </w:t>
      </w:r>
      <w:r>
        <w:rPr>
          <w:rFonts w:cs="Arial" w:ascii="Arial" w:hAnsi="Arial"/>
          <w:sz w:val="22"/>
          <w:szCs w:val="22"/>
        </w:rPr>
        <w:t>da sede/ domicílio do licitante, relativa aos tributos incidentes sobre o objeto desta licitação.</w:t>
      </w:r>
    </w:p>
    <w:p>
      <w:pPr>
        <w:pStyle w:val="Normal"/>
        <w:spacing w:lineRule="auto" w:line="360"/>
        <w:ind w:right="-54" w:hanging="0"/>
        <w:jc w:val="both"/>
        <w:rPr>
          <w:rFonts w:ascii="Arial" w:hAnsi="Arial" w:cs="Arial"/>
          <w:sz w:val="22"/>
          <w:szCs w:val="22"/>
        </w:rPr>
      </w:pPr>
      <w:r>
        <w:rPr>
          <w:rFonts w:cs="Arial" w:ascii="Arial" w:hAnsi="Arial"/>
          <w:sz w:val="22"/>
          <w:szCs w:val="22"/>
        </w:rPr>
        <w:t>d) Certidão de regularidade de débito para com o Fundo de Garantia por Tempo de Serviço</w:t>
      </w:r>
      <w:r>
        <w:rPr>
          <w:rFonts w:cs="Arial" w:ascii="Arial" w:hAnsi="Arial"/>
          <w:b/>
          <w:bCs/>
          <w:sz w:val="22"/>
          <w:szCs w:val="22"/>
        </w:rPr>
        <w:t xml:space="preserve"> (FGTS).</w:t>
      </w:r>
    </w:p>
    <w:p>
      <w:pPr>
        <w:pStyle w:val="Normal"/>
        <w:spacing w:lineRule="auto" w:line="360"/>
        <w:jc w:val="both"/>
        <w:rPr>
          <w:rFonts w:ascii="Arial" w:hAnsi="Arial" w:cs="Arial"/>
          <w:sz w:val="22"/>
          <w:szCs w:val="22"/>
        </w:rPr>
      </w:pPr>
      <w:r>
        <w:rPr>
          <w:rStyle w:val="Apple-style-span"/>
          <w:rFonts w:cs="Arial" w:ascii="Arial" w:hAnsi="Arial"/>
          <w:sz w:val="22"/>
          <w:szCs w:val="22"/>
        </w:rPr>
        <w:t xml:space="preserve">e) Certidão Negativa de Débitos Trabalhistas - </w:t>
      </w:r>
      <w:r>
        <w:rPr>
          <w:rStyle w:val="Apple-style-span"/>
          <w:rFonts w:cs="Arial" w:ascii="Arial" w:hAnsi="Arial"/>
          <w:b/>
          <w:bCs/>
          <w:sz w:val="22"/>
          <w:szCs w:val="22"/>
        </w:rPr>
        <w:t>CNDT</w:t>
      </w:r>
      <w:r>
        <w:rPr>
          <w:rStyle w:val="Apple-style-span"/>
          <w:rFonts w:cs="Arial" w:ascii="Arial" w:hAnsi="Arial"/>
          <w:sz w:val="22"/>
          <w:szCs w:val="22"/>
        </w:rPr>
        <w:t xml:space="preserve"> ou </w:t>
      </w:r>
      <w:r>
        <w:rPr>
          <w:rFonts w:cs="Arial" w:ascii="Arial" w:hAnsi="Arial"/>
          <w:sz w:val="22"/>
          <w:szCs w:val="22"/>
        </w:rPr>
        <w:t>Certidão Positiva de Débitos Trabalhistas com efeitos de Negativa;</w:t>
      </w:r>
    </w:p>
    <w:p>
      <w:pPr>
        <w:pStyle w:val="Normal"/>
        <w:tabs>
          <w:tab w:val="clear" w:pos="709"/>
          <w:tab w:val="left" w:pos="9355" w:leader="none"/>
        </w:tabs>
        <w:spacing w:lineRule="auto" w:line="360"/>
        <w:ind w:right="-5" w:hanging="0"/>
        <w:jc w:val="both"/>
        <w:rPr>
          <w:rFonts w:ascii="Arial" w:hAnsi="Arial" w:cs="Arial"/>
          <w:sz w:val="22"/>
          <w:szCs w:val="22"/>
        </w:rPr>
      </w:pPr>
      <w:r>
        <w:rPr>
          <w:rFonts w:cs="Arial" w:ascii="Arial" w:hAnsi="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pPr>
        <w:pStyle w:val="Normal"/>
        <w:spacing w:lineRule="auto" w:line="360"/>
        <w:jc w:val="both"/>
        <w:rPr>
          <w:rFonts w:ascii="Arial" w:hAnsi="Arial" w:cs="Arial"/>
          <w:b/>
          <w:sz w:val="22"/>
          <w:szCs w:val="22"/>
        </w:rPr>
      </w:pPr>
      <w:bookmarkStart w:id="17" w:name="_Hlk168562818"/>
      <w:r>
        <w:rPr>
          <w:rFonts w:cs="Arial" w:ascii="Arial" w:hAnsi="Arial"/>
          <w:b/>
          <w:sz w:val="22"/>
          <w:szCs w:val="22"/>
        </w:rPr>
        <w:t xml:space="preserve">5.3 - QUALIFICAÇÃO TÉCNICA </w:t>
      </w:r>
    </w:p>
    <w:p>
      <w:pPr>
        <w:pStyle w:val="Normal"/>
        <w:spacing w:lineRule="auto" w:line="360"/>
        <w:jc w:val="both"/>
        <w:rPr>
          <w:rFonts w:ascii="Arial" w:hAnsi="Arial" w:cs="Arial"/>
          <w:b/>
          <w:sz w:val="22"/>
          <w:szCs w:val="22"/>
          <w:u w:val="single"/>
        </w:rPr>
      </w:pPr>
      <w:r>
        <w:rPr>
          <w:rFonts w:cs="Arial" w:ascii="Arial" w:hAnsi="Arial"/>
          <w:sz w:val="22"/>
          <w:szCs w:val="22"/>
        </w:rPr>
        <w:t xml:space="preserve">a) Comprovação de aptidão para desempenho de atividade pertinente com o objeto da licitação, mediante apresentação de </w:t>
      </w:r>
      <w:r>
        <w:rPr>
          <w:rFonts w:cs="Arial" w:ascii="Arial" w:hAnsi="Arial"/>
          <w:b/>
          <w:bCs/>
          <w:sz w:val="22"/>
          <w:szCs w:val="22"/>
        </w:rPr>
        <w:t xml:space="preserve">atestado(s) ou certidão(ões) </w:t>
      </w:r>
      <w:r>
        <w:rPr>
          <w:rFonts w:cs="Arial" w:ascii="Arial" w:hAnsi="Arial"/>
          <w:sz w:val="22"/>
          <w:szCs w:val="22"/>
        </w:rPr>
        <w:t>fornecidas por pessoa jurídica de direito público ou privado, com clara identificação de seu subscritor.</w:t>
      </w:r>
      <w:bookmarkEnd w:id="17"/>
    </w:p>
    <w:p>
      <w:pPr>
        <w:pStyle w:val="Normal"/>
        <w:spacing w:lineRule="auto" w:line="360"/>
        <w:jc w:val="both"/>
        <w:rPr>
          <w:rFonts w:ascii="Arial" w:hAnsi="Arial" w:cs="Arial"/>
          <w:sz w:val="22"/>
          <w:szCs w:val="22"/>
        </w:rPr>
      </w:pPr>
      <w:r>
        <w:rPr>
          <w:rFonts w:cs="Arial" w:ascii="Arial" w:hAnsi="Arial"/>
          <w:b/>
          <w:bCs/>
          <w:sz w:val="22"/>
          <w:szCs w:val="22"/>
        </w:rPr>
        <w:t>5.4 -</w:t>
      </w:r>
      <w:r>
        <w:rPr>
          <w:rFonts w:cs="Arial" w:ascii="Arial" w:hAnsi="Arial"/>
          <w:sz w:val="22"/>
          <w:szCs w:val="22"/>
        </w:rPr>
        <w:t xml:space="preserve"> </w:t>
      </w:r>
      <w:r>
        <w:rPr>
          <w:rFonts w:cs="Arial" w:ascii="Arial" w:hAnsi="Arial"/>
          <w:b/>
          <w:bCs/>
          <w:sz w:val="22"/>
          <w:szCs w:val="22"/>
        </w:rPr>
        <w:t>QUALIFICAÇÃO ECONÔMICO-FINANCEIRA</w:t>
      </w:r>
    </w:p>
    <w:p>
      <w:pPr>
        <w:pStyle w:val="Normal"/>
        <w:spacing w:lineRule="auto" w:line="360"/>
        <w:jc w:val="both"/>
        <w:rPr>
          <w:rFonts w:ascii="Arial" w:hAnsi="Arial" w:cs="Arial"/>
          <w:b/>
          <w:sz w:val="22"/>
          <w:szCs w:val="22"/>
        </w:rPr>
      </w:pPr>
      <w:r>
        <w:rPr>
          <w:rFonts w:cs="Arial" w:ascii="Arial" w:hAnsi="Arial"/>
          <w:sz w:val="22"/>
          <w:szCs w:val="22"/>
        </w:rPr>
        <w:t xml:space="preserve">a) Certidão Negativa de </w:t>
      </w:r>
      <w:r>
        <w:rPr>
          <w:rFonts w:cs="Arial" w:ascii="Arial" w:hAnsi="Arial"/>
          <w:b/>
          <w:bCs/>
          <w:sz w:val="22"/>
          <w:szCs w:val="22"/>
        </w:rPr>
        <w:t>Falência, Concordata,</w:t>
      </w:r>
      <w:r>
        <w:rPr>
          <w:rFonts w:cs="Arial" w:ascii="Arial" w:hAnsi="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pPr>
        <w:pStyle w:val="Normal"/>
        <w:spacing w:lineRule="auto" w:line="360"/>
        <w:jc w:val="both"/>
        <w:rPr>
          <w:rFonts w:ascii="Arial" w:hAnsi="Arial" w:cs="Arial"/>
          <w:b/>
          <w:sz w:val="22"/>
          <w:szCs w:val="22"/>
          <w:u w:val="single"/>
        </w:rPr>
      </w:pPr>
      <w:r>
        <w:rPr>
          <w:rFonts w:cs="Arial" w:ascii="Arial" w:hAnsi="Arial"/>
          <w:b/>
          <w:sz w:val="22"/>
          <w:szCs w:val="22"/>
          <w:u w:val="single"/>
        </w:rPr>
        <w:t>5.5 - OUTRAS COMPROVAÇÕES</w:t>
      </w:r>
    </w:p>
    <w:p>
      <w:pPr>
        <w:pStyle w:val="Normal"/>
        <w:spacing w:lineRule="auto" w:line="360"/>
        <w:jc w:val="both"/>
        <w:rPr>
          <w:rFonts w:ascii="Arial" w:hAnsi="Arial" w:cs="Arial"/>
          <w:sz w:val="22"/>
          <w:szCs w:val="22"/>
        </w:rPr>
      </w:pPr>
      <w:r>
        <w:rPr>
          <w:rFonts w:cs="Arial" w:ascii="Arial" w:hAnsi="Arial"/>
          <w:sz w:val="22"/>
          <w:szCs w:val="22"/>
        </w:rPr>
        <w:t>a) Declaração elaborada em papel timbrado e subscrita pelo representante legal da licitante, assegurando a inexistência de impedimento legal para licitar ou contratar com a Administração (Anexo III).</w:t>
      </w:r>
    </w:p>
    <w:p>
      <w:pPr>
        <w:pStyle w:val="Normal"/>
        <w:spacing w:lineRule="auto" w:line="360"/>
        <w:ind w:right="-57" w:hanging="0"/>
        <w:jc w:val="both"/>
        <w:rPr>
          <w:rFonts w:ascii="Arial" w:hAnsi="Arial" w:cs="Arial"/>
          <w:b/>
          <w:sz w:val="22"/>
          <w:szCs w:val="22"/>
          <w:u w:val="single"/>
        </w:rPr>
      </w:pPr>
      <w:r>
        <w:rPr>
          <w:rFonts w:cs="Arial" w:ascii="Arial" w:hAnsi="Arial"/>
          <w:b/>
          <w:sz w:val="22"/>
          <w:szCs w:val="22"/>
          <w:u w:val="single"/>
        </w:rPr>
        <w:t>5.6 - DISPOSIÇÕES GERAIS DA HABILITAÇÃO</w:t>
      </w:r>
    </w:p>
    <w:p>
      <w:pPr>
        <w:pStyle w:val="Normal"/>
        <w:spacing w:lineRule="auto" w:line="360"/>
        <w:ind w:right="-57" w:hanging="0"/>
        <w:jc w:val="both"/>
        <w:rPr>
          <w:rFonts w:ascii="Arial" w:hAnsi="Arial" w:cs="Arial"/>
          <w:sz w:val="22"/>
          <w:szCs w:val="22"/>
        </w:rPr>
      </w:pPr>
      <w:r>
        <w:rPr>
          <w:rFonts w:cs="Arial" w:ascii="Arial" w:hAnsi="Arial"/>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pPr>
        <w:pStyle w:val="Normal"/>
        <w:spacing w:lineRule="auto" w:line="360"/>
        <w:ind w:right="-57" w:hanging="0"/>
        <w:jc w:val="both"/>
        <w:rPr>
          <w:rFonts w:ascii="Arial" w:hAnsi="Arial" w:cs="Arial"/>
          <w:sz w:val="22"/>
          <w:szCs w:val="22"/>
        </w:rPr>
      </w:pPr>
      <w:r>
        <w:rPr>
          <w:rFonts w:cs="Arial" w:ascii="Arial" w:hAnsi="Arial"/>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pPr>
        <w:pStyle w:val="Normal"/>
        <w:spacing w:lineRule="auto" w:line="360"/>
        <w:ind w:right="-57" w:hanging="0"/>
        <w:jc w:val="both"/>
        <w:rPr>
          <w:rFonts w:ascii="Arial" w:hAnsi="Arial" w:cs="Arial"/>
          <w:sz w:val="22"/>
          <w:szCs w:val="22"/>
        </w:rPr>
      </w:pPr>
      <w:r>
        <w:rPr>
          <w:rFonts w:cs="Arial" w:ascii="Arial" w:hAnsi="Arial"/>
          <w:sz w:val="22"/>
          <w:szCs w:val="22"/>
        </w:rPr>
        <w:t xml:space="preserve">5.6.3 - Não serão aceitos protocolos de entrega ou solicitação de documento em substituição aos documentos requeridos no presente Edital e seus Anexos. </w:t>
      </w:r>
    </w:p>
    <w:p>
      <w:pPr>
        <w:pStyle w:val="Normal"/>
        <w:spacing w:lineRule="auto" w:line="360"/>
        <w:ind w:right="-57" w:hanging="0"/>
        <w:jc w:val="both"/>
        <w:rPr>
          <w:rFonts w:ascii="Arial" w:hAnsi="Arial" w:cs="Arial"/>
          <w:sz w:val="22"/>
          <w:szCs w:val="22"/>
        </w:rPr>
      </w:pPr>
      <w:r>
        <w:rPr>
          <w:rFonts w:cs="Arial" w:ascii="Arial" w:hAnsi="Arial"/>
          <w:sz w:val="22"/>
          <w:szCs w:val="22"/>
        </w:rPr>
      </w:r>
    </w:p>
    <w:p>
      <w:pPr>
        <w:pStyle w:val="Nivel01"/>
        <w:numPr>
          <w:ilvl w:val="0"/>
          <w:numId w:val="2"/>
        </w:numPr>
        <w:spacing w:lineRule="auto" w:line="360" w:before="0" w:after="0"/>
        <w:ind w:left="0" w:hanging="0"/>
        <w:rPr>
          <w:sz w:val="22"/>
          <w:szCs w:val="22"/>
        </w:rPr>
      </w:pPr>
      <w:bookmarkStart w:id="18" w:name="_Toc122606107"/>
      <w:r>
        <w:rPr>
          <w:sz w:val="22"/>
          <w:szCs w:val="22"/>
        </w:rPr>
        <w:t>DA ABERTURA DA SESSÃO, CLASSIFICAÇÃO DAS PROPOSTAS E FORMULAÇÃO DE LANCES</w:t>
      </w:r>
      <w:bookmarkEnd w:id="18"/>
    </w:p>
    <w:p>
      <w:pPr>
        <w:pStyle w:val="Nivel2"/>
        <w:numPr>
          <w:ilvl w:val="1"/>
          <w:numId w:val="2"/>
        </w:numPr>
        <w:spacing w:lineRule="auto" w:line="360" w:before="0" w:after="0"/>
        <w:ind w:left="0" w:hanging="0"/>
        <w:rPr>
          <w:color w:val="auto"/>
          <w:sz w:val="22"/>
          <w:szCs w:val="22"/>
        </w:rPr>
      </w:pPr>
      <w:r>
        <w:rPr>
          <w:color w:val="auto"/>
          <w:sz w:val="22"/>
          <w:szCs w:val="22"/>
        </w:rPr>
        <w:t>A abertura da presente licitação dar-se-á automaticamente em sessão pública, por meio de sistema eletrônico, na data, horário e local indicados neste Edital.</w:t>
      </w:r>
    </w:p>
    <w:p>
      <w:pPr>
        <w:pStyle w:val="Nivel2"/>
        <w:numPr>
          <w:ilvl w:val="1"/>
          <w:numId w:val="2"/>
        </w:numPr>
        <w:spacing w:lineRule="auto" w:line="360" w:before="0" w:after="0"/>
        <w:ind w:left="0" w:hanging="0"/>
        <w:rPr>
          <w:color w:val="auto"/>
          <w:sz w:val="22"/>
          <w:szCs w:val="22"/>
        </w:rPr>
      </w:pPr>
      <w:r>
        <w:rPr>
          <w:color w:val="auto"/>
          <w:sz w:val="22"/>
          <w:szCs w:val="22"/>
        </w:rPr>
        <w:t>Os licitantes poderão retirar ou substituir a proposta ou os documentos de habilitação, quando for o caso, anteriormente inseridos no sistema, até a abertura da sessão pública.</w:t>
      </w:r>
    </w:p>
    <w:p>
      <w:pPr>
        <w:pStyle w:val="Nivel3"/>
        <w:numPr>
          <w:ilvl w:val="2"/>
          <w:numId w:val="2"/>
        </w:numPr>
        <w:tabs>
          <w:tab w:val="clear" w:pos="709"/>
          <w:tab w:val="left" w:pos="567" w:leader="none"/>
        </w:tabs>
        <w:spacing w:lineRule="auto" w:line="360" w:before="0" w:after="0"/>
        <w:ind w:left="567" w:hanging="504"/>
        <w:rPr>
          <w:color w:val="auto"/>
          <w:sz w:val="22"/>
          <w:szCs w:val="22"/>
        </w:rPr>
      </w:pPr>
      <w:r>
        <w:rPr>
          <w:color w:val="auto"/>
          <w:sz w:val="22"/>
          <w:szCs w:val="22"/>
        </w:rPr>
        <w:t>Será desclassificada a proposta que identifique o licitante.</w:t>
      </w:r>
    </w:p>
    <w:p>
      <w:pPr>
        <w:pStyle w:val="Nivel3"/>
        <w:numPr>
          <w:ilvl w:val="2"/>
          <w:numId w:val="2"/>
        </w:numPr>
        <w:tabs>
          <w:tab w:val="clear" w:pos="709"/>
          <w:tab w:val="left" w:pos="993" w:leader="none"/>
        </w:tabs>
        <w:spacing w:lineRule="auto" w:line="360" w:before="0" w:after="0"/>
        <w:ind w:left="0" w:hanging="0"/>
        <w:rPr>
          <w:color w:val="auto"/>
          <w:sz w:val="22"/>
          <w:szCs w:val="22"/>
        </w:rPr>
      </w:pPr>
      <w:r>
        <w:rPr>
          <w:color w:val="auto"/>
          <w:sz w:val="22"/>
          <w:szCs w:val="22"/>
        </w:rPr>
        <w:t>A desclassificação será sempre fundamentada e registrada no sistema, com acompanhamento em tempo real por todos os participantes.</w:t>
      </w:r>
    </w:p>
    <w:p>
      <w:pPr>
        <w:pStyle w:val="Nivel3"/>
        <w:numPr>
          <w:ilvl w:val="2"/>
          <w:numId w:val="2"/>
        </w:numPr>
        <w:tabs>
          <w:tab w:val="clear" w:pos="709"/>
          <w:tab w:val="left" w:pos="993" w:leader="none"/>
        </w:tabs>
        <w:spacing w:lineRule="auto" w:line="360" w:before="0" w:after="0"/>
        <w:ind w:left="0" w:hanging="0"/>
        <w:rPr>
          <w:color w:val="auto"/>
          <w:sz w:val="22"/>
          <w:szCs w:val="22"/>
        </w:rPr>
      </w:pPr>
      <w:r>
        <w:rPr>
          <w:color w:val="auto"/>
          <w:sz w:val="22"/>
          <w:szCs w:val="22"/>
        </w:rPr>
        <w:t>A não desclassificação da proposta não impede o seu julgamento definitivo em sentido contrário, levado a efeito na fase de aceitação.</w:t>
      </w:r>
    </w:p>
    <w:p>
      <w:pPr>
        <w:pStyle w:val="Nivel2"/>
        <w:numPr>
          <w:ilvl w:val="1"/>
          <w:numId w:val="2"/>
        </w:numPr>
        <w:spacing w:lineRule="auto" w:line="360" w:before="0" w:after="0"/>
        <w:ind w:left="0" w:hanging="0"/>
        <w:rPr>
          <w:color w:val="auto"/>
          <w:sz w:val="22"/>
          <w:szCs w:val="22"/>
        </w:rPr>
      </w:pPr>
      <w:r>
        <w:rPr>
          <w:color w:val="auto"/>
          <w:sz w:val="22"/>
          <w:szCs w:val="22"/>
        </w:rPr>
        <w:t>O sistema ordenará automaticamente as propostas classificadas, sendo que somente estas participarão da fase de lances.</w:t>
      </w:r>
    </w:p>
    <w:p>
      <w:pPr>
        <w:pStyle w:val="Nivel2"/>
        <w:numPr>
          <w:ilvl w:val="1"/>
          <w:numId w:val="2"/>
        </w:numPr>
        <w:spacing w:lineRule="auto" w:line="360" w:before="0" w:after="0"/>
        <w:ind w:left="0" w:hanging="0"/>
        <w:rPr>
          <w:color w:val="auto"/>
          <w:sz w:val="22"/>
          <w:szCs w:val="22"/>
        </w:rPr>
      </w:pPr>
      <w:r>
        <w:rPr>
          <w:color w:val="auto"/>
          <w:sz w:val="22"/>
          <w:szCs w:val="22"/>
        </w:rPr>
        <w:t>O sistema disponibilizará campo próprio para troca de mensagens entre o Pregoeiro e os licitantes.</w:t>
      </w:r>
    </w:p>
    <w:p>
      <w:pPr>
        <w:pStyle w:val="Nivel2"/>
        <w:numPr>
          <w:ilvl w:val="1"/>
          <w:numId w:val="2"/>
        </w:numPr>
        <w:spacing w:lineRule="auto" w:line="360" w:before="0" w:after="0"/>
        <w:ind w:left="0" w:hanging="0"/>
        <w:rPr>
          <w:color w:val="auto"/>
          <w:sz w:val="22"/>
          <w:szCs w:val="22"/>
        </w:rPr>
      </w:pPr>
      <w:r>
        <w:rPr>
          <w:color w:val="auto"/>
          <w:sz w:val="22"/>
          <w:szCs w:val="22"/>
        </w:rPr>
        <w:t xml:space="preserve">Iniciada a etapa competitiva, os licitantes deverão encaminhar lances exclusivamente por meio de sistema eletrônico, sendo imediatamente informados do seu recebimento e do valor consignado no registro. </w:t>
      </w:r>
    </w:p>
    <w:p>
      <w:pPr>
        <w:pStyle w:val="Nivel2"/>
        <w:numPr>
          <w:ilvl w:val="1"/>
          <w:numId w:val="2"/>
        </w:numPr>
        <w:spacing w:lineRule="auto" w:line="360" w:before="0" w:after="0"/>
        <w:ind w:left="0" w:hanging="0"/>
        <w:rPr>
          <w:color w:val="auto"/>
          <w:sz w:val="22"/>
          <w:szCs w:val="22"/>
        </w:rPr>
      </w:pPr>
      <w:r>
        <w:rPr>
          <w:color w:val="auto"/>
          <w:sz w:val="22"/>
          <w:szCs w:val="22"/>
        </w:rPr>
        <w:t>O lance deverá ser ofertado pelo valor total global do lote.</w:t>
      </w:r>
    </w:p>
    <w:p>
      <w:pPr>
        <w:pStyle w:val="Nivel2"/>
        <w:numPr>
          <w:ilvl w:val="1"/>
          <w:numId w:val="2"/>
        </w:numPr>
        <w:spacing w:lineRule="auto" w:line="360" w:before="0" w:after="0"/>
        <w:ind w:left="0" w:hanging="0"/>
        <w:rPr>
          <w:color w:val="auto"/>
          <w:sz w:val="22"/>
          <w:szCs w:val="22"/>
        </w:rPr>
      </w:pPr>
      <w:r>
        <w:rPr>
          <w:color w:val="auto"/>
          <w:sz w:val="22"/>
          <w:szCs w:val="22"/>
        </w:rPr>
        <w:t>Os licitantes poderão oferecer lances sucessivos, observando o horário fixado para abertura da sessão e as regras estabelecidas no Edital.</w:t>
      </w:r>
    </w:p>
    <w:p>
      <w:pPr>
        <w:pStyle w:val="Nivel2"/>
        <w:numPr>
          <w:ilvl w:val="1"/>
          <w:numId w:val="2"/>
        </w:numPr>
        <w:spacing w:lineRule="auto" w:line="360" w:before="0" w:after="0"/>
        <w:ind w:left="0" w:hanging="0"/>
        <w:rPr>
          <w:color w:val="auto"/>
          <w:sz w:val="22"/>
          <w:szCs w:val="22"/>
        </w:rPr>
      </w:pPr>
      <w:r>
        <w:rPr>
          <w:color w:val="auto"/>
          <w:sz w:val="22"/>
          <w:szCs w:val="22"/>
        </w:rPr>
        <w:t xml:space="preserve">O licitante somente poderá oferecer lance </w:t>
      </w:r>
      <w:r>
        <w:rPr>
          <w:iCs/>
          <w:color w:val="auto"/>
          <w:sz w:val="22"/>
          <w:szCs w:val="22"/>
        </w:rPr>
        <w:t>de valor inferior</w:t>
      </w:r>
      <w:r>
        <w:rPr>
          <w:color w:val="auto"/>
          <w:sz w:val="22"/>
          <w:szCs w:val="22"/>
        </w:rPr>
        <w:t xml:space="preserve"> ao último por ele ofertado e registrado pelo sistema. </w:t>
      </w:r>
    </w:p>
    <w:p>
      <w:pPr>
        <w:pStyle w:val="Nivel2"/>
        <w:numPr>
          <w:ilvl w:val="1"/>
          <w:numId w:val="2"/>
        </w:numPr>
        <w:spacing w:lineRule="auto" w:line="360" w:before="0" w:after="0"/>
        <w:ind w:left="0" w:hanging="0"/>
        <w:rPr>
          <w:color w:val="auto"/>
          <w:sz w:val="22"/>
          <w:szCs w:val="22"/>
        </w:rPr>
      </w:pPr>
      <w:r>
        <w:rPr>
          <w:color w:val="auto"/>
          <w:sz w:val="22"/>
          <w:szCs w:val="22"/>
        </w:rPr>
        <w:t>O procedimento seguirá de acordo com o modo de disputa adotado.</w:t>
      </w:r>
    </w:p>
    <w:p>
      <w:pPr>
        <w:pStyle w:val="Nivel2"/>
        <w:numPr>
          <w:ilvl w:val="1"/>
          <w:numId w:val="2"/>
        </w:numPr>
        <w:spacing w:lineRule="auto" w:line="360" w:before="0" w:after="0"/>
        <w:ind w:left="0" w:hanging="0"/>
        <w:rPr>
          <w:color w:val="auto"/>
          <w:sz w:val="22"/>
          <w:szCs w:val="22"/>
        </w:rPr>
      </w:pPr>
      <w:r>
        <w:rPr>
          <w:color w:val="auto"/>
          <w:sz w:val="22"/>
          <w:szCs w:val="22"/>
        </w:rPr>
        <w:t>Será adotado para o envio de lances no pregão eletrônico o modo de disputa “aberto”, os licitantes apresentarão lances públicos e sucessivos, com prorrogações.</w:t>
      </w:r>
    </w:p>
    <w:p>
      <w:pPr>
        <w:pStyle w:val="Nivel3"/>
        <w:numPr>
          <w:ilvl w:val="2"/>
          <w:numId w:val="2"/>
        </w:numPr>
        <w:tabs>
          <w:tab w:val="clear" w:pos="709"/>
          <w:tab w:val="left" w:pos="993" w:leader="none"/>
        </w:tabs>
        <w:spacing w:lineRule="auto" w:line="360" w:before="0" w:after="0"/>
        <w:ind w:left="0" w:hanging="0"/>
        <w:rPr>
          <w:iCs/>
          <w:color w:val="auto"/>
          <w:sz w:val="22"/>
          <w:szCs w:val="22"/>
        </w:rPr>
      </w:pPr>
      <w:bookmarkStart w:id="19" w:name="_Hlk113697759"/>
      <w:bookmarkEnd w:id="19"/>
      <w:r>
        <w:rPr>
          <w:color w:val="auto"/>
          <w:sz w:val="22"/>
          <w:szCs w:val="22"/>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2"/>
        </w:numPr>
        <w:tabs>
          <w:tab w:val="clear" w:pos="709"/>
          <w:tab w:val="left" w:pos="993" w:leader="none"/>
        </w:tabs>
        <w:spacing w:lineRule="auto" w:line="360" w:before="0" w:after="0"/>
        <w:ind w:left="0" w:hanging="0"/>
        <w:rPr>
          <w:iCs/>
          <w:color w:val="auto"/>
          <w:sz w:val="22"/>
          <w:szCs w:val="22"/>
        </w:rPr>
      </w:pPr>
      <w:r>
        <w:rPr>
          <w:color w:val="auto"/>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2"/>
        </w:numPr>
        <w:tabs>
          <w:tab w:val="clear" w:pos="709"/>
          <w:tab w:val="left" w:pos="993" w:leader="none"/>
        </w:tabs>
        <w:spacing w:lineRule="auto" w:line="360" w:before="0" w:after="0"/>
        <w:ind w:left="0" w:hanging="0"/>
        <w:rPr>
          <w:iCs/>
          <w:color w:val="auto"/>
          <w:sz w:val="22"/>
          <w:szCs w:val="22"/>
        </w:rPr>
      </w:pPr>
      <w:bookmarkStart w:id="20" w:name="_Hlk113697816"/>
      <w:r>
        <w:rPr>
          <w:color w:val="auto"/>
          <w:sz w:val="22"/>
          <w:szCs w:val="22"/>
        </w:rPr>
        <w:t>Não havendo novos lances na forma estabelecida nos itens anteriores, a sessão pública encerrar-se-á automaticamente, e o sistema ordenará e divulgará os lances conforme a ordem final de classificação.</w:t>
      </w:r>
      <w:bookmarkEnd w:id="20"/>
    </w:p>
    <w:p>
      <w:pPr>
        <w:pStyle w:val="Nivel2"/>
        <w:numPr>
          <w:ilvl w:val="1"/>
          <w:numId w:val="2"/>
        </w:numPr>
        <w:spacing w:lineRule="auto" w:line="360" w:before="0" w:after="0"/>
        <w:ind w:left="0" w:hanging="0"/>
        <w:rPr>
          <w:i/>
          <w:i/>
          <w:color w:val="auto"/>
          <w:sz w:val="22"/>
          <w:szCs w:val="22"/>
        </w:rPr>
      </w:pPr>
      <w:r>
        <w:rPr>
          <w:color w:val="auto"/>
          <w:sz w:val="22"/>
          <w:szCs w:val="22"/>
        </w:rPr>
        <w:t>Após o término dos prazos estabelecidos nos subitens anteriores, o sistema ordenará e divulgará os lances segundo a ordem crescente de valores</w:t>
      </w:r>
      <w:r>
        <w:rPr>
          <w:i/>
          <w:iCs/>
          <w:color w:val="auto"/>
          <w:sz w:val="22"/>
          <w:szCs w:val="22"/>
        </w:rPr>
        <w:t>.</w:t>
      </w:r>
    </w:p>
    <w:p>
      <w:pPr>
        <w:pStyle w:val="Nivel2"/>
        <w:numPr>
          <w:ilvl w:val="1"/>
          <w:numId w:val="2"/>
        </w:numPr>
        <w:spacing w:lineRule="auto" w:line="360" w:before="0" w:after="0"/>
        <w:ind w:left="0" w:hanging="0"/>
        <w:rPr>
          <w:color w:val="auto"/>
          <w:sz w:val="22"/>
          <w:szCs w:val="22"/>
        </w:rPr>
      </w:pPr>
      <w:r>
        <w:rPr>
          <w:color w:val="auto"/>
          <w:sz w:val="22"/>
          <w:szCs w:val="22"/>
        </w:rPr>
        <w:t xml:space="preserve">Não serão aceitos dois ou mais lances de mesmo valor, prevalecendo aquele que for recebido e registrado em primeiro lugar. </w:t>
      </w:r>
    </w:p>
    <w:p>
      <w:pPr>
        <w:pStyle w:val="Nivel2"/>
        <w:numPr>
          <w:ilvl w:val="1"/>
          <w:numId w:val="2"/>
        </w:numPr>
        <w:spacing w:lineRule="auto" w:line="360" w:before="0" w:after="0"/>
        <w:ind w:left="0" w:hanging="0"/>
        <w:rPr>
          <w:color w:val="auto"/>
          <w:sz w:val="22"/>
          <w:szCs w:val="22"/>
        </w:rPr>
      </w:pPr>
      <w:r>
        <w:rPr>
          <w:color w:val="auto"/>
          <w:sz w:val="22"/>
          <w:szCs w:val="22"/>
        </w:rPr>
        <w:t xml:space="preserve">Durante o transcurso da sessão pública, os licitantes serão informados, em tempo real, do valor do menor lance registrado, vedada a identificação do licitante. </w:t>
      </w:r>
    </w:p>
    <w:p>
      <w:pPr>
        <w:pStyle w:val="Nivel2"/>
        <w:numPr>
          <w:ilvl w:val="1"/>
          <w:numId w:val="2"/>
        </w:numPr>
        <w:spacing w:lineRule="auto" w:line="360" w:before="0" w:after="0"/>
        <w:ind w:left="0" w:hanging="0"/>
        <w:rPr>
          <w:color w:val="auto"/>
          <w:sz w:val="22"/>
          <w:szCs w:val="22"/>
        </w:rPr>
      </w:pPr>
      <w:r>
        <w:rPr>
          <w:color w:val="auto"/>
          <w:sz w:val="22"/>
          <w:szCs w:val="22"/>
        </w:rPr>
        <w:t xml:space="preserve">No caso de desconexão com o Pregoeiro, no decorrer da etapa competitiva do Pregão, o sistema eletrônico poderá permanecer acessível aos licitantes para a recepção dos lances. </w:t>
      </w:r>
    </w:p>
    <w:p>
      <w:pPr>
        <w:pStyle w:val="Nivel2"/>
        <w:numPr>
          <w:ilvl w:val="1"/>
          <w:numId w:val="2"/>
        </w:numPr>
        <w:spacing w:lineRule="auto" w:line="360" w:before="0" w:after="0"/>
        <w:ind w:left="0" w:hanging="0"/>
        <w:rPr>
          <w:color w:val="auto"/>
          <w:sz w:val="22"/>
          <w:szCs w:val="22"/>
        </w:rPr>
      </w:pPr>
      <w:r>
        <w:rPr>
          <w:color w:val="auto"/>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Nivel2"/>
        <w:numPr>
          <w:ilvl w:val="1"/>
          <w:numId w:val="2"/>
        </w:numPr>
        <w:spacing w:lineRule="auto" w:line="360" w:before="0" w:after="0"/>
        <w:ind w:left="0" w:hanging="0"/>
        <w:rPr>
          <w:color w:val="auto"/>
          <w:sz w:val="22"/>
          <w:szCs w:val="22"/>
        </w:rPr>
      </w:pPr>
      <w:r>
        <w:rPr>
          <w:color w:val="auto"/>
          <w:sz w:val="22"/>
          <w:szCs w:val="22"/>
        </w:rPr>
        <w:t>Caso o licitante não apresente lances, concorrerá com o valor de sua proposta.</w:t>
      </w:r>
    </w:p>
    <w:p>
      <w:pPr>
        <w:pStyle w:val="Nivel2"/>
        <w:numPr>
          <w:ilvl w:val="1"/>
          <w:numId w:val="2"/>
        </w:numPr>
        <w:spacing w:lineRule="auto" w:line="360" w:before="0" w:after="0"/>
        <w:ind w:left="0" w:hanging="0"/>
        <w:rPr>
          <w:color w:val="auto"/>
          <w:sz w:val="22"/>
          <w:szCs w:val="22"/>
        </w:rPr>
      </w:pPr>
      <w:r>
        <w:rPr>
          <w:color w:val="auto"/>
          <w:sz w:val="22"/>
          <w:szCs w:val="22"/>
        </w:rPr>
        <w:t>Em relação a itens não exclusivos para participação de microempresas e empresas de pequeno porte, uma vez encerrada a etapa de lances, O</w:t>
      </w:r>
      <w:r>
        <w:rPr>
          <w:rFonts w:eastAsia="Zurich BT"/>
          <w:color w:val="auto"/>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rPr>
          <w:rStyle w:val="LinkdaInternet"/>
          <w:sz w:val="22"/>
          <w:szCs w:val="22"/>
          <w:rFonts w:eastAsia="Zurich BT"/>
          <w:color w:val="auto"/>
        </w:rPr>
        <w:instrText xml:space="preserve"> HYPERLINK "https://www.planalto.gov.br/ccivil_03/leis/lcp/lcp123.htm" \l "art44"</w:instrText>
      </w:r>
      <w:r>
        <w:rPr>
          <w:rStyle w:val="LinkdaInternet"/>
          <w:sz w:val="22"/>
          <w:szCs w:val="22"/>
          <w:rFonts w:eastAsia="Zurich BT"/>
          <w:color w:val="auto"/>
        </w:rPr>
        <w:fldChar w:fldCharType="separate"/>
      </w:r>
      <w:r>
        <w:rPr>
          <w:rStyle w:val="LinkdaInternet"/>
          <w:rFonts w:eastAsia="Zurich BT"/>
          <w:color w:val="auto"/>
          <w:sz w:val="22"/>
          <w:szCs w:val="22"/>
        </w:rPr>
        <w:t>arts. 44 e 45 da Lei Complementar nº 123, de 2006</w:t>
      </w:r>
      <w:r>
        <w:rPr>
          <w:rStyle w:val="LinkdaInternet"/>
          <w:sz w:val="22"/>
          <w:szCs w:val="22"/>
          <w:rFonts w:eastAsia="Zurich BT"/>
          <w:color w:val="auto"/>
        </w:rPr>
        <w:fldChar w:fldCharType="end"/>
      </w:r>
      <w:r>
        <w:rPr>
          <w:rFonts w:eastAsia="Zurich BT"/>
          <w:color w:val="auto"/>
          <w:sz w:val="22"/>
          <w:szCs w:val="22"/>
        </w:rPr>
        <w:t xml:space="preserve">, regulamentada pelo </w:t>
      </w:r>
      <w:hyperlink r:id="rId10">
        <w:r>
          <w:rPr>
            <w:rStyle w:val="LinkdaInternet"/>
            <w:rFonts w:eastAsia="Zurich BT"/>
            <w:color w:val="auto"/>
            <w:sz w:val="22"/>
            <w:szCs w:val="22"/>
          </w:rPr>
          <w:t>Decreto nº 8.538, de 2015</w:t>
        </w:r>
      </w:hyperlink>
      <w:r>
        <w:rPr>
          <w:rFonts w:eastAsia="Zurich BT"/>
          <w:color w:val="auto"/>
          <w:sz w:val="22"/>
          <w:szCs w:val="22"/>
        </w:rPr>
        <w:t>.</w:t>
      </w:r>
    </w:p>
    <w:p>
      <w:pPr>
        <w:pStyle w:val="Nivel3"/>
        <w:numPr>
          <w:ilvl w:val="2"/>
          <w:numId w:val="2"/>
        </w:numPr>
        <w:tabs>
          <w:tab w:val="clear" w:pos="709"/>
          <w:tab w:val="left" w:pos="993" w:leader="none"/>
        </w:tabs>
        <w:spacing w:lineRule="auto" w:line="360" w:before="0" w:after="0"/>
        <w:ind w:left="0" w:hanging="0"/>
        <w:rPr>
          <w:color w:val="auto"/>
          <w:sz w:val="22"/>
          <w:szCs w:val="22"/>
        </w:rPr>
      </w:pPr>
      <w:r>
        <w:rPr>
          <w:color w:val="auto"/>
          <w:sz w:val="22"/>
          <w:szCs w:val="22"/>
        </w:rPr>
        <w:t xml:space="preserve">Nessas condições, as propostas de </w:t>
      </w:r>
      <w:r>
        <w:rPr>
          <w:rFonts w:eastAsia="Zurich BT"/>
          <w:color w:val="auto"/>
          <w:sz w:val="22"/>
          <w:szCs w:val="22"/>
        </w:rPr>
        <w:t xml:space="preserve">microempresas e empresas de pequeno porte </w:t>
      </w:r>
      <w:r>
        <w:rPr>
          <w:color w:val="auto"/>
          <w:sz w:val="22"/>
          <w:szCs w:val="22"/>
        </w:rPr>
        <w:t>que se encontrarem na faixa de até 5% (cinco por cento) acima da melhor proposta ou melhor lance serão consideradas empatadas com a primeira colocada.</w:t>
      </w:r>
    </w:p>
    <w:p>
      <w:pPr>
        <w:pStyle w:val="Nivel3"/>
        <w:numPr>
          <w:ilvl w:val="2"/>
          <w:numId w:val="2"/>
        </w:numPr>
        <w:tabs>
          <w:tab w:val="clear" w:pos="709"/>
          <w:tab w:val="left" w:pos="993" w:leader="none"/>
        </w:tabs>
        <w:spacing w:lineRule="auto" w:line="360" w:before="0" w:after="0"/>
        <w:ind w:left="0" w:hanging="0"/>
        <w:rPr>
          <w:color w:val="auto"/>
          <w:sz w:val="22"/>
          <w:szCs w:val="22"/>
        </w:rPr>
      </w:pPr>
      <w:r>
        <w:rPr>
          <w:color w:val="auto"/>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Nivel3"/>
        <w:numPr>
          <w:ilvl w:val="2"/>
          <w:numId w:val="2"/>
        </w:numPr>
        <w:tabs>
          <w:tab w:val="clear" w:pos="709"/>
          <w:tab w:val="left" w:pos="993" w:leader="none"/>
        </w:tabs>
        <w:spacing w:lineRule="auto" w:line="360" w:before="0" w:after="0"/>
        <w:ind w:left="0" w:hanging="0"/>
        <w:rPr>
          <w:color w:val="auto"/>
          <w:sz w:val="22"/>
          <w:szCs w:val="22"/>
        </w:rPr>
      </w:pPr>
      <w:r>
        <w:rPr>
          <w:color w:val="auto"/>
          <w:sz w:val="22"/>
          <w:szCs w:val="22"/>
        </w:rPr>
        <w:t xml:space="preserve">Caso a </w:t>
      </w:r>
      <w:r>
        <w:rPr>
          <w:rFonts w:eastAsia="Zurich BT"/>
          <w:color w:val="auto"/>
          <w:sz w:val="22"/>
          <w:szCs w:val="22"/>
        </w:rPr>
        <w:t>microempresa ou a empresa de pequeno porte</w:t>
      </w:r>
      <w:r>
        <w:rPr>
          <w:color w:val="auto"/>
          <w:sz w:val="22"/>
          <w:szCs w:val="22"/>
        </w:rPr>
        <w:t xml:space="preserve"> melhor classificada desista ou não se manifeste no prazo estabelecido, serão convocadas as demais licitantes </w:t>
      </w:r>
      <w:r>
        <w:rPr>
          <w:rFonts w:eastAsia="Zurich BT"/>
          <w:color w:val="auto"/>
          <w:sz w:val="22"/>
          <w:szCs w:val="22"/>
        </w:rPr>
        <w:t>microempresa e empresa de pequeno porte</w:t>
      </w:r>
      <w:r>
        <w:rPr>
          <w:color w:val="auto"/>
          <w:sz w:val="22"/>
          <w:szCs w:val="22"/>
        </w:rPr>
        <w:t xml:space="preserve"> que se encontrem naquele intervalo de 5% (cinco por cento), na ordem de classificação, para o exercício do mesmo direito, no prazo estabelecido no subitem anterior.</w:t>
      </w:r>
    </w:p>
    <w:p>
      <w:pPr>
        <w:pStyle w:val="Nivel3"/>
        <w:numPr>
          <w:ilvl w:val="2"/>
          <w:numId w:val="2"/>
        </w:numPr>
        <w:tabs>
          <w:tab w:val="clear" w:pos="709"/>
          <w:tab w:val="left" w:pos="851" w:leader="none"/>
        </w:tabs>
        <w:spacing w:lineRule="auto" w:line="360" w:before="0" w:after="0"/>
        <w:ind w:left="0" w:hanging="0"/>
        <w:rPr>
          <w:color w:val="auto"/>
          <w:sz w:val="22"/>
          <w:szCs w:val="22"/>
        </w:rPr>
      </w:pPr>
      <w:r>
        <w:rPr>
          <w:color w:val="auto"/>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ivel2"/>
        <w:numPr>
          <w:ilvl w:val="1"/>
          <w:numId w:val="2"/>
        </w:numPr>
        <w:spacing w:lineRule="auto" w:line="360" w:before="0" w:after="0"/>
        <w:ind w:left="0" w:hanging="0"/>
        <w:rPr>
          <w:color w:val="auto"/>
          <w:sz w:val="22"/>
          <w:szCs w:val="22"/>
        </w:rPr>
      </w:pPr>
      <w:r>
        <w:rPr>
          <w:color w:val="auto"/>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ivel3"/>
        <w:numPr>
          <w:ilvl w:val="2"/>
          <w:numId w:val="2"/>
        </w:numPr>
        <w:spacing w:lineRule="auto" w:line="360" w:before="0" w:after="0"/>
        <w:ind w:left="0" w:hanging="0"/>
        <w:rPr>
          <w:color w:val="auto"/>
          <w:sz w:val="22"/>
          <w:szCs w:val="22"/>
        </w:rPr>
      </w:pPr>
      <w:r>
        <w:rPr>
          <w:color w:val="auto"/>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ivel3"/>
        <w:numPr>
          <w:ilvl w:val="2"/>
          <w:numId w:val="2"/>
        </w:numPr>
        <w:spacing w:lineRule="auto" w:line="360" w:before="0" w:after="0"/>
        <w:ind w:left="0" w:hanging="0"/>
        <w:rPr>
          <w:rFonts w:eastAsia="Times New Roman"/>
          <w:color w:val="auto"/>
          <w:sz w:val="22"/>
          <w:szCs w:val="22"/>
        </w:rPr>
      </w:pPr>
      <w:r>
        <w:rPr>
          <w:rFonts w:eastAsia="Times New Roman"/>
          <w:color w:val="auto"/>
          <w:sz w:val="22"/>
          <w:szCs w:val="22"/>
        </w:rPr>
        <w:t xml:space="preserve">A </w:t>
      </w:r>
      <w:r>
        <w:rPr>
          <w:color w:val="auto"/>
          <w:sz w:val="22"/>
          <w:szCs w:val="22"/>
        </w:rPr>
        <w:t>negociação será realizada por meio do sistema, podendo ser acompanhada pelos demais licitantes.</w:t>
      </w:r>
    </w:p>
    <w:p>
      <w:pPr>
        <w:pStyle w:val="Nivel3"/>
        <w:numPr>
          <w:ilvl w:val="2"/>
          <w:numId w:val="2"/>
        </w:numPr>
        <w:spacing w:lineRule="auto" w:line="360" w:before="0" w:after="0"/>
        <w:ind w:left="0" w:hanging="0"/>
        <w:rPr>
          <w:rFonts w:eastAsia="Times New Roman"/>
          <w:color w:val="auto"/>
          <w:sz w:val="22"/>
          <w:szCs w:val="22"/>
        </w:rPr>
      </w:pPr>
      <w:r>
        <w:rPr>
          <w:rFonts w:eastAsia="Times New Roman"/>
          <w:color w:val="auto"/>
          <w:sz w:val="22"/>
          <w:szCs w:val="22"/>
        </w:rPr>
        <w:t>O resultado da negociação será divulgado a todos os licitantes e anexado aos autos do processo licitatório</w:t>
      </w:r>
    </w:p>
    <w:p>
      <w:pPr>
        <w:pStyle w:val="Nivel2"/>
        <w:numPr>
          <w:ilvl w:val="1"/>
          <w:numId w:val="2"/>
        </w:numPr>
        <w:spacing w:lineRule="auto" w:line="360" w:before="0" w:after="0"/>
        <w:ind w:left="0" w:hanging="0"/>
        <w:rPr>
          <w:rFonts w:eastAsia="Times New Roman"/>
          <w:color w:val="auto"/>
          <w:sz w:val="22"/>
          <w:szCs w:val="22"/>
        </w:rPr>
      </w:pPr>
      <w:bookmarkStart w:id="21" w:name="_Hlk114646655"/>
      <w:r>
        <w:rPr>
          <w:color w:val="auto"/>
          <w:sz w:val="22"/>
          <w:szCs w:val="22"/>
        </w:rPr>
        <w:t>Após a negociação do preço, o Pregoeiro iniciará a fase de aceitação e julgamento da proposta.</w:t>
      </w:r>
      <w:bookmarkEnd w:id="21"/>
    </w:p>
    <w:p>
      <w:pPr>
        <w:pStyle w:val="Nivel2"/>
        <w:numPr>
          <w:ilvl w:val="0"/>
          <w:numId w:val="0"/>
        </w:numPr>
        <w:spacing w:lineRule="auto" w:line="360" w:before="0" w:after="0"/>
        <w:ind w:left="0" w:hanging="0"/>
        <w:rPr>
          <w:rFonts w:eastAsia="Times New Roman"/>
          <w:color w:val="auto"/>
          <w:sz w:val="22"/>
          <w:szCs w:val="22"/>
        </w:rPr>
      </w:pPr>
      <w:r>
        <w:rPr>
          <w:rFonts w:eastAsia="Times New Roman"/>
          <w:color w:val="auto"/>
          <w:sz w:val="22"/>
          <w:szCs w:val="22"/>
        </w:rPr>
      </w:r>
    </w:p>
    <w:p>
      <w:pPr>
        <w:pStyle w:val="Nivel01"/>
        <w:numPr>
          <w:ilvl w:val="0"/>
          <w:numId w:val="2"/>
        </w:numPr>
        <w:spacing w:lineRule="auto" w:line="360" w:before="0" w:after="0"/>
        <w:ind w:left="0" w:hanging="0"/>
        <w:rPr>
          <w:sz w:val="22"/>
          <w:szCs w:val="22"/>
        </w:rPr>
      </w:pPr>
      <w:bookmarkStart w:id="22" w:name="_Toc122606108"/>
      <w:r>
        <w:rPr>
          <w:sz w:val="22"/>
          <w:szCs w:val="22"/>
        </w:rPr>
        <w:t>DA FASE DE JULGAMENTO</w:t>
      </w:r>
      <w:bookmarkEnd w:id="22"/>
    </w:p>
    <w:p>
      <w:pPr>
        <w:pStyle w:val="Nivel2"/>
        <w:numPr>
          <w:ilvl w:val="1"/>
          <w:numId w:val="2"/>
        </w:numPr>
        <w:spacing w:lineRule="auto" w:line="360" w:before="0" w:after="0"/>
        <w:ind w:left="0" w:hanging="0"/>
        <w:rPr>
          <w:color w:val="auto"/>
          <w:sz w:val="22"/>
          <w:szCs w:val="22"/>
        </w:rPr>
      </w:pPr>
      <w:bookmarkStart w:id="23" w:name="_Ref117019424"/>
      <w:r>
        <w:rPr>
          <w:color w:val="auto"/>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rPr>
          <w:rStyle w:val="LinkdaInternet"/>
          <w:sz w:val="22"/>
          <w:szCs w:val="22"/>
          <w:color w:val="auto"/>
        </w:rPr>
        <w:instrText xml:space="preserve"> HYPERLINK "http://www.planalto.gov.br/ccivil_03/_ato2019-2022/2021/lei/L14133.htm" \l "art14"</w:instrText>
      </w:r>
      <w:r>
        <w:rPr>
          <w:rStyle w:val="LinkdaInternet"/>
          <w:sz w:val="22"/>
          <w:szCs w:val="22"/>
          <w:color w:val="auto"/>
        </w:rPr>
        <w:fldChar w:fldCharType="separate"/>
      </w:r>
      <w:r>
        <w:rPr>
          <w:rStyle w:val="LinkdaInternet"/>
          <w:color w:val="auto"/>
          <w:sz w:val="22"/>
          <w:szCs w:val="22"/>
        </w:rPr>
        <w:t>art. 14 da Lei nº 14.133/2021</w:t>
      </w:r>
      <w:r>
        <w:rPr>
          <w:rStyle w:val="LinkdaInternet"/>
          <w:sz w:val="22"/>
          <w:szCs w:val="22"/>
          <w:color w:val="auto"/>
        </w:rPr>
        <w:fldChar w:fldCharType="end"/>
      </w:r>
      <w:r>
        <w:rPr>
          <w:color w:val="auto"/>
          <w:sz w:val="22"/>
          <w:szCs w:val="22"/>
        </w:rPr>
        <w:t xml:space="preserve">, legislação correlata e no item </w:t>
      </w:r>
      <w:r>
        <w:rPr>
          <w:color w:val="auto"/>
          <w:sz w:val="22"/>
          <w:szCs w:val="22"/>
        </w:rPr>
        <w:fldChar w:fldCharType="begin"/>
      </w:r>
      <w:r>
        <w:rPr>
          <w:sz w:val="22"/>
          <w:szCs w:val="22"/>
          <w:color w:val="auto"/>
        </w:rPr>
        <w:instrText xml:space="preserve"> REF _Ref117000692 \r \h </w:instrText>
      </w:r>
      <w:r>
        <w:rPr>
          <w:sz w:val="22"/>
          <w:szCs w:val="22"/>
          <w:color w:val="auto"/>
        </w:rPr>
        <w:fldChar w:fldCharType="separate"/>
      </w:r>
      <w:r>
        <w:rPr>
          <w:sz w:val="22"/>
          <w:szCs w:val="22"/>
          <w:color w:val="auto"/>
        </w:rPr>
        <w:t>2.6</w:t>
      </w:r>
      <w:r>
        <w:rPr>
          <w:sz w:val="22"/>
          <w:szCs w:val="22"/>
          <w:color w:val="auto"/>
        </w:rPr>
        <w:fldChar w:fldCharType="end"/>
      </w:r>
      <w:r>
        <w:rPr>
          <w:color w:val="auto"/>
          <w:sz w:val="22"/>
          <w:szCs w:val="22"/>
        </w:rPr>
        <w:t xml:space="preserve"> do edital, </w:t>
      </w:r>
      <w:bookmarkEnd w:id="23"/>
      <w:r>
        <w:rPr>
          <w:color w:val="auto"/>
          <w:sz w:val="22"/>
          <w:szCs w:val="22"/>
          <w:lang w:eastAsia="ar-SA"/>
        </w:rPr>
        <w:t>especialmente quanto à existência de sanção que impeça a participação no certame ou a futura contratação.</w:t>
      </w:r>
    </w:p>
    <w:p>
      <w:pPr>
        <w:pStyle w:val="Nivel2"/>
        <w:numPr>
          <w:ilvl w:val="1"/>
          <w:numId w:val="2"/>
        </w:numPr>
        <w:spacing w:lineRule="auto" w:line="360" w:before="0" w:after="0"/>
        <w:ind w:left="0" w:hanging="0"/>
        <w:rPr>
          <w:color w:val="auto"/>
          <w:sz w:val="22"/>
          <w:szCs w:val="22"/>
        </w:rPr>
      </w:pPr>
      <w:r>
        <w:rPr>
          <w:color w:val="auto"/>
          <w:sz w:val="22"/>
          <w:szCs w:val="22"/>
        </w:rPr>
        <w:t>Caso atendidas as condições de participação, será iniciado o procedimento de habilitação.</w:t>
      </w:r>
    </w:p>
    <w:p>
      <w:pPr>
        <w:pStyle w:val="Nivel2"/>
        <w:numPr>
          <w:ilvl w:val="1"/>
          <w:numId w:val="2"/>
        </w:numPr>
        <w:spacing w:lineRule="auto" w:line="360" w:before="0" w:after="0"/>
        <w:ind w:left="0" w:hanging="0"/>
        <w:rPr>
          <w:color w:val="auto"/>
          <w:sz w:val="22"/>
          <w:szCs w:val="22"/>
        </w:rPr>
      </w:pPr>
      <w:r>
        <w:rPr>
          <w:color w:val="auto"/>
          <w:sz w:val="22"/>
          <w:szCs w:val="22"/>
        </w:rPr>
        <w:t>Caso o licitante provisoriamente classificado em primeiro lugar tenha se utilizado de algum tratamento favorecido às ME/EPPs, o pregoeiro verificará se faz jus ao benefício.</w:t>
      </w:r>
    </w:p>
    <w:p>
      <w:pPr>
        <w:pStyle w:val="Nivel2"/>
        <w:numPr>
          <w:ilvl w:val="1"/>
          <w:numId w:val="2"/>
        </w:numPr>
        <w:spacing w:lineRule="auto" w:line="360" w:before="0" w:after="0"/>
        <w:ind w:left="0" w:hanging="0"/>
        <w:rPr>
          <w:b/>
          <w:color w:val="auto"/>
          <w:sz w:val="22"/>
          <w:szCs w:val="22"/>
        </w:rPr>
      </w:pPr>
      <w:r>
        <w:rPr>
          <w:color w:val="auto"/>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pPr>
        <w:pStyle w:val="Nivel2"/>
        <w:numPr>
          <w:ilvl w:val="1"/>
          <w:numId w:val="2"/>
        </w:numPr>
        <w:spacing w:lineRule="auto" w:line="360" w:before="0" w:after="0"/>
        <w:ind w:left="0" w:hanging="0"/>
        <w:rPr>
          <w:b/>
          <w:color w:val="auto"/>
          <w:sz w:val="22"/>
          <w:szCs w:val="22"/>
        </w:rPr>
      </w:pPr>
      <w:r>
        <w:rPr>
          <w:color w:val="auto"/>
          <w:sz w:val="22"/>
          <w:szCs w:val="22"/>
        </w:rPr>
        <w:t xml:space="preserve">Será desclassificada a proposta vencedora que: </w:t>
      </w:r>
    </w:p>
    <w:p>
      <w:pPr>
        <w:pStyle w:val="Nivel3"/>
        <w:numPr>
          <w:ilvl w:val="2"/>
          <w:numId w:val="2"/>
        </w:numPr>
        <w:tabs>
          <w:tab w:val="clear" w:pos="709"/>
          <w:tab w:val="left" w:pos="851" w:leader="none"/>
        </w:tabs>
        <w:spacing w:lineRule="auto" w:line="360" w:before="0" w:after="0"/>
        <w:ind w:left="0" w:hanging="0"/>
        <w:rPr>
          <w:b/>
          <w:color w:val="auto"/>
          <w:sz w:val="22"/>
          <w:szCs w:val="22"/>
        </w:rPr>
      </w:pPr>
      <w:r>
        <w:rPr>
          <w:color w:val="auto"/>
          <w:sz w:val="22"/>
          <w:szCs w:val="22"/>
        </w:rPr>
        <w:t>contiver vícios insanáveis;</w:t>
      </w:r>
    </w:p>
    <w:p>
      <w:pPr>
        <w:pStyle w:val="Nivel3"/>
        <w:numPr>
          <w:ilvl w:val="2"/>
          <w:numId w:val="2"/>
        </w:numPr>
        <w:tabs>
          <w:tab w:val="clear" w:pos="709"/>
          <w:tab w:val="left" w:pos="851" w:leader="none"/>
        </w:tabs>
        <w:spacing w:lineRule="auto" w:line="360" w:before="0" w:after="0"/>
        <w:ind w:left="0" w:hanging="0"/>
        <w:rPr>
          <w:b/>
          <w:color w:val="auto"/>
          <w:sz w:val="22"/>
          <w:szCs w:val="22"/>
        </w:rPr>
      </w:pPr>
      <w:r>
        <w:rPr>
          <w:color w:val="auto"/>
          <w:sz w:val="22"/>
          <w:szCs w:val="22"/>
        </w:rPr>
        <w:t>não obedecer às especificações técnicas contidas no Termo de Referência;</w:t>
      </w:r>
    </w:p>
    <w:p>
      <w:pPr>
        <w:pStyle w:val="Nivel3"/>
        <w:numPr>
          <w:ilvl w:val="2"/>
          <w:numId w:val="2"/>
        </w:numPr>
        <w:tabs>
          <w:tab w:val="left" w:pos="709" w:leader="none"/>
        </w:tabs>
        <w:spacing w:lineRule="auto" w:line="360" w:before="0" w:after="0"/>
        <w:ind w:left="0" w:hanging="0"/>
        <w:rPr>
          <w:b/>
          <w:color w:val="auto"/>
          <w:sz w:val="22"/>
          <w:szCs w:val="22"/>
        </w:rPr>
      </w:pPr>
      <w:r>
        <w:rPr>
          <w:color w:val="auto"/>
          <w:sz w:val="22"/>
          <w:szCs w:val="22"/>
        </w:rPr>
        <w:t>apresentar preços inexequíveis ou permanecerem acima do preço máximo definido para a contratação;</w:t>
      </w:r>
    </w:p>
    <w:p>
      <w:pPr>
        <w:pStyle w:val="Nivel3"/>
        <w:numPr>
          <w:ilvl w:val="2"/>
          <w:numId w:val="2"/>
        </w:numPr>
        <w:tabs>
          <w:tab w:val="left" w:pos="709" w:leader="none"/>
        </w:tabs>
        <w:spacing w:lineRule="auto" w:line="360" w:before="0" w:after="0"/>
        <w:ind w:left="0" w:hanging="0"/>
        <w:rPr>
          <w:b/>
          <w:color w:val="auto"/>
          <w:sz w:val="22"/>
          <w:szCs w:val="22"/>
        </w:rPr>
      </w:pPr>
      <w:r>
        <w:rPr>
          <w:color w:val="auto"/>
          <w:sz w:val="22"/>
          <w:szCs w:val="22"/>
        </w:rPr>
        <w:t>não tiverem sua exequibilidade demonstrada, quando exigido pela Administração;</w:t>
      </w:r>
    </w:p>
    <w:p>
      <w:pPr>
        <w:pStyle w:val="Nivel3"/>
        <w:numPr>
          <w:ilvl w:val="2"/>
          <w:numId w:val="2"/>
        </w:numPr>
        <w:tabs>
          <w:tab w:val="left" w:pos="709" w:leader="none"/>
        </w:tabs>
        <w:spacing w:lineRule="auto" w:line="360" w:before="0" w:after="0"/>
        <w:ind w:left="0" w:hanging="0"/>
        <w:rPr>
          <w:b/>
          <w:color w:val="auto"/>
          <w:sz w:val="22"/>
          <w:szCs w:val="22"/>
        </w:rPr>
      </w:pPr>
      <w:r>
        <w:rPr>
          <w:color w:val="auto"/>
          <w:sz w:val="22"/>
          <w:szCs w:val="22"/>
        </w:rPr>
        <w:t>apresentar desconformidade com quaisquer outras exigências deste Edital ou seus anexos, desde que insanável.</w:t>
      </w:r>
    </w:p>
    <w:p>
      <w:pPr>
        <w:pStyle w:val="Nivel2"/>
        <w:numPr>
          <w:ilvl w:val="1"/>
          <w:numId w:val="2"/>
        </w:numPr>
        <w:spacing w:lineRule="auto" w:line="360" w:before="0" w:after="0"/>
        <w:ind w:left="0" w:hanging="0"/>
        <w:rPr>
          <w:b/>
          <w:color w:val="auto"/>
          <w:sz w:val="22"/>
          <w:szCs w:val="22"/>
        </w:rPr>
      </w:pPr>
      <w:r>
        <w:rPr>
          <w:color w:val="auto"/>
          <w:sz w:val="22"/>
          <w:szCs w:val="22"/>
        </w:rPr>
        <w:t>Se houver indícios de inexequibilidade da proposta de preço, ou em caso da necessidade de esclarecimentos complementares, poderão ser efetuadas diligências, para que a empresa comprove a exequibilidade da proposta.</w:t>
      </w:r>
    </w:p>
    <w:p>
      <w:pPr>
        <w:pStyle w:val="Nivel2"/>
        <w:numPr>
          <w:ilvl w:val="1"/>
          <w:numId w:val="2"/>
        </w:numPr>
        <w:spacing w:lineRule="auto" w:line="360" w:before="0" w:after="0"/>
        <w:ind w:left="0" w:hanging="0"/>
        <w:rPr>
          <w:b/>
          <w:color w:val="auto"/>
          <w:sz w:val="22"/>
          <w:szCs w:val="22"/>
        </w:rPr>
      </w:pPr>
      <w:r>
        <w:rPr>
          <w:color w:val="auto"/>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pPr>
        <w:pStyle w:val="Nivel2"/>
        <w:numPr>
          <w:ilvl w:val="1"/>
          <w:numId w:val="2"/>
        </w:numPr>
        <w:spacing w:lineRule="auto" w:line="360" w:before="0" w:after="0"/>
        <w:ind w:left="0" w:hanging="0"/>
        <w:rPr>
          <w:bCs/>
          <w:color w:val="auto"/>
          <w:sz w:val="22"/>
          <w:szCs w:val="22"/>
        </w:rPr>
      </w:pPr>
      <w:r>
        <w:rPr>
          <w:bCs/>
          <w:color w:val="auto"/>
          <w:sz w:val="22"/>
          <w:szCs w:val="22"/>
        </w:rPr>
        <w:t xml:space="preserve">Caso </w:t>
      </w:r>
      <w:r>
        <w:rPr>
          <w:color w:val="auto"/>
          <w:sz w:val="22"/>
          <w:szCs w:val="22"/>
        </w:rPr>
        <w:t>seja solicitado planilha, erros em seu preenchimento não constituem motivo para a desclassificação da proposta. A planilha poderá́ ser ajustada pelo fornecedor, no prazo indicado pelo sistema, desde que não haja majoração do preço.</w:t>
      </w:r>
    </w:p>
    <w:p>
      <w:pPr>
        <w:pStyle w:val="Nivel3"/>
        <w:numPr>
          <w:ilvl w:val="2"/>
          <w:numId w:val="2"/>
        </w:numPr>
        <w:spacing w:lineRule="auto" w:line="360" w:before="60" w:after="60"/>
        <w:ind w:left="0" w:hanging="0"/>
        <w:rPr>
          <w:color w:val="auto"/>
          <w:sz w:val="22"/>
          <w:szCs w:val="22"/>
        </w:rPr>
      </w:pPr>
      <w:r>
        <w:rPr>
          <w:color w:val="auto"/>
          <w:sz w:val="22"/>
          <w:szCs w:val="22"/>
        </w:rPr>
        <w:t>O ajuste de que trata este dispositivo se limita a sanar erros ou falhas que não alterem a substância das propostas;</w:t>
      </w:r>
    </w:p>
    <w:p>
      <w:pPr>
        <w:pStyle w:val="Nivel3"/>
        <w:numPr>
          <w:ilvl w:val="2"/>
          <w:numId w:val="2"/>
        </w:numPr>
        <w:spacing w:lineRule="auto" w:line="360" w:before="60" w:after="60"/>
        <w:ind w:left="0" w:hanging="0"/>
        <w:rPr>
          <w:color w:val="auto"/>
          <w:sz w:val="22"/>
          <w:szCs w:val="22"/>
        </w:rPr>
      </w:pPr>
      <w:r>
        <w:rPr>
          <w:color w:val="auto"/>
          <w:sz w:val="22"/>
          <w:szCs w:val="22"/>
        </w:rPr>
        <w:t>Considera-se erro no preenchimento da planilha passível de correção a indicação de recolhimento de impostos e contribuições na forma do Simples Nacional, quando não cabível esse regime.</w:t>
      </w:r>
    </w:p>
    <w:p>
      <w:pPr>
        <w:pStyle w:val="Nivel2"/>
        <w:numPr>
          <w:ilvl w:val="1"/>
          <w:numId w:val="2"/>
        </w:numPr>
        <w:spacing w:lineRule="auto" w:line="360" w:before="0" w:after="0"/>
        <w:ind w:left="0" w:hanging="0"/>
        <w:rPr>
          <w:b/>
          <w:color w:val="auto"/>
          <w:sz w:val="22"/>
          <w:szCs w:val="22"/>
        </w:rPr>
      </w:pPr>
      <w:r>
        <w:rPr>
          <w:color w:val="auto"/>
          <w:sz w:val="22"/>
          <w:szCs w:val="22"/>
          <w:lang w:eastAsia="en-US"/>
        </w:rPr>
        <w:t xml:space="preserve">Para </w:t>
      </w:r>
      <w:r>
        <w:rPr>
          <w:color w:val="auto"/>
          <w:sz w:val="22"/>
          <w:szCs w:val="22"/>
        </w:rPr>
        <w:t>fins</w:t>
      </w:r>
      <w:r>
        <w:rPr>
          <w:color w:val="auto"/>
          <w:sz w:val="22"/>
          <w:szCs w:val="22"/>
          <w:lang w:eastAsia="en-US"/>
        </w:rPr>
        <w:t xml:space="preserve"> de análise da proposta quanto ao cumprimento </w:t>
      </w:r>
      <w:r>
        <w:rPr>
          <w:color w:val="auto"/>
          <w:sz w:val="22"/>
          <w:szCs w:val="22"/>
        </w:rPr>
        <w:t>das</w:t>
      </w:r>
      <w:r>
        <w:rPr>
          <w:color w:val="auto"/>
          <w:sz w:val="22"/>
          <w:szCs w:val="22"/>
          <w:lang w:eastAsia="en-US"/>
        </w:rPr>
        <w:t xml:space="preserve"> especificações do objeto, poderá ser colhida a </w:t>
      </w:r>
      <w:r>
        <w:rPr>
          <w:color w:val="auto"/>
          <w:sz w:val="22"/>
          <w:szCs w:val="22"/>
        </w:rPr>
        <w:t>manifestação</w:t>
      </w:r>
      <w:r>
        <w:rPr>
          <w:color w:val="auto"/>
          <w:sz w:val="22"/>
          <w:szCs w:val="22"/>
          <w:lang w:eastAsia="en-US"/>
        </w:rPr>
        <w:t xml:space="preserve"> escrita do setor requisitante do serviço ou da área especializada no objeto.</w:t>
      </w:r>
    </w:p>
    <w:p>
      <w:pPr>
        <w:pStyle w:val="Nivel2"/>
        <w:numPr>
          <w:ilvl w:val="0"/>
          <w:numId w:val="0"/>
        </w:numPr>
        <w:spacing w:lineRule="auto" w:line="360" w:before="0" w:after="0"/>
        <w:ind w:left="0" w:hanging="0"/>
        <w:rPr>
          <w:b/>
          <w:color w:val="auto"/>
          <w:sz w:val="22"/>
          <w:szCs w:val="22"/>
        </w:rPr>
      </w:pPr>
      <w:r>
        <w:rPr>
          <w:b/>
          <w:color w:val="auto"/>
          <w:sz w:val="22"/>
          <w:szCs w:val="22"/>
        </w:rPr>
      </w:r>
    </w:p>
    <w:p>
      <w:pPr>
        <w:pStyle w:val="Nivel01"/>
        <w:numPr>
          <w:ilvl w:val="0"/>
          <w:numId w:val="2"/>
        </w:numPr>
        <w:spacing w:lineRule="auto" w:line="360" w:before="0" w:after="0"/>
        <w:ind w:left="0" w:hanging="0"/>
        <w:rPr>
          <w:sz w:val="22"/>
          <w:szCs w:val="22"/>
        </w:rPr>
      </w:pPr>
      <w:bookmarkStart w:id="24" w:name="_Toc122606109"/>
      <w:r>
        <w:rPr>
          <w:sz w:val="22"/>
          <w:szCs w:val="22"/>
        </w:rPr>
        <w:t>DA FASE DE HABILITAÇÃO</w:t>
      </w:r>
      <w:bookmarkEnd w:id="24"/>
    </w:p>
    <w:p>
      <w:pPr>
        <w:pStyle w:val="Nivel2"/>
        <w:numPr>
          <w:ilvl w:val="1"/>
          <w:numId w:val="2"/>
        </w:numPr>
        <w:spacing w:lineRule="auto" w:line="360" w:before="0" w:after="0"/>
        <w:ind w:left="0" w:hanging="0"/>
        <w:rPr>
          <w:color w:val="auto"/>
          <w:sz w:val="22"/>
          <w:szCs w:val="22"/>
        </w:rPr>
      </w:pPr>
      <w:r>
        <w:rPr>
          <w:color w:val="auto"/>
          <w:sz w:val="22"/>
          <w:szCs w:val="22"/>
        </w:rPr>
        <w:t xml:space="preserve">Os documentos previstos no item 05, necessários e suficientes para demonstrar a capacidade do licitante de realizar o objeto da licitação, serão exigidos para fins de habilitação, nos termos dos </w:t>
      </w:r>
      <w:r>
        <w:fldChar w:fldCharType="begin"/>
      </w:r>
      <w:r>
        <w:rPr>
          <w:rStyle w:val="LinkdaInternet"/>
          <w:sz w:val="22"/>
          <w:szCs w:val="22"/>
          <w:color w:val="auto"/>
        </w:rPr>
        <w:instrText xml:space="preserve"> HYPERLINK "http://www.planalto.gov.br/ccivil_03/_ato2019-2022/2021/lei/L14133.htm" \l "art62"</w:instrText>
      </w:r>
      <w:r>
        <w:rPr>
          <w:rStyle w:val="LinkdaInternet"/>
          <w:sz w:val="22"/>
          <w:szCs w:val="22"/>
          <w:color w:val="auto"/>
        </w:rPr>
        <w:fldChar w:fldCharType="separate"/>
      </w:r>
      <w:r>
        <w:rPr>
          <w:rStyle w:val="LinkdaInternet"/>
          <w:color w:val="auto"/>
          <w:sz w:val="22"/>
          <w:szCs w:val="22"/>
        </w:rPr>
        <w:t>arts. 62 a 70 da Lei nº 14.133, de 2021</w:t>
      </w:r>
      <w:r>
        <w:rPr>
          <w:rStyle w:val="LinkdaInternet"/>
          <w:sz w:val="22"/>
          <w:szCs w:val="22"/>
          <w:color w:val="auto"/>
        </w:rPr>
        <w:fldChar w:fldCharType="end"/>
      </w:r>
      <w:r>
        <w:rPr>
          <w:color w:val="auto"/>
          <w:sz w:val="22"/>
          <w:szCs w:val="22"/>
        </w:rPr>
        <w:t>.</w:t>
      </w:r>
    </w:p>
    <w:p>
      <w:pPr>
        <w:pStyle w:val="Nivel2"/>
        <w:numPr>
          <w:ilvl w:val="1"/>
          <w:numId w:val="2"/>
        </w:numPr>
        <w:spacing w:lineRule="auto" w:line="360" w:before="0" w:after="0"/>
        <w:ind w:left="0" w:hanging="0"/>
        <w:rPr>
          <w:i/>
          <w:i/>
          <w:color w:val="auto"/>
          <w:sz w:val="22"/>
          <w:szCs w:val="22"/>
        </w:rPr>
      </w:pPr>
      <w:r>
        <w:rPr>
          <w:color w:val="auto"/>
          <w:sz w:val="22"/>
          <w:szCs w:val="22"/>
        </w:rPr>
        <w:t>Quando permitida a participação de empresas estrangeiras que não funcionem no País, as exigências de habilitação serão atendidas mediante documentos equivalentes, inicialmente apresentados em tradução livre.</w:t>
      </w:r>
    </w:p>
    <w:p>
      <w:pPr>
        <w:pStyle w:val="Nivel3"/>
        <w:numPr>
          <w:ilvl w:val="2"/>
          <w:numId w:val="2"/>
        </w:numPr>
        <w:spacing w:lineRule="auto" w:line="360" w:before="0" w:after="0"/>
        <w:ind w:left="0" w:hanging="0"/>
        <w:rPr>
          <w:i/>
          <w:i/>
          <w:iCs/>
          <w:color w:val="auto"/>
          <w:sz w:val="22"/>
          <w:szCs w:val="22"/>
        </w:rPr>
      </w:pPr>
      <w:r>
        <w:rPr>
          <w:color w:val="auto"/>
          <w:sz w:val="22"/>
          <w:szCs w:val="22"/>
        </w:rPr>
        <w:t xml:space="preserve">Na hipótese de o licitante vencedor ser empresa estrangeira que não funcione no País, para ﬁns de assinatura do contrato, os documentos exigidos para a habilitação serão traduzidos por tradutor juramentado no País e apostilados nos termos do disposto no </w:t>
      </w:r>
      <w:hyperlink r:id="rId11">
        <w:r>
          <w:rPr>
            <w:rStyle w:val="LinkdaInternet"/>
            <w:color w:val="auto"/>
            <w:sz w:val="22"/>
            <w:szCs w:val="22"/>
          </w:rPr>
          <w:t>Decreto nº 8.660, de 29 de janeiro de 2016</w:t>
        </w:r>
      </w:hyperlink>
      <w:r>
        <w:rPr>
          <w:color w:val="auto"/>
          <w:sz w:val="22"/>
          <w:szCs w:val="22"/>
        </w:rPr>
        <w:t>, ou de outro que venha a substituí-lo, ou consularizados pelos respectivos consulados ou embaixadas.</w:t>
      </w:r>
    </w:p>
    <w:p>
      <w:pPr>
        <w:pStyle w:val="Nivel2"/>
        <w:numPr>
          <w:ilvl w:val="1"/>
          <w:numId w:val="2"/>
        </w:numPr>
        <w:spacing w:lineRule="auto" w:line="360" w:before="0" w:after="0"/>
        <w:ind w:left="0" w:hanging="0"/>
        <w:rPr>
          <w:i/>
          <w:i/>
          <w:color w:val="auto"/>
          <w:sz w:val="22"/>
          <w:szCs w:val="22"/>
        </w:rPr>
      </w:pPr>
      <w:r>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pPr>
        <w:pStyle w:val="Nivel3"/>
        <w:numPr>
          <w:ilvl w:val="2"/>
          <w:numId w:val="2"/>
        </w:numPr>
        <w:spacing w:lineRule="auto" w:line="360" w:before="0" w:after="0"/>
        <w:ind w:left="0" w:hanging="0"/>
        <w:rPr>
          <w:color w:val="auto"/>
          <w:sz w:val="22"/>
          <w:szCs w:val="22"/>
        </w:rPr>
      </w:pPr>
      <w:r>
        <w:rPr>
          <w:color w:val="auto"/>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pPr>
        <w:pStyle w:val="Nivel2"/>
        <w:numPr>
          <w:ilvl w:val="1"/>
          <w:numId w:val="2"/>
        </w:numPr>
        <w:spacing w:lineRule="auto" w:line="360" w:before="0" w:after="0"/>
        <w:ind w:left="0" w:hanging="0"/>
        <w:rPr>
          <w:color w:val="auto"/>
          <w:sz w:val="22"/>
          <w:szCs w:val="22"/>
        </w:rPr>
      </w:pPr>
      <w:r>
        <w:rPr>
          <w:color w:val="auto"/>
          <w:sz w:val="22"/>
          <w:szCs w:val="22"/>
        </w:rPr>
        <w:t>Os documentos exigidos para fins de habilitação poderão ser apresentados em original, por cópia autenticada, através do sistema da BBMnet.</w:t>
      </w:r>
    </w:p>
    <w:p>
      <w:pPr>
        <w:pStyle w:val="Nivel2"/>
        <w:numPr>
          <w:ilvl w:val="1"/>
          <w:numId w:val="2"/>
        </w:numPr>
        <w:spacing w:lineRule="auto" w:line="360" w:before="0" w:after="0"/>
        <w:ind w:left="0" w:hanging="0"/>
        <w:rPr>
          <w:color w:val="auto"/>
          <w:sz w:val="22"/>
          <w:szCs w:val="22"/>
        </w:rPr>
      </w:pPr>
      <w:r>
        <w:rPr>
          <w:color w:val="auto"/>
          <w:sz w:val="22"/>
          <w:szCs w:val="22"/>
        </w:rPr>
        <w:t>Será verificado se o licitante apresentou declaração de que atende aos requisitos de habilitação, e o declarante responderá pela veracidade das informações prestadas, na forma da lei (</w:t>
      </w:r>
      <w:r>
        <w:fldChar w:fldCharType="begin"/>
      </w:r>
      <w:r>
        <w:rPr>
          <w:rStyle w:val="LinkdaInternet"/>
          <w:sz w:val="22"/>
          <w:szCs w:val="22"/>
          <w:color w:val="auto"/>
        </w:rPr>
        <w:instrText xml:space="preserve"> HYPERLINK "http://www.planalto.gov.br/ccivil_03/_ato2019-2022/2021/lei/L14133.htm" \l "art63"</w:instrText>
      </w:r>
      <w:r>
        <w:rPr>
          <w:rStyle w:val="LinkdaInternet"/>
          <w:sz w:val="22"/>
          <w:szCs w:val="22"/>
          <w:color w:val="auto"/>
        </w:rPr>
        <w:fldChar w:fldCharType="separate"/>
      </w:r>
      <w:r>
        <w:rPr>
          <w:rStyle w:val="LinkdaInternet"/>
          <w:color w:val="auto"/>
          <w:sz w:val="22"/>
          <w:szCs w:val="22"/>
        </w:rPr>
        <w:t>art. 63, I, da Lei nº 14.133/2021</w:t>
      </w:r>
      <w:r>
        <w:rPr>
          <w:rStyle w:val="LinkdaInternet"/>
          <w:sz w:val="22"/>
          <w:szCs w:val="22"/>
          <w:color w:val="auto"/>
        </w:rPr>
        <w:fldChar w:fldCharType="end"/>
      </w:r>
      <w:r>
        <w:rPr>
          <w:color w:val="auto"/>
          <w:sz w:val="22"/>
          <w:szCs w:val="22"/>
        </w:rPr>
        <w:t>).</w:t>
      </w:r>
    </w:p>
    <w:p>
      <w:pPr>
        <w:pStyle w:val="Nivel2"/>
        <w:numPr>
          <w:ilvl w:val="1"/>
          <w:numId w:val="2"/>
        </w:numPr>
        <w:spacing w:lineRule="auto" w:line="360" w:before="0" w:after="0"/>
        <w:ind w:left="0" w:hanging="0"/>
        <w:rPr>
          <w:i/>
          <w:i/>
          <w:iCs/>
          <w:color w:val="auto"/>
          <w:sz w:val="22"/>
          <w:szCs w:val="22"/>
        </w:rPr>
      </w:pPr>
      <w:r>
        <w:rPr>
          <w:color w:val="auto"/>
          <w:sz w:val="22"/>
          <w:szCs w:val="22"/>
        </w:rPr>
        <w:t>A verificação pelo pregoeiro, em sítios eletrônicos oficiais de órgãos e entidades emissores de certidões constitui meio legal de prova, para fins de habilitação.</w:t>
      </w:r>
    </w:p>
    <w:p>
      <w:pPr>
        <w:pStyle w:val="Nivel3"/>
        <w:numPr>
          <w:ilvl w:val="2"/>
          <w:numId w:val="2"/>
        </w:numPr>
        <w:spacing w:lineRule="auto" w:line="360" w:before="0" w:after="0"/>
        <w:ind w:left="0" w:hanging="0"/>
        <w:rPr>
          <w:i/>
          <w:i/>
          <w:iCs/>
          <w:color w:val="auto"/>
          <w:sz w:val="22"/>
          <w:szCs w:val="22"/>
        </w:rPr>
      </w:pPr>
      <w:bookmarkStart w:id="25" w:name="_Ref114663151"/>
      <w:r>
        <w:rPr>
          <w:color w:val="auto"/>
          <w:sz w:val="22"/>
          <w:szCs w:val="22"/>
        </w:rPr>
        <w:t xml:space="preserve">Os documentos exigidos para habilitação deverão ser enviados por meio do sistema, em formato digital, no prazo máximo de 02 (duas) horas, </w:t>
      </w:r>
      <w:bookmarkEnd w:id="25"/>
      <w:r>
        <w:rPr>
          <w:color w:val="auto"/>
          <w:sz w:val="22"/>
          <w:szCs w:val="22"/>
        </w:rPr>
        <w:t>contado da solicitação do Agente de Contratação.</w:t>
      </w:r>
    </w:p>
    <w:p>
      <w:pPr>
        <w:pStyle w:val="Nivel2"/>
        <w:numPr>
          <w:ilvl w:val="1"/>
          <w:numId w:val="2"/>
        </w:numPr>
        <w:spacing w:lineRule="auto" w:line="360" w:before="0" w:after="0"/>
        <w:ind w:left="0" w:hanging="0"/>
        <w:rPr>
          <w:i/>
          <w:i/>
          <w:color w:val="auto"/>
          <w:sz w:val="22"/>
          <w:szCs w:val="22"/>
        </w:rPr>
      </w:pPr>
      <w:r>
        <w:rPr>
          <w:color w:val="auto"/>
          <w:sz w:val="22"/>
          <w:szCs w:val="22"/>
        </w:rPr>
        <w:t>A exigência das documentações de habilitação somente será feita em relação ao licitante vencedor.</w:t>
      </w:r>
    </w:p>
    <w:p>
      <w:pPr>
        <w:pStyle w:val="Nivel2"/>
        <w:numPr>
          <w:ilvl w:val="1"/>
          <w:numId w:val="2"/>
        </w:numPr>
        <w:spacing w:lineRule="auto" w:line="360" w:before="0" w:after="0"/>
        <w:ind w:left="0" w:hanging="0"/>
        <w:rPr>
          <w:i/>
          <w:i/>
          <w:color w:val="auto"/>
          <w:sz w:val="22"/>
          <w:szCs w:val="22"/>
        </w:rPr>
      </w:pPr>
      <w:r>
        <w:rPr>
          <w:color w:val="auto"/>
          <w:sz w:val="22"/>
          <w:szCs w:val="22"/>
        </w:rPr>
        <w:t>Após a entrega dos documentos para habilitação, não será permitida a substituição ou a apresentação de novos documentos, salvo em sede de diligência, para (</w:t>
      </w:r>
      <w:r>
        <w:fldChar w:fldCharType="begin"/>
      </w:r>
      <w:r>
        <w:rPr>
          <w:rStyle w:val="LinkdaInternet"/>
          <w:sz w:val="22"/>
          <w:szCs w:val="22"/>
          <w:color w:val="auto"/>
        </w:rPr>
        <w:instrText xml:space="preserve"> HYPERLINK "http://www.planalto.gov.br/ccivil_03/_ato2019-2022/2021/lei/L14133.htm" \l "art64"</w:instrText>
      </w:r>
      <w:r>
        <w:rPr>
          <w:rStyle w:val="LinkdaInternet"/>
          <w:sz w:val="22"/>
          <w:szCs w:val="22"/>
          <w:color w:val="auto"/>
        </w:rPr>
        <w:fldChar w:fldCharType="separate"/>
      </w:r>
      <w:r>
        <w:rPr>
          <w:rStyle w:val="LinkdaInternet"/>
          <w:color w:val="auto"/>
          <w:sz w:val="22"/>
          <w:szCs w:val="22"/>
        </w:rPr>
        <w:t>Lei 14.133/21, art. 64</w:t>
      </w:r>
      <w:r>
        <w:rPr>
          <w:rStyle w:val="LinkdaInternet"/>
          <w:sz w:val="22"/>
          <w:szCs w:val="22"/>
          <w:color w:val="auto"/>
        </w:rPr>
        <w:fldChar w:fldCharType="end"/>
      </w:r>
      <w:r>
        <w:rPr>
          <w:rStyle w:val="LinkdaInternet"/>
          <w:color w:val="auto"/>
          <w:sz w:val="22"/>
          <w:szCs w:val="22"/>
        </w:rPr>
        <w:t>)</w:t>
      </w:r>
    </w:p>
    <w:p>
      <w:pPr>
        <w:pStyle w:val="Nivel3"/>
        <w:numPr>
          <w:ilvl w:val="2"/>
          <w:numId w:val="2"/>
        </w:numPr>
        <w:spacing w:lineRule="auto" w:line="360" w:before="0" w:after="0"/>
        <w:ind w:left="0" w:hanging="0"/>
        <w:rPr>
          <w:i/>
          <w:i/>
          <w:iCs/>
          <w:color w:val="auto"/>
          <w:sz w:val="22"/>
          <w:szCs w:val="22"/>
        </w:rPr>
      </w:pPr>
      <w:r>
        <w:rPr>
          <w:color w:val="auto"/>
          <w:sz w:val="22"/>
          <w:szCs w:val="22"/>
        </w:rPr>
        <w:t>complementação de informações acerca dos documentos já apresentados pelos licitantes e desde que necessária para apurar fatos existentes à época da abertura do certame; e</w:t>
      </w:r>
    </w:p>
    <w:p>
      <w:pPr>
        <w:pStyle w:val="Nivel3"/>
        <w:numPr>
          <w:ilvl w:val="2"/>
          <w:numId w:val="2"/>
        </w:numPr>
        <w:spacing w:lineRule="auto" w:line="360" w:before="0" w:after="0"/>
        <w:ind w:left="0" w:hanging="0"/>
        <w:rPr>
          <w:i/>
          <w:i/>
          <w:iCs/>
          <w:color w:val="auto"/>
          <w:sz w:val="22"/>
          <w:szCs w:val="22"/>
        </w:rPr>
      </w:pPr>
      <w:r>
        <w:rPr>
          <w:color w:val="auto"/>
          <w:sz w:val="22"/>
          <w:szCs w:val="22"/>
        </w:rPr>
        <w:t>atualização de documentos cuja validade tenha expirado após a data de recebimento das propostas;</w:t>
      </w:r>
    </w:p>
    <w:p>
      <w:pPr>
        <w:pStyle w:val="Nivel2"/>
        <w:numPr>
          <w:ilvl w:val="1"/>
          <w:numId w:val="2"/>
        </w:numPr>
        <w:spacing w:lineRule="auto" w:line="360" w:before="0" w:after="0"/>
        <w:ind w:left="0" w:hanging="0"/>
        <w:rPr>
          <w:i/>
          <w:i/>
          <w:color w:val="auto"/>
          <w:sz w:val="22"/>
          <w:szCs w:val="22"/>
        </w:rPr>
      </w:pPr>
      <w:bookmarkStart w:id="26" w:name="_Ref114670319"/>
      <w:r>
        <w:rPr>
          <w:color w:val="auto"/>
          <w:sz w:val="22"/>
          <w:szCs w:val="22"/>
        </w:rPr>
        <w:t>Na análise dos documentos de habilitação, pregoeiro poderá sanar erros ou falhas, que não alterem a substância dos documentos e sua validade jurídica, mediante decisão fundamentada, registrada em ata e acessível a todos, atribuindo-lhes eﬁcácia para fins de habilitação e classificação.</w:t>
      </w:r>
      <w:bookmarkEnd w:id="26"/>
    </w:p>
    <w:p>
      <w:pPr>
        <w:pStyle w:val="Nivel2"/>
        <w:numPr>
          <w:ilvl w:val="1"/>
          <w:numId w:val="2"/>
        </w:numPr>
        <w:spacing w:lineRule="auto" w:line="360" w:before="0" w:after="0"/>
        <w:ind w:left="0" w:hanging="0"/>
        <w:rPr>
          <w:i/>
          <w:i/>
          <w:iCs/>
          <w:color w:val="auto"/>
          <w:sz w:val="22"/>
          <w:szCs w:val="22"/>
        </w:rPr>
      </w:pPr>
      <w:bookmarkStart w:id="27" w:name="_Ref114665528"/>
      <w:r>
        <w:rPr>
          <w:color w:val="auto"/>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color w:val="auto"/>
          <w:sz w:val="22"/>
          <w:szCs w:val="22"/>
        </w:rPr>
        <w:fldChar w:fldCharType="begin"/>
      </w:r>
      <w:r>
        <w:rPr>
          <w:sz w:val="22"/>
          <w:szCs w:val="22"/>
          <w:color w:val="auto"/>
        </w:rPr>
        <w:instrText xml:space="preserve"> REF _Ref114663151 \r \h </w:instrText>
      </w:r>
      <w:r>
        <w:rPr>
          <w:sz w:val="22"/>
          <w:szCs w:val="22"/>
          <w:color w:val="auto"/>
        </w:rPr>
        <w:fldChar w:fldCharType="separate"/>
      </w:r>
      <w:r>
        <w:rPr>
          <w:sz w:val="22"/>
          <w:szCs w:val="22"/>
          <w:color w:val="auto"/>
        </w:rPr>
        <w:t>8.6.1</w:t>
      </w:r>
      <w:r>
        <w:rPr>
          <w:sz w:val="22"/>
          <w:szCs w:val="22"/>
          <w:color w:val="auto"/>
        </w:rPr>
        <w:fldChar w:fldCharType="end"/>
      </w:r>
      <w:r>
        <w:rPr>
          <w:color w:val="auto"/>
          <w:sz w:val="22"/>
          <w:szCs w:val="22"/>
        </w:rPr>
        <w:t>.</w:t>
      </w:r>
      <w:bookmarkEnd w:id="27"/>
    </w:p>
    <w:p>
      <w:pPr>
        <w:pStyle w:val="Nivel2"/>
        <w:numPr>
          <w:ilvl w:val="1"/>
          <w:numId w:val="2"/>
        </w:numPr>
        <w:spacing w:lineRule="auto" w:line="360" w:before="0" w:after="0"/>
        <w:ind w:left="0" w:hanging="0"/>
        <w:rPr>
          <w:i/>
          <w:i/>
          <w:color w:val="auto"/>
          <w:sz w:val="22"/>
          <w:szCs w:val="22"/>
        </w:rPr>
      </w:pPr>
      <w:bookmarkStart w:id="28" w:name="_Ref114665515"/>
      <w:r>
        <w:rPr>
          <w:color w:val="auto"/>
          <w:sz w:val="22"/>
          <w:szCs w:val="22"/>
        </w:rPr>
        <w:t>Somente serão disponibilizados para acesso público os documentos de habilitação do licitante cuja proposta atenda ao edital de licitação, após concluídos os procedimentos de que trata o subitem anterior</w:t>
      </w:r>
      <w:bookmarkEnd w:id="28"/>
      <w:r>
        <w:rPr>
          <w:color w:val="auto"/>
          <w:sz w:val="22"/>
          <w:szCs w:val="22"/>
        </w:rPr>
        <w:t>.</w:t>
      </w:r>
    </w:p>
    <w:p>
      <w:pPr>
        <w:pStyle w:val="Nivel2"/>
        <w:numPr>
          <w:ilvl w:val="0"/>
          <w:numId w:val="0"/>
        </w:numPr>
        <w:spacing w:lineRule="auto" w:line="360" w:before="0" w:after="0"/>
        <w:ind w:left="567" w:hanging="0"/>
        <w:rPr>
          <w:i/>
          <w:i/>
          <w:color w:val="auto"/>
          <w:sz w:val="22"/>
          <w:szCs w:val="22"/>
        </w:rPr>
      </w:pPr>
      <w:r>
        <w:rPr>
          <w:i/>
          <w:color w:val="auto"/>
          <w:sz w:val="22"/>
          <w:szCs w:val="22"/>
        </w:rPr>
      </w:r>
    </w:p>
    <w:p>
      <w:pPr>
        <w:pStyle w:val="Nivel01"/>
        <w:numPr>
          <w:ilvl w:val="0"/>
          <w:numId w:val="2"/>
        </w:numPr>
        <w:spacing w:lineRule="auto" w:line="360" w:before="0" w:after="0"/>
        <w:ind w:left="0" w:hanging="0"/>
        <w:rPr>
          <w:sz w:val="22"/>
          <w:szCs w:val="22"/>
        </w:rPr>
      </w:pPr>
      <w:bookmarkStart w:id="29" w:name="_Toc122606110"/>
      <w:r>
        <w:rPr>
          <w:sz w:val="22"/>
          <w:szCs w:val="22"/>
        </w:rPr>
        <w:t>DOS RECURSOS</w:t>
      </w:r>
      <w:bookmarkEnd w:id="29"/>
    </w:p>
    <w:p>
      <w:pPr>
        <w:pStyle w:val="Nivel2"/>
        <w:numPr>
          <w:ilvl w:val="1"/>
          <w:numId w:val="2"/>
        </w:numPr>
        <w:spacing w:lineRule="auto" w:line="360" w:before="0" w:after="0"/>
        <w:ind w:left="0" w:hanging="0"/>
        <w:rPr>
          <w:color w:val="auto"/>
          <w:sz w:val="22"/>
          <w:szCs w:val="22"/>
        </w:rPr>
      </w:pPr>
      <w:r>
        <w:rPr>
          <w:color w:val="auto"/>
          <w:sz w:val="22"/>
          <w:szCs w:val="22"/>
        </w:rPr>
        <w:t xml:space="preserve">A interposição de recurso referente ao julgamento das propostas, à habilitação ou inabilitação de licitantes, à anulação ou revogação da licitação, observará o disposto no </w:t>
      </w:r>
      <w:r>
        <w:fldChar w:fldCharType="begin"/>
      </w:r>
      <w:r>
        <w:rPr>
          <w:rStyle w:val="LinkdaInternet"/>
          <w:sz w:val="22"/>
          <w:szCs w:val="22"/>
          <w:color w:val="auto"/>
        </w:rPr>
        <w:instrText xml:space="preserve"> HYPERLINK "http://www.planalto.gov.br/ccivil_03/_ato2019-2022/2021/lei/L14133.htm" \l "art165"</w:instrText>
      </w:r>
      <w:r>
        <w:rPr>
          <w:rStyle w:val="LinkdaInternet"/>
          <w:sz w:val="22"/>
          <w:szCs w:val="22"/>
          <w:color w:val="auto"/>
        </w:rPr>
        <w:fldChar w:fldCharType="separate"/>
      </w:r>
      <w:r>
        <w:rPr>
          <w:rStyle w:val="LinkdaInternet"/>
          <w:color w:val="auto"/>
          <w:sz w:val="22"/>
          <w:szCs w:val="22"/>
        </w:rPr>
        <w:t>art. 165 da Lei nº 14.133, de 2021</w:t>
      </w:r>
      <w:r>
        <w:rPr>
          <w:rStyle w:val="LinkdaInternet"/>
          <w:sz w:val="22"/>
          <w:szCs w:val="22"/>
          <w:color w:val="auto"/>
        </w:rPr>
        <w:fldChar w:fldCharType="end"/>
      </w:r>
      <w:r>
        <w:rPr>
          <w:color w:val="auto"/>
          <w:sz w:val="22"/>
          <w:szCs w:val="22"/>
        </w:rPr>
        <w:t>.</w:t>
      </w:r>
    </w:p>
    <w:p>
      <w:pPr>
        <w:pStyle w:val="Nivel2"/>
        <w:numPr>
          <w:ilvl w:val="1"/>
          <w:numId w:val="2"/>
        </w:numPr>
        <w:spacing w:lineRule="auto" w:line="360" w:before="0" w:after="0"/>
        <w:ind w:left="0" w:hanging="0"/>
        <w:rPr>
          <w:color w:val="auto"/>
          <w:sz w:val="22"/>
          <w:szCs w:val="22"/>
        </w:rPr>
      </w:pPr>
      <w:r>
        <w:rPr>
          <w:color w:val="auto"/>
          <w:sz w:val="22"/>
          <w:szCs w:val="22"/>
        </w:rPr>
        <w:t>O prazo recursal é de 3 (três) dias úteis, contados da data de intimação ou de lavratura da ata.</w:t>
      </w:r>
    </w:p>
    <w:p>
      <w:pPr>
        <w:pStyle w:val="Nivel2"/>
        <w:numPr>
          <w:ilvl w:val="1"/>
          <w:numId w:val="2"/>
        </w:numPr>
        <w:spacing w:lineRule="auto" w:line="360" w:before="0" w:after="0"/>
        <w:ind w:left="0" w:hanging="0"/>
        <w:rPr>
          <w:color w:val="auto"/>
          <w:sz w:val="22"/>
          <w:szCs w:val="22"/>
        </w:rPr>
      </w:pPr>
      <w:r>
        <w:rPr>
          <w:color w:val="auto"/>
          <w:sz w:val="22"/>
          <w:szCs w:val="22"/>
        </w:rPr>
        <w:t>Quando o recurso apresentado impugnar o julgamento das propostas ou o ato de habilitação ou inabilitação do licitante:</w:t>
      </w:r>
    </w:p>
    <w:p>
      <w:pPr>
        <w:pStyle w:val="Nivel3"/>
        <w:numPr>
          <w:ilvl w:val="2"/>
          <w:numId w:val="2"/>
        </w:numPr>
        <w:tabs>
          <w:tab w:val="clear" w:pos="709"/>
          <w:tab w:val="left" w:pos="567" w:leader="none"/>
        </w:tabs>
        <w:spacing w:lineRule="auto" w:line="360" w:before="0" w:after="0"/>
        <w:ind w:left="0" w:hanging="0"/>
        <w:rPr>
          <w:color w:val="auto"/>
          <w:sz w:val="22"/>
          <w:szCs w:val="22"/>
        </w:rPr>
      </w:pPr>
      <w:r>
        <w:rPr>
          <w:color w:val="auto"/>
          <w:sz w:val="22"/>
          <w:szCs w:val="22"/>
        </w:rPr>
        <w:t>a intenção de recorrer deverá ser manifestada imediatamente, sob pena de preclusão;</w:t>
      </w:r>
    </w:p>
    <w:p>
      <w:pPr>
        <w:pStyle w:val="Nivel3"/>
        <w:numPr>
          <w:ilvl w:val="2"/>
          <w:numId w:val="2"/>
        </w:numPr>
        <w:tabs>
          <w:tab w:val="clear" w:pos="709"/>
          <w:tab w:val="left" w:pos="567" w:leader="none"/>
        </w:tabs>
        <w:spacing w:lineRule="auto" w:line="360" w:before="0" w:after="0"/>
        <w:ind w:left="0" w:hanging="0"/>
        <w:rPr>
          <w:color w:val="auto"/>
          <w:sz w:val="22"/>
          <w:szCs w:val="22"/>
        </w:rPr>
      </w:pPr>
      <w:r>
        <w:rPr>
          <w:color w:val="auto"/>
          <w:sz w:val="22"/>
          <w:szCs w:val="22"/>
        </w:rPr>
        <w:t>o prazo para a manifestação da intenção de recorrer será de 10 (dez) minutos;</w:t>
      </w:r>
    </w:p>
    <w:p>
      <w:pPr>
        <w:pStyle w:val="Nivel3"/>
        <w:numPr>
          <w:ilvl w:val="2"/>
          <w:numId w:val="2"/>
        </w:numPr>
        <w:tabs>
          <w:tab w:val="clear" w:pos="709"/>
          <w:tab w:val="left" w:pos="567" w:leader="none"/>
        </w:tabs>
        <w:spacing w:lineRule="auto" w:line="360" w:before="0" w:after="0"/>
        <w:ind w:left="0" w:hanging="0"/>
        <w:rPr>
          <w:color w:val="auto"/>
          <w:sz w:val="22"/>
          <w:szCs w:val="22"/>
        </w:rPr>
      </w:pPr>
      <w:r>
        <w:rPr>
          <w:color w:val="auto"/>
          <w:sz w:val="22"/>
          <w:szCs w:val="22"/>
        </w:rPr>
        <w:t>o prazo para apresentação das razões recursais será iniciado na data de intimação ou de lavratura da ata de habilitação ou inabilitação;</w:t>
      </w:r>
    </w:p>
    <w:p>
      <w:pPr>
        <w:pStyle w:val="Nivel2"/>
        <w:numPr>
          <w:ilvl w:val="1"/>
          <w:numId w:val="2"/>
        </w:numPr>
        <w:spacing w:lineRule="auto" w:line="360" w:before="0" w:after="0"/>
        <w:ind w:left="0" w:hanging="0"/>
        <w:rPr>
          <w:color w:val="auto"/>
          <w:sz w:val="22"/>
          <w:szCs w:val="22"/>
        </w:rPr>
      </w:pPr>
      <w:r>
        <w:rPr>
          <w:color w:val="auto"/>
          <w:sz w:val="22"/>
          <w:szCs w:val="22"/>
        </w:rPr>
        <w:t>Os recursos deverão ser encaminhados em campo próprio do sistema.</w:t>
      </w:r>
    </w:p>
    <w:p>
      <w:pPr>
        <w:pStyle w:val="Nivel2"/>
        <w:numPr>
          <w:ilvl w:val="1"/>
          <w:numId w:val="2"/>
        </w:numPr>
        <w:spacing w:lineRule="auto" w:line="360" w:before="0" w:after="0"/>
        <w:ind w:left="0" w:hanging="0"/>
        <w:rPr>
          <w:color w:val="auto"/>
          <w:sz w:val="22"/>
          <w:szCs w:val="22"/>
        </w:rPr>
      </w:pPr>
      <w:r>
        <w:rPr>
          <w:color w:val="auto"/>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Nivel2"/>
        <w:numPr>
          <w:ilvl w:val="1"/>
          <w:numId w:val="2"/>
        </w:numPr>
        <w:spacing w:lineRule="auto" w:line="360" w:before="0" w:after="0"/>
        <w:ind w:left="0" w:hanging="0"/>
        <w:rPr>
          <w:color w:val="auto"/>
          <w:sz w:val="22"/>
          <w:szCs w:val="22"/>
        </w:rPr>
      </w:pPr>
      <w:r>
        <w:rPr>
          <w:color w:val="auto"/>
          <w:sz w:val="22"/>
          <w:szCs w:val="22"/>
        </w:rPr>
        <w:t xml:space="preserve">Os recursos interpostos fora do prazo não serão conhecidos. </w:t>
      </w:r>
    </w:p>
    <w:p>
      <w:pPr>
        <w:pStyle w:val="Nivel2"/>
        <w:numPr>
          <w:ilvl w:val="1"/>
          <w:numId w:val="2"/>
        </w:numPr>
        <w:spacing w:lineRule="auto" w:line="360" w:before="0" w:after="0"/>
        <w:ind w:left="0" w:hanging="0"/>
        <w:rPr>
          <w:color w:val="auto"/>
          <w:sz w:val="22"/>
          <w:szCs w:val="22"/>
        </w:rPr>
      </w:pPr>
      <w:r>
        <w:rPr>
          <w:color w:val="auto"/>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Nivel2"/>
        <w:numPr>
          <w:ilvl w:val="1"/>
          <w:numId w:val="2"/>
        </w:numPr>
        <w:spacing w:lineRule="auto" w:line="360" w:before="0" w:after="0"/>
        <w:ind w:left="0" w:hanging="0"/>
        <w:rPr>
          <w:color w:val="auto"/>
          <w:sz w:val="22"/>
          <w:szCs w:val="22"/>
        </w:rPr>
      </w:pPr>
      <w:r>
        <w:rPr>
          <w:color w:val="auto"/>
          <w:sz w:val="22"/>
          <w:szCs w:val="22"/>
        </w:rPr>
        <w:t xml:space="preserve">O recurso e o pedido de reconsideração terão efeito suspensivo do ato ou da decisão recorrida até que sobrevenha decisão final da autoridade competente. </w:t>
      </w:r>
    </w:p>
    <w:p>
      <w:pPr>
        <w:pStyle w:val="Nivel2"/>
        <w:numPr>
          <w:ilvl w:val="1"/>
          <w:numId w:val="2"/>
        </w:numPr>
        <w:spacing w:lineRule="auto" w:line="360" w:before="0" w:after="0"/>
        <w:ind w:left="0" w:hanging="0"/>
        <w:rPr>
          <w:color w:val="auto"/>
          <w:sz w:val="22"/>
          <w:szCs w:val="22"/>
        </w:rPr>
      </w:pPr>
      <w:r>
        <w:rPr>
          <w:color w:val="auto"/>
          <w:sz w:val="22"/>
          <w:szCs w:val="22"/>
        </w:rPr>
        <w:t xml:space="preserve">O acolhimento do recurso invalida tão somente os atos insuscetíveis de aproveitamento. </w:t>
      </w:r>
    </w:p>
    <w:p>
      <w:pPr>
        <w:pStyle w:val="Nivel2"/>
        <w:numPr>
          <w:ilvl w:val="1"/>
          <w:numId w:val="2"/>
        </w:numPr>
        <w:spacing w:lineRule="auto" w:line="360" w:before="0" w:after="0"/>
        <w:ind w:left="0" w:hanging="0"/>
        <w:rPr>
          <w:color w:val="auto"/>
          <w:sz w:val="22"/>
          <w:szCs w:val="22"/>
        </w:rPr>
      </w:pPr>
      <w:r>
        <w:rPr>
          <w:color w:val="auto"/>
          <w:sz w:val="22"/>
          <w:szCs w:val="22"/>
        </w:rPr>
        <w:t>Os autos do processo permanecerão com vista aos interessados, na Seção de Licitações, localizada na Avenida Luciano Consoline, 600 – Jardim de Lucca, Itatiba/SP.</w:t>
      </w:r>
    </w:p>
    <w:p>
      <w:pPr>
        <w:pStyle w:val="Nivel2"/>
        <w:numPr>
          <w:ilvl w:val="0"/>
          <w:numId w:val="0"/>
        </w:numPr>
        <w:spacing w:lineRule="auto" w:line="360" w:before="0" w:after="0"/>
        <w:ind w:left="0" w:hanging="0"/>
        <w:rPr>
          <w:color w:val="auto"/>
          <w:sz w:val="22"/>
          <w:szCs w:val="22"/>
        </w:rPr>
      </w:pPr>
      <w:r>
        <w:rPr>
          <w:color w:val="auto"/>
          <w:sz w:val="22"/>
          <w:szCs w:val="22"/>
        </w:rPr>
      </w:r>
    </w:p>
    <w:p>
      <w:pPr>
        <w:pStyle w:val="Nivel01"/>
        <w:numPr>
          <w:ilvl w:val="0"/>
          <w:numId w:val="10"/>
        </w:numPr>
        <w:spacing w:lineRule="auto" w:line="360" w:before="0" w:after="0"/>
        <w:ind w:left="0" w:hanging="0"/>
        <w:rPr>
          <w:sz w:val="22"/>
          <w:szCs w:val="22"/>
        </w:rPr>
      </w:pPr>
      <w:r>
        <w:rPr>
          <w:sz w:val="22"/>
          <w:szCs w:val="22"/>
        </w:rPr>
        <w:t>DAS INFRAÇÕES ADMINISTRATIVAS E SANÇÕES</w:t>
      </w:r>
    </w:p>
    <w:p>
      <w:pPr>
        <w:pStyle w:val="Nivel2"/>
        <w:numPr>
          <w:ilvl w:val="1"/>
          <w:numId w:val="10"/>
        </w:numPr>
        <w:spacing w:lineRule="auto" w:line="360" w:before="0" w:after="0"/>
        <w:ind w:left="0" w:hanging="0"/>
        <w:rPr>
          <w:sz w:val="22"/>
          <w:szCs w:val="22"/>
        </w:rPr>
      </w:pPr>
      <w:r>
        <w:rPr>
          <w:sz w:val="22"/>
          <w:szCs w:val="22"/>
        </w:rPr>
        <w:t xml:space="preserve">Comete infração administrativa, nos termos da lei, o licitante que, com dolo ou culpa: </w:t>
      </w:r>
    </w:p>
    <w:p>
      <w:pPr>
        <w:pStyle w:val="Nivel3"/>
        <w:numPr>
          <w:ilvl w:val="2"/>
          <w:numId w:val="10"/>
        </w:numPr>
        <w:spacing w:lineRule="auto" w:line="360" w:before="0" w:after="0"/>
        <w:ind w:left="0" w:hanging="0"/>
        <w:rPr>
          <w:sz w:val="22"/>
          <w:szCs w:val="22"/>
        </w:rPr>
      </w:pPr>
      <w:bookmarkStart w:id="30" w:name="_Hlk114652595"/>
      <w:bookmarkStart w:id="31" w:name="_Ref114668085"/>
      <w:r>
        <w:rPr>
          <w:sz w:val="22"/>
          <w:szCs w:val="22"/>
        </w:rPr>
        <w:t>deixar de entregar a documentação exigida para o certame ou não entregar qualquer documento que tenha sido solicitado pelo/a pregoeiro/a durante o certame;</w:t>
      </w:r>
      <w:bookmarkEnd w:id="31"/>
    </w:p>
    <w:p>
      <w:pPr>
        <w:pStyle w:val="Nivel3"/>
        <w:numPr>
          <w:ilvl w:val="2"/>
          <w:numId w:val="10"/>
        </w:numPr>
        <w:spacing w:lineRule="auto" w:line="360" w:before="0" w:after="0"/>
        <w:ind w:left="0" w:hanging="0"/>
        <w:rPr>
          <w:sz w:val="22"/>
          <w:szCs w:val="22"/>
        </w:rPr>
      </w:pPr>
      <w:bookmarkStart w:id="32" w:name="_Ref114668108"/>
      <w:r>
        <w:rPr>
          <w:sz w:val="22"/>
          <w:szCs w:val="22"/>
        </w:rPr>
        <w:t>Salvo em decorrência de fato superveniente devidamente justificado, não mantiver a proposta em especial quando:</w:t>
      </w:r>
      <w:bookmarkEnd w:id="32"/>
    </w:p>
    <w:p>
      <w:pPr>
        <w:pStyle w:val="Nivel4"/>
        <w:numPr>
          <w:ilvl w:val="3"/>
          <w:numId w:val="10"/>
        </w:numPr>
        <w:spacing w:lineRule="auto" w:line="360" w:before="0" w:after="0"/>
        <w:ind w:left="0" w:hanging="0"/>
        <w:rPr>
          <w:sz w:val="22"/>
          <w:szCs w:val="22"/>
        </w:rPr>
      </w:pPr>
      <w:r>
        <w:rPr>
          <w:sz w:val="22"/>
          <w:szCs w:val="22"/>
        </w:rPr>
        <w:t xml:space="preserve">não enviar a proposta adequada ao último lance ofertado ou após a negociação; </w:t>
      </w:r>
    </w:p>
    <w:p>
      <w:pPr>
        <w:pStyle w:val="Nivel4"/>
        <w:numPr>
          <w:ilvl w:val="3"/>
          <w:numId w:val="10"/>
        </w:numPr>
        <w:spacing w:lineRule="auto" w:line="360" w:before="0" w:after="0"/>
        <w:ind w:left="0" w:hanging="0"/>
        <w:rPr>
          <w:sz w:val="22"/>
          <w:szCs w:val="22"/>
        </w:rPr>
      </w:pPr>
      <w:r>
        <w:rPr>
          <w:sz w:val="22"/>
          <w:szCs w:val="22"/>
        </w:rPr>
        <w:t xml:space="preserve">recusar-se a enviar o detalhamento da proposta quando exigível; </w:t>
      </w:r>
    </w:p>
    <w:p>
      <w:pPr>
        <w:pStyle w:val="Nivel4"/>
        <w:numPr>
          <w:ilvl w:val="3"/>
          <w:numId w:val="10"/>
        </w:numPr>
        <w:spacing w:lineRule="auto" w:line="360" w:before="0" w:after="0"/>
        <w:ind w:left="0" w:hanging="0"/>
        <w:rPr>
          <w:sz w:val="22"/>
          <w:szCs w:val="22"/>
        </w:rPr>
      </w:pPr>
      <w:r>
        <w:rPr>
          <w:sz w:val="22"/>
          <w:szCs w:val="22"/>
        </w:rPr>
        <w:t xml:space="preserve">pedir para ser desclassificado quando encerrada a etapa competitiva; ou </w:t>
      </w:r>
    </w:p>
    <w:p>
      <w:pPr>
        <w:pStyle w:val="Nivel4"/>
        <w:numPr>
          <w:ilvl w:val="3"/>
          <w:numId w:val="10"/>
        </w:numPr>
        <w:spacing w:lineRule="auto" w:line="360" w:before="0" w:after="0"/>
        <w:ind w:left="0" w:hanging="0"/>
        <w:rPr>
          <w:sz w:val="22"/>
          <w:szCs w:val="22"/>
        </w:rPr>
      </w:pPr>
      <w:r>
        <w:rPr>
          <w:sz w:val="22"/>
          <w:szCs w:val="22"/>
        </w:rPr>
        <w:t xml:space="preserve">apresentar proposta em desacordo com as especificações do edital; </w:t>
      </w:r>
    </w:p>
    <w:p>
      <w:pPr>
        <w:pStyle w:val="Nivel3"/>
        <w:numPr>
          <w:ilvl w:val="2"/>
          <w:numId w:val="10"/>
        </w:numPr>
        <w:spacing w:lineRule="auto" w:line="360" w:before="0" w:after="0"/>
        <w:ind w:left="0" w:hanging="0"/>
        <w:rPr>
          <w:sz w:val="22"/>
          <w:szCs w:val="22"/>
        </w:rPr>
      </w:pPr>
      <w:bookmarkStart w:id="33" w:name="_Ref114668139"/>
      <w:r>
        <w:rPr>
          <w:sz w:val="22"/>
          <w:szCs w:val="22"/>
        </w:rPr>
        <w:t>não celebrar o contrato ou não entregar a documentação exigida para a contratação, quando convocado dentro do prazo de validade de sua proposta;</w:t>
      </w:r>
      <w:bookmarkEnd w:id="33"/>
    </w:p>
    <w:p>
      <w:pPr>
        <w:pStyle w:val="Nivel4"/>
        <w:numPr>
          <w:ilvl w:val="3"/>
          <w:numId w:val="10"/>
        </w:numPr>
        <w:spacing w:lineRule="auto" w:line="360" w:before="0" w:after="0"/>
        <w:ind w:left="0" w:hanging="0"/>
        <w:rPr>
          <w:sz w:val="22"/>
          <w:szCs w:val="22"/>
        </w:rPr>
      </w:pPr>
      <w:r>
        <w:rPr>
          <w:sz w:val="22"/>
          <w:szCs w:val="22"/>
        </w:rPr>
        <w:t>recusar-se, sem justificativa, a assinar o contrato ou, ou a aceitar ou retirar o instrumento equivalente no prazo estabelecido pela Administração;</w:t>
      </w:r>
    </w:p>
    <w:p>
      <w:pPr>
        <w:pStyle w:val="Nivel3"/>
        <w:numPr>
          <w:ilvl w:val="2"/>
          <w:numId w:val="10"/>
        </w:numPr>
        <w:spacing w:lineRule="auto" w:line="360" w:before="0" w:after="0"/>
        <w:ind w:left="0" w:hanging="0"/>
        <w:rPr>
          <w:sz w:val="22"/>
          <w:szCs w:val="22"/>
        </w:rPr>
      </w:pPr>
      <w:bookmarkStart w:id="34" w:name="_Ref114668249"/>
      <w:r>
        <w:rPr>
          <w:sz w:val="22"/>
          <w:szCs w:val="22"/>
        </w:rPr>
        <w:t>apresentar declaração ou documentação falsa exigida para o certame ou prestar declaração falsa durante a licitação</w:t>
      </w:r>
      <w:bookmarkEnd w:id="34"/>
    </w:p>
    <w:p>
      <w:pPr>
        <w:pStyle w:val="Nivel3"/>
        <w:numPr>
          <w:ilvl w:val="2"/>
          <w:numId w:val="10"/>
        </w:numPr>
        <w:spacing w:lineRule="auto" w:line="360" w:before="0" w:after="0"/>
        <w:ind w:left="0" w:hanging="0"/>
        <w:rPr>
          <w:sz w:val="22"/>
          <w:szCs w:val="22"/>
        </w:rPr>
      </w:pPr>
      <w:bookmarkStart w:id="35" w:name="_Ref114668245"/>
      <w:r>
        <w:rPr>
          <w:sz w:val="22"/>
          <w:szCs w:val="22"/>
        </w:rPr>
        <w:t>fraudar a licitação</w:t>
      </w:r>
      <w:bookmarkEnd w:id="35"/>
    </w:p>
    <w:p>
      <w:pPr>
        <w:pStyle w:val="Nivel3"/>
        <w:numPr>
          <w:ilvl w:val="2"/>
          <w:numId w:val="10"/>
        </w:numPr>
        <w:spacing w:lineRule="auto" w:line="360" w:before="0" w:after="0"/>
        <w:ind w:left="0" w:hanging="0"/>
        <w:rPr>
          <w:sz w:val="22"/>
          <w:szCs w:val="22"/>
        </w:rPr>
      </w:pPr>
      <w:bookmarkStart w:id="36" w:name="_Ref114668247"/>
      <w:r>
        <w:rPr>
          <w:sz w:val="22"/>
          <w:szCs w:val="22"/>
        </w:rPr>
        <w:t>comportar-se de modo inidôneo ou cometer fraude de qualquer natureza, em especial quando:</w:t>
      </w:r>
      <w:bookmarkEnd w:id="36"/>
    </w:p>
    <w:p>
      <w:pPr>
        <w:pStyle w:val="Nivel4"/>
        <w:numPr>
          <w:ilvl w:val="3"/>
          <w:numId w:val="10"/>
        </w:numPr>
        <w:spacing w:lineRule="auto" w:line="360" w:before="0" w:after="0"/>
        <w:ind w:left="0" w:hanging="0"/>
        <w:rPr>
          <w:sz w:val="22"/>
          <w:szCs w:val="22"/>
        </w:rPr>
      </w:pPr>
      <w:r>
        <w:rPr>
          <w:sz w:val="22"/>
          <w:szCs w:val="22"/>
        </w:rPr>
        <w:t xml:space="preserve">agir em conluio ou em desconformidade com a lei; </w:t>
      </w:r>
    </w:p>
    <w:p>
      <w:pPr>
        <w:pStyle w:val="Nivel4"/>
        <w:numPr>
          <w:ilvl w:val="3"/>
          <w:numId w:val="10"/>
        </w:numPr>
        <w:spacing w:lineRule="auto" w:line="360" w:before="0" w:after="0"/>
        <w:ind w:left="0" w:hanging="0"/>
        <w:rPr>
          <w:sz w:val="22"/>
          <w:szCs w:val="22"/>
        </w:rPr>
      </w:pPr>
      <w:r>
        <w:rPr>
          <w:sz w:val="22"/>
          <w:szCs w:val="22"/>
        </w:rPr>
        <w:t xml:space="preserve">induzir deliberadamente a erro no julgamento; </w:t>
      </w:r>
    </w:p>
    <w:p>
      <w:pPr>
        <w:pStyle w:val="Nivel4"/>
        <w:numPr>
          <w:ilvl w:val="3"/>
          <w:numId w:val="10"/>
        </w:numPr>
        <w:spacing w:lineRule="auto" w:line="360" w:before="0" w:after="0"/>
        <w:ind w:left="0" w:hanging="0"/>
        <w:rPr>
          <w:sz w:val="22"/>
          <w:szCs w:val="22"/>
        </w:rPr>
      </w:pPr>
      <w:r>
        <w:rPr>
          <w:sz w:val="22"/>
          <w:szCs w:val="22"/>
        </w:rPr>
        <w:t xml:space="preserve">apresentar amostra falsificada ou deteriorada; </w:t>
      </w:r>
    </w:p>
    <w:p>
      <w:pPr>
        <w:pStyle w:val="Nivel3"/>
        <w:numPr>
          <w:ilvl w:val="2"/>
          <w:numId w:val="10"/>
        </w:numPr>
        <w:spacing w:lineRule="auto" w:line="360" w:before="0" w:after="0"/>
        <w:ind w:left="0" w:hanging="0"/>
        <w:rPr>
          <w:sz w:val="22"/>
          <w:szCs w:val="22"/>
        </w:rPr>
      </w:pPr>
      <w:bookmarkStart w:id="37" w:name="_Ref114668251"/>
      <w:r>
        <w:rPr>
          <w:sz w:val="22"/>
          <w:szCs w:val="22"/>
        </w:rPr>
        <w:t>praticar atos ilícitos com vistas a frustrar os objetivos da licitação</w:t>
      </w:r>
      <w:bookmarkEnd w:id="37"/>
    </w:p>
    <w:p>
      <w:pPr>
        <w:pStyle w:val="Nivel3"/>
        <w:numPr>
          <w:ilvl w:val="2"/>
          <w:numId w:val="10"/>
        </w:numPr>
        <w:spacing w:lineRule="auto" w:line="360" w:before="0" w:after="0"/>
        <w:ind w:left="0" w:hanging="0"/>
        <w:rPr>
          <w:sz w:val="22"/>
          <w:szCs w:val="22"/>
        </w:rPr>
      </w:pPr>
      <w:bookmarkStart w:id="38" w:name="_Ref114668252"/>
      <w:r>
        <w:rPr>
          <w:sz w:val="22"/>
          <w:szCs w:val="22"/>
        </w:rPr>
        <w:t xml:space="preserve">praticar ato lesivo previsto no </w:t>
      </w:r>
      <w:r>
        <w:fldChar w:fldCharType="begin"/>
      </w:r>
      <w:r>
        <w:rPr>
          <w:rStyle w:val="LinkdaInternet"/>
          <w:sz w:val="22"/>
          <w:szCs w:val="22"/>
        </w:rPr>
        <w:instrText xml:space="preserve"> HYPERLINK "https://www.planalto.gov.br/ccivil_03/_ato2011-2014/2013/lei/l12846.htm" \l "art5"</w:instrText>
      </w:r>
      <w:r>
        <w:rPr>
          <w:rStyle w:val="LinkdaInternet"/>
          <w:sz w:val="22"/>
          <w:szCs w:val="22"/>
        </w:rPr>
        <w:fldChar w:fldCharType="separate"/>
      </w:r>
      <w:r>
        <w:rPr>
          <w:rStyle w:val="LinkdaInternet"/>
          <w:sz w:val="22"/>
          <w:szCs w:val="22"/>
        </w:rPr>
        <w:t>art. 5º da Lei n.º 12.846, de 2013</w:t>
      </w:r>
      <w:r>
        <w:rPr>
          <w:rStyle w:val="LinkdaInternet"/>
          <w:sz w:val="22"/>
          <w:szCs w:val="22"/>
        </w:rPr>
        <w:fldChar w:fldCharType="end"/>
      </w:r>
      <w:r>
        <w:rPr>
          <w:sz w:val="22"/>
          <w:szCs w:val="22"/>
        </w:rPr>
        <w:t>.</w:t>
      </w:r>
      <w:bookmarkEnd w:id="30"/>
      <w:bookmarkEnd w:id="38"/>
    </w:p>
    <w:p>
      <w:pPr>
        <w:pStyle w:val="Nivel2"/>
        <w:numPr>
          <w:ilvl w:val="1"/>
          <w:numId w:val="10"/>
        </w:numPr>
        <w:spacing w:lineRule="auto" w:line="360" w:before="0" w:after="0"/>
        <w:ind w:left="0" w:hanging="0"/>
        <w:rPr>
          <w:sz w:val="22"/>
          <w:szCs w:val="22"/>
        </w:rPr>
      </w:pPr>
      <w:r>
        <w:rPr>
          <w:sz w:val="22"/>
          <w:szCs w:val="22"/>
        </w:rPr>
        <w:t xml:space="preserve">Com fulcro na </w:t>
      </w:r>
      <w:hyperlink r:id="rId12">
        <w:r>
          <w:rPr>
            <w:rStyle w:val="LinkdaInternet"/>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pPr>
        <w:pStyle w:val="Nivel3"/>
        <w:numPr>
          <w:ilvl w:val="2"/>
          <w:numId w:val="10"/>
        </w:numPr>
        <w:spacing w:lineRule="auto" w:line="360" w:before="0" w:after="0"/>
        <w:ind w:left="0" w:hanging="0"/>
        <w:rPr>
          <w:sz w:val="22"/>
          <w:szCs w:val="22"/>
        </w:rPr>
      </w:pPr>
      <w:r>
        <w:rPr>
          <w:sz w:val="22"/>
          <w:szCs w:val="22"/>
        </w:rPr>
        <w:t xml:space="preserve">advertência; </w:t>
      </w:r>
    </w:p>
    <w:p>
      <w:pPr>
        <w:pStyle w:val="Nivel3"/>
        <w:numPr>
          <w:ilvl w:val="2"/>
          <w:numId w:val="10"/>
        </w:numPr>
        <w:spacing w:lineRule="auto" w:line="360" w:before="0" w:after="0"/>
        <w:ind w:left="0" w:hanging="0"/>
        <w:rPr>
          <w:sz w:val="22"/>
          <w:szCs w:val="22"/>
        </w:rPr>
      </w:pPr>
      <w:r>
        <w:rPr>
          <w:sz w:val="22"/>
          <w:szCs w:val="22"/>
        </w:rPr>
        <w:t>multa;</w:t>
      </w:r>
    </w:p>
    <w:p>
      <w:pPr>
        <w:pStyle w:val="Nivel3"/>
        <w:numPr>
          <w:ilvl w:val="2"/>
          <w:numId w:val="10"/>
        </w:numPr>
        <w:spacing w:lineRule="auto" w:line="360" w:before="0" w:after="0"/>
        <w:ind w:left="0" w:hanging="0"/>
        <w:rPr>
          <w:sz w:val="22"/>
          <w:szCs w:val="22"/>
        </w:rPr>
      </w:pPr>
      <w:r>
        <w:rPr>
          <w:sz w:val="22"/>
          <w:szCs w:val="22"/>
        </w:rPr>
        <w:t>impedimento de licitar e contratar e</w:t>
      </w:r>
    </w:p>
    <w:p>
      <w:pPr>
        <w:pStyle w:val="Nivel3"/>
        <w:numPr>
          <w:ilvl w:val="2"/>
          <w:numId w:val="10"/>
        </w:numPr>
        <w:spacing w:lineRule="auto" w:line="360" w:before="0" w:after="0"/>
        <w:ind w:left="0" w:hanging="0"/>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pPr>
        <w:pStyle w:val="Nivel2"/>
        <w:numPr>
          <w:ilvl w:val="1"/>
          <w:numId w:val="10"/>
        </w:numPr>
        <w:spacing w:lineRule="auto" w:line="360" w:before="0" w:after="0"/>
        <w:ind w:left="0" w:hanging="0"/>
        <w:rPr>
          <w:sz w:val="22"/>
          <w:szCs w:val="22"/>
        </w:rPr>
      </w:pPr>
      <w:r>
        <w:rPr>
          <w:sz w:val="22"/>
          <w:szCs w:val="22"/>
        </w:rPr>
        <w:t>Na aplicação das sanções serão considerados:</w:t>
      </w:r>
    </w:p>
    <w:p>
      <w:pPr>
        <w:pStyle w:val="Nivel3"/>
        <w:numPr>
          <w:ilvl w:val="2"/>
          <w:numId w:val="10"/>
        </w:numPr>
        <w:spacing w:lineRule="auto" w:line="360" w:before="0" w:after="0"/>
        <w:ind w:left="0" w:hanging="0"/>
        <w:rPr>
          <w:sz w:val="22"/>
          <w:szCs w:val="22"/>
        </w:rPr>
      </w:pPr>
      <w:r>
        <w:rPr>
          <w:sz w:val="22"/>
          <w:szCs w:val="22"/>
        </w:rPr>
        <w:t>a natureza e a gravidade da infração cometida.</w:t>
      </w:r>
    </w:p>
    <w:p>
      <w:pPr>
        <w:pStyle w:val="Nivel3"/>
        <w:numPr>
          <w:ilvl w:val="2"/>
          <w:numId w:val="10"/>
        </w:numPr>
        <w:spacing w:lineRule="auto" w:line="360" w:before="0" w:after="0"/>
        <w:ind w:left="0" w:hanging="0"/>
        <w:rPr>
          <w:sz w:val="22"/>
          <w:szCs w:val="22"/>
        </w:rPr>
      </w:pPr>
      <w:r>
        <w:rPr>
          <w:sz w:val="22"/>
          <w:szCs w:val="22"/>
        </w:rPr>
        <w:t>as peculiaridades do caso concreto</w:t>
      </w:r>
    </w:p>
    <w:p>
      <w:pPr>
        <w:pStyle w:val="Nivel3"/>
        <w:numPr>
          <w:ilvl w:val="2"/>
          <w:numId w:val="10"/>
        </w:numPr>
        <w:spacing w:lineRule="auto" w:line="360" w:before="0" w:after="0"/>
        <w:ind w:left="0" w:hanging="0"/>
        <w:rPr>
          <w:sz w:val="22"/>
          <w:szCs w:val="22"/>
        </w:rPr>
      </w:pPr>
      <w:r>
        <w:rPr>
          <w:sz w:val="22"/>
          <w:szCs w:val="22"/>
        </w:rPr>
        <w:t>as circunstâncias agravantes ou atenuantes</w:t>
      </w:r>
    </w:p>
    <w:p>
      <w:pPr>
        <w:pStyle w:val="Nivel3"/>
        <w:numPr>
          <w:ilvl w:val="2"/>
          <w:numId w:val="10"/>
        </w:numPr>
        <w:spacing w:lineRule="auto" w:line="360" w:before="0" w:after="0"/>
        <w:ind w:left="0" w:hanging="0"/>
        <w:rPr>
          <w:sz w:val="22"/>
          <w:szCs w:val="22"/>
        </w:rPr>
      </w:pPr>
      <w:r>
        <w:rPr>
          <w:sz w:val="22"/>
          <w:szCs w:val="22"/>
        </w:rPr>
        <w:t>os danos que dela provierem para a Administração Pública</w:t>
      </w:r>
    </w:p>
    <w:p>
      <w:pPr>
        <w:pStyle w:val="Nivel3"/>
        <w:numPr>
          <w:ilvl w:val="2"/>
          <w:numId w:val="10"/>
        </w:numPr>
        <w:spacing w:lineRule="auto" w:line="360" w:before="0" w:after="0"/>
        <w:ind w:left="0" w:hanging="0"/>
        <w:rPr>
          <w:sz w:val="22"/>
          <w:szCs w:val="22"/>
        </w:rPr>
      </w:pPr>
      <w:r>
        <w:rPr>
          <w:sz w:val="22"/>
          <w:szCs w:val="22"/>
        </w:rPr>
        <w:t>a implantação ou o aperfeiçoamento de programa de integridade, conforme normas e orientações dos órgãos de controle.</w:t>
      </w:r>
    </w:p>
    <w:p>
      <w:pPr>
        <w:pStyle w:val="Nivel2"/>
        <w:numPr>
          <w:ilvl w:val="1"/>
          <w:numId w:val="10"/>
        </w:numPr>
        <w:spacing w:lineRule="auto" w:line="360" w:before="0" w:after="0"/>
        <w:ind w:left="0" w:hanging="0"/>
        <w:rPr>
          <w:sz w:val="22"/>
          <w:szCs w:val="22"/>
        </w:rPr>
      </w:pPr>
      <w:r>
        <w:rPr>
          <w:sz w:val="22"/>
          <w:szCs w:val="22"/>
        </w:rPr>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pPr>
        <w:pStyle w:val="Nivel3"/>
        <w:numPr>
          <w:ilvl w:val="2"/>
          <w:numId w:val="10"/>
        </w:numPr>
        <w:spacing w:lineRule="auto" w:line="360" w:before="0" w:after="0"/>
        <w:ind w:left="0" w:hanging="0"/>
        <w:rPr>
          <w:sz w:val="22"/>
          <w:szCs w:val="22"/>
        </w:rPr>
      </w:pPr>
      <w:bookmarkStart w:id="39" w:name="_Hlk113876035"/>
      <w:r>
        <w:rPr>
          <w:sz w:val="22"/>
          <w:szCs w:val="22"/>
        </w:rPr>
        <w:t xml:space="preserve">Para as infrações previstas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10.1.3</w:t>
      </w:r>
      <w:r>
        <w:rPr>
          <w:sz w:val="22"/>
          <w:szCs w:val="22"/>
        </w:rPr>
        <w:fldChar w:fldCharType="end"/>
      </w:r>
      <w:r>
        <w:rPr>
          <w:sz w:val="22"/>
          <w:szCs w:val="22"/>
        </w:rPr>
        <w:t>, a multa será de 0,5% a 15% do valor do contrato licitado.</w:t>
      </w:r>
      <w:bookmarkEnd w:id="39"/>
    </w:p>
    <w:p>
      <w:pPr>
        <w:pStyle w:val="Nivel3"/>
        <w:numPr>
          <w:ilvl w:val="2"/>
          <w:numId w:val="10"/>
        </w:numPr>
        <w:spacing w:lineRule="auto" w:line="360" w:before="0" w:after="0"/>
        <w:ind w:left="0" w:hanging="0"/>
        <w:rPr>
          <w:sz w:val="22"/>
          <w:szCs w:val="22"/>
        </w:rPr>
      </w:pPr>
      <w:r>
        <w:rPr>
          <w:sz w:val="22"/>
          <w:szCs w:val="22"/>
        </w:rPr>
        <w:t xml:space="preserve">Para as infrações previstas nos itens </w:t>
      </w:r>
      <w:r>
        <w:rPr>
          <w:sz w:val="22"/>
          <w:szCs w:val="22"/>
        </w:rPr>
        <w:fldChar w:fldCharType="begin"/>
      </w:r>
      <w:r>
        <w:rPr>
          <w:sz w:val="22"/>
          <w:szCs w:val="22"/>
        </w:rPr>
        <w:instrText xml:space="preserve"> REF _Ref114668249 \r \h </w:instrText>
      </w:r>
      <w:r>
        <w:rPr>
          <w:sz w:val="22"/>
          <w:szCs w:val="22"/>
        </w:rPr>
        <w:fldChar w:fldCharType="separate"/>
      </w:r>
      <w:r>
        <w:rPr>
          <w:sz w:val="22"/>
          <w:szCs w:val="22"/>
        </w:rPr>
        <w:t>10.1.4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fldChar w:fldCharType="separate"/>
      </w:r>
      <w:r>
        <w:rPr>
          <w:sz w:val="22"/>
          <w:szCs w:val="22"/>
        </w:rPr>
        <w:t>10.1.5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fldChar w:fldCharType="separate"/>
      </w:r>
      <w:r>
        <w:rPr>
          <w:sz w:val="22"/>
          <w:szCs w:val="22"/>
        </w:rPr>
        <w:t>10.1.6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fldChar w:fldCharType="separate"/>
      </w:r>
      <w:r>
        <w:rPr>
          <w:sz w:val="22"/>
          <w:szCs w:val="22"/>
        </w:rPr>
        <w:t>10.1.7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fldChar w:fldCharType="separate"/>
      </w:r>
      <w:r>
        <w:rPr>
          <w:sz w:val="22"/>
          <w:szCs w:val="22"/>
        </w:rPr>
        <w:t>10.1.8</w:t>
      </w:r>
      <w:r>
        <w:rPr>
          <w:sz w:val="22"/>
          <w:szCs w:val="22"/>
        </w:rPr>
        <w:fldChar w:fldCharType="end"/>
      </w:r>
      <w:r>
        <w:rPr>
          <w:sz w:val="22"/>
          <w:szCs w:val="22"/>
        </w:rPr>
        <w:t>, a multa será de 15% a 30% do valor do contrato licitado.</w:t>
      </w:r>
    </w:p>
    <w:p>
      <w:pPr>
        <w:pStyle w:val="Nivel2"/>
        <w:numPr>
          <w:ilvl w:val="1"/>
          <w:numId w:val="10"/>
        </w:numPr>
        <w:spacing w:lineRule="auto" w:line="360" w:before="0" w:after="0"/>
        <w:ind w:left="0" w:hanging="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pPr>
        <w:pStyle w:val="Nivel2"/>
        <w:numPr>
          <w:ilvl w:val="1"/>
          <w:numId w:val="10"/>
        </w:numPr>
        <w:spacing w:lineRule="auto" w:line="360" w:before="0" w:after="0"/>
        <w:ind w:left="0" w:hanging="0"/>
        <w:rPr>
          <w:sz w:val="22"/>
          <w:szCs w:val="22"/>
        </w:rPr>
      </w:pPr>
      <w:r>
        <w:rPr>
          <w:sz w:val="22"/>
          <w:szCs w:val="22"/>
        </w:rPr>
        <w:t>Na aplicação da sanção de multa será facultada a defesa do interessado no prazo de 15 (quinze) dias úteis, contado da data de sua intimação.</w:t>
      </w:r>
    </w:p>
    <w:p>
      <w:pPr>
        <w:pStyle w:val="Nivel2"/>
        <w:numPr>
          <w:ilvl w:val="1"/>
          <w:numId w:val="10"/>
        </w:numPr>
        <w:spacing w:lineRule="auto" w:line="360" w:before="0" w:after="0"/>
        <w:ind w:left="0" w:hanging="0"/>
        <w:rPr>
          <w:sz w:val="22"/>
          <w:szCs w:val="22"/>
        </w:rPr>
      </w:pPr>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10.1.3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ivel2"/>
        <w:numPr>
          <w:ilvl w:val="1"/>
          <w:numId w:val="10"/>
        </w:numPr>
        <w:spacing w:lineRule="auto" w:line="360" w:before="0" w:after="0"/>
        <w:ind w:left="0" w:hanging="0"/>
        <w:rPr>
          <w:sz w:val="22"/>
          <w:szCs w:val="22"/>
        </w:rPr>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\h </w:instrText>
      </w:r>
      <w:r>
        <w:rPr>
          <w:sz w:val="22"/>
          <w:szCs w:val="22"/>
        </w:rPr>
        <w:fldChar w:fldCharType="separate"/>
      </w:r>
      <w:r>
        <w:rPr>
          <w:sz w:val="22"/>
          <w:szCs w:val="22"/>
        </w:rPr>
        <w:t>10.1.4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fldChar w:fldCharType="separate"/>
      </w:r>
      <w:r>
        <w:rPr>
          <w:sz w:val="22"/>
          <w:szCs w:val="22"/>
        </w:rPr>
        <w:t>10.1.5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fldChar w:fldCharType="separate"/>
      </w:r>
      <w:r>
        <w:rPr>
          <w:sz w:val="22"/>
          <w:szCs w:val="22"/>
        </w:rPr>
        <w:t>10.1.6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fldChar w:fldCharType="separate"/>
      </w:r>
      <w:r>
        <w:rPr>
          <w:sz w:val="22"/>
          <w:szCs w:val="22"/>
        </w:rPr>
        <w:t>10.1.7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fldChar w:fldCharType="separate"/>
      </w:r>
      <w:r>
        <w:rPr>
          <w:sz w:val="22"/>
          <w:szCs w:val="22"/>
        </w:rPr>
        <w:t>10.1.8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10.1.3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r>
        <w:fldChar w:fldCharType="begin"/>
      </w:r>
      <w:r>
        <w:rPr>
          <w:rStyle w:val="LinkdaInternet"/>
          <w:sz w:val="22"/>
          <w:szCs w:val="22"/>
        </w:rPr>
        <w:instrText xml:space="preserve"> HYPERLINK "http://www.planalto.gov.br/ccivil_03/_ato2019-2022/2021/lei/L14133.htm" \l "art156§5"</w:instrText>
      </w:r>
      <w:r>
        <w:rPr>
          <w:rStyle w:val="LinkdaInternet"/>
          <w:sz w:val="22"/>
          <w:szCs w:val="22"/>
        </w:rPr>
        <w:fldChar w:fldCharType="separate"/>
      </w:r>
      <w:r>
        <w:rPr>
          <w:rStyle w:val="LinkdaInternet"/>
          <w:sz w:val="22"/>
          <w:szCs w:val="22"/>
        </w:rPr>
        <w:t>art. 156, §5º, da Lei n.º 14.133/2021</w:t>
      </w:r>
      <w:r>
        <w:rPr>
          <w:rStyle w:val="LinkdaInternet"/>
          <w:sz w:val="22"/>
          <w:szCs w:val="22"/>
        </w:rPr>
        <w:fldChar w:fldCharType="end"/>
      </w:r>
      <w:r>
        <w:rPr>
          <w:sz w:val="22"/>
          <w:szCs w:val="22"/>
        </w:rPr>
        <w:t>.</w:t>
      </w:r>
    </w:p>
    <w:p>
      <w:pPr>
        <w:pStyle w:val="Nivel2"/>
        <w:numPr>
          <w:ilvl w:val="1"/>
          <w:numId w:val="10"/>
        </w:numPr>
        <w:spacing w:lineRule="auto" w:line="360" w:before="0" w:after="0"/>
        <w:ind w:left="0" w:hanging="0"/>
        <w:rPr>
          <w:sz w:val="22"/>
          <w:szCs w:val="22"/>
        </w:rPr>
      </w:pPr>
      <w:r>
        <w:rPr>
          <w:sz w:val="22"/>
          <w:szCs w:val="22"/>
        </w:rPr>
        <w:t xml:space="preserve">A recusa injustificada do adjudicatário em assinar o contrato ou, ou em aceitar ou retirar o instrumento equivalente no prazo estabelecido pela Administração, descrita no item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10.1.3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13">
        <w:r>
          <w:rPr>
            <w:rStyle w:val="LinkdaInternet"/>
            <w:sz w:val="22"/>
            <w:szCs w:val="22"/>
          </w:rPr>
          <w:t>art. 45, §4º da IN SEGES/ME n.º 73, de 2022</w:t>
        </w:r>
      </w:hyperlink>
      <w:r>
        <w:rPr>
          <w:sz w:val="22"/>
          <w:szCs w:val="22"/>
        </w:rPr>
        <w:t xml:space="preserve">. </w:t>
      </w:r>
    </w:p>
    <w:p>
      <w:pPr>
        <w:pStyle w:val="Nivel2"/>
        <w:numPr>
          <w:ilvl w:val="1"/>
          <w:numId w:val="10"/>
        </w:numPr>
        <w:spacing w:lineRule="auto" w:line="360" w:before="0" w:after="0"/>
        <w:ind w:left="0" w:hanging="0"/>
        <w:rPr>
          <w:sz w:val="22"/>
          <w:szCs w:val="22"/>
        </w:rPr>
      </w:pPr>
      <w:r>
        <w:rPr>
          <w:sz w:val="22"/>
          <w:szCs w:val="22"/>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pPr>
        <w:pStyle w:val="Nivel2"/>
        <w:numPr>
          <w:ilvl w:val="1"/>
          <w:numId w:val="10"/>
        </w:numPr>
        <w:spacing w:lineRule="auto" w:line="360" w:before="0" w:after="0"/>
        <w:ind w:left="0" w:hanging="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ivel2"/>
        <w:numPr>
          <w:ilvl w:val="1"/>
          <w:numId w:val="10"/>
        </w:numPr>
        <w:spacing w:lineRule="auto" w:line="360" w:before="0" w:after="0"/>
        <w:ind w:left="0" w:hanging="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ivel2"/>
        <w:numPr>
          <w:ilvl w:val="1"/>
          <w:numId w:val="10"/>
        </w:numPr>
        <w:spacing w:lineRule="auto" w:line="360" w:before="0" w:after="0"/>
        <w:ind w:left="0" w:hanging="0"/>
        <w:rPr>
          <w:sz w:val="22"/>
          <w:szCs w:val="22"/>
        </w:rPr>
      </w:pPr>
      <w:r>
        <w:rPr>
          <w:sz w:val="22"/>
          <w:szCs w:val="22"/>
        </w:rPr>
        <w:t>O recurso e o pedido de reconsideração terão efeito suspensivo do ato ou da decisão recorrida até que sobrevenha decisão final da autoridade competente.</w:t>
      </w:r>
    </w:p>
    <w:p>
      <w:pPr>
        <w:pStyle w:val="Nivel2"/>
        <w:numPr>
          <w:ilvl w:val="1"/>
          <w:numId w:val="10"/>
        </w:numPr>
        <w:spacing w:lineRule="auto" w:line="360" w:before="0" w:after="0"/>
        <w:ind w:left="0" w:hanging="0"/>
        <w:rPr>
          <w:sz w:val="22"/>
          <w:szCs w:val="22"/>
        </w:rPr>
      </w:pPr>
      <w:r>
        <w:rPr>
          <w:sz w:val="22"/>
          <w:szCs w:val="22"/>
        </w:rPr>
        <w:t>A aplicação das sanções previstas neste edital não exclui, em hipótese alguma, a obrigação de reparação integral dos danos causados.</w:t>
      </w:r>
    </w:p>
    <w:p>
      <w:pPr>
        <w:pStyle w:val="Nivel2"/>
        <w:numPr>
          <w:ilvl w:val="0"/>
          <w:numId w:val="0"/>
        </w:numPr>
        <w:spacing w:lineRule="auto" w:line="360" w:before="0" w:after="0"/>
        <w:ind w:left="0" w:hanging="0"/>
        <w:rPr>
          <w:color w:val="auto"/>
          <w:sz w:val="22"/>
          <w:szCs w:val="22"/>
        </w:rPr>
      </w:pPr>
      <w:r>
        <w:rPr>
          <w:color w:val="auto"/>
          <w:sz w:val="22"/>
          <w:szCs w:val="22"/>
        </w:rPr>
      </w:r>
    </w:p>
    <w:p>
      <w:pPr>
        <w:pStyle w:val="Nivel01"/>
        <w:numPr>
          <w:ilvl w:val="0"/>
          <w:numId w:val="27"/>
        </w:numPr>
        <w:spacing w:lineRule="auto" w:line="360" w:before="0" w:after="0"/>
        <w:rPr>
          <w:sz w:val="22"/>
          <w:szCs w:val="22"/>
        </w:rPr>
      </w:pPr>
      <w:bookmarkStart w:id="40" w:name="_Toc122606112"/>
      <w:r>
        <w:rPr>
          <w:sz w:val="22"/>
          <w:szCs w:val="22"/>
        </w:rPr>
        <w:t>DA IMPUGNAÇÃO AO EDITAL E DO PEDIDO DE ESCLARECIMENTO</w:t>
      </w:r>
      <w:bookmarkEnd w:id="40"/>
    </w:p>
    <w:p>
      <w:pPr>
        <w:pStyle w:val="Nivel2"/>
        <w:numPr>
          <w:ilvl w:val="1"/>
          <w:numId w:val="2"/>
        </w:numPr>
        <w:spacing w:lineRule="auto" w:line="360" w:before="0" w:after="0"/>
        <w:ind w:left="0" w:hanging="0"/>
        <w:rPr>
          <w:color w:val="auto"/>
          <w:sz w:val="22"/>
          <w:szCs w:val="22"/>
        </w:rPr>
      </w:pPr>
      <w:r>
        <w:rPr>
          <w:color w:val="auto"/>
          <w:sz w:val="22"/>
          <w:szCs w:val="22"/>
        </w:rPr>
        <w:t xml:space="preserve">Qualquer pessoa é parte legítima para impugnar este Edital por irregularidade na aplicação da </w:t>
      </w:r>
      <w:hyperlink r:id="rId14">
        <w:r>
          <w:rPr>
            <w:rStyle w:val="LinkdaInternet"/>
            <w:color w:val="auto"/>
            <w:sz w:val="22"/>
            <w:szCs w:val="22"/>
          </w:rPr>
          <w:t>Lei nº 14.133, de 2021</w:t>
        </w:r>
      </w:hyperlink>
      <w:r>
        <w:rPr>
          <w:color w:val="auto"/>
          <w:sz w:val="22"/>
          <w:szCs w:val="22"/>
        </w:rPr>
        <w:t>, devendo protocolar o pedido até 3 (cinco) dias úteis antes da data da abertura do certame.</w:t>
      </w:r>
    </w:p>
    <w:p>
      <w:pPr>
        <w:pStyle w:val="Nivel2"/>
        <w:numPr>
          <w:ilvl w:val="1"/>
          <w:numId w:val="2"/>
        </w:numPr>
        <w:spacing w:lineRule="auto" w:line="360" w:before="0" w:after="0"/>
        <w:ind w:left="0" w:hanging="0"/>
        <w:rPr>
          <w:color w:val="auto"/>
          <w:sz w:val="22"/>
          <w:szCs w:val="22"/>
        </w:rPr>
      </w:pPr>
      <w:r>
        <w:rPr>
          <w:color w:val="auto"/>
          <w:sz w:val="22"/>
          <w:szCs w:val="22"/>
        </w:rPr>
        <w:t>A resposta à impugnação ou ao pedido de esclarecimento será divulgado em sítio eletrônico oficial no prazo de até 3 (três) dias úteis, limitado ao último dia útil anterior à data da abertura do certame.</w:t>
      </w:r>
    </w:p>
    <w:p>
      <w:pPr>
        <w:pStyle w:val="Nivel2"/>
        <w:numPr>
          <w:ilvl w:val="1"/>
          <w:numId w:val="2"/>
        </w:numPr>
        <w:spacing w:lineRule="auto" w:line="360" w:before="0" w:after="0"/>
        <w:ind w:left="0" w:hanging="0"/>
        <w:rPr>
          <w:color w:val="auto"/>
          <w:sz w:val="22"/>
          <w:szCs w:val="22"/>
        </w:rPr>
      </w:pPr>
      <w:r>
        <w:rPr>
          <w:color w:val="auto"/>
          <w:sz w:val="22"/>
          <w:szCs w:val="22"/>
        </w:rPr>
        <w:t>A impugnação e o pedido de esclarecimento poderão ser realizados por forma eletrônica, através do sistema da BBMnet ou e-mail; licitacoes@licitacoes.itatiba.sp.gov.br.</w:t>
      </w:r>
    </w:p>
    <w:p>
      <w:pPr>
        <w:pStyle w:val="Nivel2"/>
        <w:numPr>
          <w:ilvl w:val="1"/>
          <w:numId w:val="2"/>
        </w:numPr>
        <w:spacing w:lineRule="auto" w:line="360" w:before="0" w:after="0"/>
        <w:ind w:left="0" w:hanging="0"/>
        <w:rPr>
          <w:color w:val="auto"/>
          <w:sz w:val="22"/>
          <w:szCs w:val="22"/>
        </w:rPr>
      </w:pPr>
      <w:r>
        <w:rPr>
          <w:color w:val="auto"/>
          <w:sz w:val="22"/>
          <w:szCs w:val="22"/>
        </w:rPr>
        <w:t>As impugnações e pedidos de esclarecimentos não suspendem os prazos previstos no certame.</w:t>
      </w:r>
    </w:p>
    <w:p>
      <w:pPr>
        <w:pStyle w:val="Nivel3"/>
        <w:numPr>
          <w:ilvl w:val="2"/>
          <w:numId w:val="2"/>
        </w:numPr>
        <w:spacing w:lineRule="auto" w:line="360" w:before="0" w:after="0"/>
        <w:ind w:left="0" w:hanging="0"/>
        <w:rPr>
          <w:color w:val="auto"/>
          <w:sz w:val="22"/>
          <w:szCs w:val="22"/>
        </w:rPr>
      </w:pPr>
      <w:r>
        <w:rPr>
          <w:color w:val="auto"/>
          <w:sz w:val="22"/>
          <w:szCs w:val="22"/>
        </w:rPr>
        <w:t>A concessão de efeito suspensivo à impugnação é medida excepcional e deverá ser motivada pelo agente de contratação, nos autos do processo de licitação.</w:t>
      </w:r>
    </w:p>
    <w:p>
      <w:pPr>
        <w:pStyle w:val="Nivel2"/>
        <w:numPr>
          <w:ilvl w:val="1"/>
          <w:numId w:val="2"/>
        </w:numPr>
        <w:spacing w:lineRule="auto" w:line="360" w:before="0" w:after="0"/>
        <w:ind w:left="0" w:hanging="0"/>
        <w:rPr>
          <w:color w:val="auto"/>
          <w:sz w:val="22"/>
          <w:szCs w:val="22"/>
        </w:rPr>
      </w:pPr>
      <w:r>
        <w:rPr>
          <w:color w:val="auto"/>
          <w:sz w:val="22"/>
          <w:szCs w:val="22"/>
        </w:rPr>
        <w:t>Acolhida a impugnação, será definida e publicada nova data para a realização do certame.</w:t>
      </w:r>
    </w:p>
    <w:p>
      <w:pPr>
        <w:pStyle w:val="Nivel2"/>
        <w:numPr>
          <w:ilvl w:val="0"/>
          <w:numId w:val="0"/>
        </w:numPr>
        <w:spacing w:lineRule="auto" w:line="360" w:before="0" w:after="0"/>
        <w:ind w:left="567" w:hanging="0"/>
        <w:rPr>
          <w:color w:val="auto"/>
          <w:sz w:val="22"/>
          <w:szCs w:val="22"/>
        </w:rPr>
      </w:pPr>
      <w:r>
        <w:rPr>
          <w:color w:val="auto"/>
          <w:sz w:val="22"/>
          <w:szCs w:val="22"/>
        </w:rPr>
      </w:r>
    </w:p>
    <w:p>
      <w:pPr>
        <w:pStyle w:val="Nivel01"/>
        <w:numPr>
          <w:ilvl w:val="0"/>
          <w:numId w:val="2"/>
        </w:numPr>
        <w:spacing w:lineRule="auto" w:line="360" w:before="0" w:after="0"/>
        <w:ind w:left="0" w:hanging="0"/>
        <w:rPr>
          <w:sz w:val="22"/>
          <w:szCs w:val="22"/>
        </w:rPr>
      </w:pPr>
      <w:bookmarkStart w:id="41" w:name="_Toc122606113"/>
      <w:r>
        <w:rPr>
          <w:sz w:val="22"/>
          <w:szCs w:val="22"/>
        </w:rPr>
        <w:t>DAS DISPOSIÇÕES GERAIS</w:t>
      </w:r>
      <w:bookmarkEnd w:id="41"/>
    </w:p>
    <w:p>
      <w:pPr>
        <w:pStyle w:val="Nivel2"/>
        <w:numPr>
          <w:ilvl w:val="1"/>
          <w:numId w:val="2"/>
        </w:numPr>
        <w:spacing w:lineRule="auto" w:line="360" w:before="0" w:after="0"/>
        <w:ind w:left="0" w:hanging="0"/>
        <w:rPr>
          <w:color w:val="auto"/>
          <w:sz w:val="22"/>
          <w:szCs w:val="22"/>
        </w:rPr>
      </w:pPr>
      <w:r>
        <w:rPr>
          <w:color w:val="auto"/>
          <w:sz w:val="22"/>
          <w:szCs w:val="22"/>
        </w:rPr>
        <w:t>Será divulgada ata da sessão pública no sistema eletrônico.</w:t>
      </w:r>
    </w:p>
    <w:p>
      <w:pPr>
        <w:pStyle w:val="Nivel2"/>
        <w:numPr>
          <w:ilvl w:val="1"/>
          <w:numId w:val="2"/>
        </w:numPr>
        <w:spacing w:lineRule="auto" w:line="360" w:before="0" w:after="0"/>
        <w:ind w:left="0" w:hanging="0"/>
        <w:rPr>
          <w:rFonts w:eastAsia="Times New Roman"/>
          <w:color w:val="auto"/>
          <w:sz w:val="22"/>
          <w:szCs w:val="22"/>
        </w:rPr>
      </w:pPr>
      <w:r>
        <w:rPr>
          <w:color w:val="auto"/>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ivel2"/>
        <w:numPr>
          <w:ilvl w:val="1"/>
          <w:numId w:val="2"/>
        </w:numPr>
        <w:spacing w:lineRule="auto" w:line="360" w:before="0" w:after="0"/>
        <w:ind w:left="0" w:hanging="0"/>
        <w:rPr>
          <w:rFonts w:eastAsia="Times New Roman"/>
          <w:color w:val="auto"/>
          <w:sz w:val="22"/>
          <w:szCs w:val="22"/>
        </w:rPr>
      </w:pPr>
      <w:r>
        <w:rPr>
          <w:color w:val="auto"/>
          <w:sz w:val="22"/>
          <w:szCs w:val="22"/>
        </w:rPr>
        <w:t>Todas as referências de tempo no Edital, no aviso e durante a sessão pública observarão o horário de Brasília - DF.</w:t>
      </w:r>
    </w:p>
    <w:p>
      <w:pPr>
        <w:pStyle w:val="Nivel2"/>
        <w:numPr>
          <w:ilvl w:val="1"/>
          <w:numId w:val="2"/>
        </w:numPr>
        <w:spacing w:lineRule="auto" w:line="360" w:before="0" w:after="0"/>
        <w:ind w:left="0" w:hanging="0"/>
        <w:rPr>
          <w:rFonts w:eastAsia="Times New Roman"/>
          <w:color w:val="auto"/>
          <w:sz w:val="22"/>
          <w:szCs w:val="22"/>
        </w:rPr>
      </w:pPr>
      <w:r>
        <w:rPr>
          <w:color w:val="auto"/>
          <w:sz w:val="22"/>
          <w:szCs w:val="22"/>
        </w:rPr>
        <w:t>A homologação do resultado desta licitação não implicará direito à contratação.</w:t>
      </w:r>
    </w:p>
    <w:p>
      <w:pPr>
        <w:pStyle w:val="Nivel2"/>
        <w:numPr>
          <w:ilvl w:val="1"/>
          <w:numId w:val="2"/>
        </w:numPr>
        <w:spacing w:lineRule="auto" w:line="360" w:before="0" w:after="0"/>
        <w:ind w:left="0" w:hanging="0"/>
        <w:rPr>
          <w:rFonts w:eastAsia="Times New Roman"/>
          <w:color w:val="auto"/>
          <w:sz w:val="22"/>
          <w:szCs w:val="22"/>
        </w:rPr>
      </w:pPr>
      <w:r>
        <w:rPr>
          <w:color w:val="auto"/>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ivel2"/>
        <w:numPr>
          <w:ilvl w:val="1"/>
          <w:numId w:val="2"/>
        </w:numPr>
        <w:spacing w:lineRule="auto" w:line="360" w:before="0" w:after="0"/>
        <w:ind w:left="0" w:hanging="0"/>
        <w:rPr>
          <w:rFonts w:eastAsia="Times New Roman"/>
          <w:color w:val="auto"/>
          <w:sz w:val="22"/>
          <w:szCs w:val="22"/>
        </w:rPr>
      </w:pPr>
      <w:r>
        <w:rPr>
          <w:color w:val="auto"/>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Nivel2"/>
        <w:numPr>
          <w:ilvl w:val="1"/>
          <w:numId w:val="2"/>
        </w:numPr>
        <w:spacing w:lineRule="auto" w:line="360" w:before="0" w:after="0"/>
        <w:ind w:left="0" w:hanging="0"/>
        <w:rPr>
          <w:rFonts w:eastAsia="Times New Roman"/>
          <w:color w:val="auto"/>
          <w:sz w:val="22"/>
          <w:szCs w:val="22"/>
        </w:rPr>
      </w:pPr>
      <w:r>
        <w:rPr>
          <w:color w:val="auto"/>
          <w:sz w:val="22"/>
          <w:szCs w:val="22"/>
        </w:rPr>
        <w:t>Na contagem dos prazos estabelecidos neste Edital e seus Anexos, excluir-se-á o dia do início e incluir-se-á o do vencimento. Só se iniciam e vencem os prazos em dias de expediente na Administração.</w:t>
      </w:r>
    </w:p>
    <w:p>
      <w:pPr>
        <w:pStyle w:val="Nivel2"/>
        <w:numPr>
          <w:ilvl w:val="1"/>
          <w:numId w:val="2"/>
        </w:numPr>
        <w:spacing w:lineRule="auto" w:line="360" w:before="0" w:after="0"/>
        <w:ind w:left="0" w:hanging="0"/>
        <w:rPr>
          <w:rFonts w:eastAsia="Times New Roman"/>
          <w:color w:val="auto"/>
          <w:sz w:val="22"/>
          <w:szCs w:val="22"/>
        </w:rPr>
      </w:pPr>
      <w:r>
        <w:rPr>
          <w:color w:val="auto"/>
          <w:sz w:val="22"/>
          <w:szCs w:val="22"/>
        </w:rPr>
        <w:t>O desatendimento de exigências formais não essenciais não importará o afastamento do licitante, desde que seja possível o aproveitamento do ato, observados os princípios da isonomia e do interesse público.</w:t>
      </w:r>
    </w:p>
    <w:p>
      <w:pPr>
        <w:pStyle w:val="Nivel2"/>
        <w:numPr>
          <w:ilvl w:val="1"/>
          <w:numId w:val="2"/>
        </w:numPr>
        <w:spacing w:lineRule="auto" w:line="360" w:before="0" w:after="0"/>
        <w:ind w:left="0" w:hanging="0"/>
        <w:rPr>
          <w:rFonts w:eastAsia="Times New Roman"/>
          <w:color w:val="auto"/>
          <w:sz w:val="22"/>
          <w:szCs w:val="22"/>
        </w:rPr>
      </w:pPr>
      <w:r>
        <w:rPr>
          <w:color w:val="auto"/>
          <w:sz w:val="22"/>
          <w:szCs w:val="22"/>
        </w:rPr>
        <w:t>Em caso de divergência entre disposições deste Edital e de seus anexos ou demais peças que compõem o processo, prevalecerá as deste Edital.</w:t>
      </w:r>
    </w:p>
    <w:p>
      <w:pPr>
        <w:pStyle w:val="Nivel2"/>
        <w:numPr>
          <w:ilvl w:val="1"/>
          <w:numId w:val="2"/>
        </w:numPr>
        <w:spacing w:lineRule="auto" w:line="360" w:before="0" w:after="0"/>
        <w:ind w:left="0" w:hanging="0"/>
        <w:rPr>
          <w:color w:val="auto"/>
          <w:sz w:val="22"/>
          <w:szCs w:val="22"/>
        </w:rPr>
      </w:pPr>
      <w:r>
        <w:rPr>
          <w:color w:val="auto"/>
          <w:sz w:val="22"/>
          <w:szCs w:val="22"/>
        </w:rPr>
        <w:t>O Edital e seus anexos estão disponíveis, na íntegra, no Portal Nacional de Contratações Públicas (PNCP) e endereço eletrônico www.itatiba.sp.gov.br.</w:t>
      </w:r>
    </w:p>
    <w:p>
      <w:pPr>
        <w:pStyle w:val="Nivel2"/>
        <w:numPr>
          <w:ilvl w:val="1"/>
          <w:numId w:val="2"/>
        </w:numPr>
        <w:spacing w:lineRule="auto" w:line="360" w:before="0" w:after="0"/>
        <w:ind w:left="0" w:hanging="0"/>
        <w:rPr>
          <w:rFonts w:eastAsia="Times New Roman"/>
          <w:color w:val="auto"/>
          <w:sz w:val="22"/>
          <w:szCs w:val="22"/>
        </w:rPr>
      </w:pPr>
      <w:r>
        <w:rPr>
          <w:color w:val="auto"/>
          <w:sz w:val="22"/>
          <w:szCs w:val="22"/>
        </w:rPr>
        <w:t>Integram este Edital, para todos os fins e efeitos, os seguintes anexos:</w:t>
      </w:r>
    </w:p>
    <w:p>
      <w:pPr>
        <w:pStyle w:val="Nivel3"/>
        <w:numPr>
          <w:ilvl w:val="2"/>
          <w:numId w:val="2"/>
        </w:numPr>
        <w:tabs>
          <w:tab w:val="clear" w:pos="709"/>
          <w:tab w:val="left" w:pos="567" w:leader="none"/>
        </w:tabs>
        <w:spacing w:lineRule="auto" w:line="360" w:before="0" w:after="0"/>
        <w:ind w:left="567" w:hanging="504"/>
        <w:rPr>
          <w:color w:val="auto"/>
          <w:sz w:val="22"/>
          <w:szCs w:val="22"/>
        </w:rPr>
      </w:pPr>
      <w:r>
        <w:rPr>
          <w:color w:val="auto"/>
          <w:sz w:val="22"/>
          <w:szCs w:val="22"/>
        </w:rPr>
        <w:t>ANEXO I - Termo de Referência</w:t>
      </w:r>
    </w:p>
    <w:p>
      <w:pPr>
        <w:pStyle w:val="Nivel3"/>
        <w:numPr>
          <w:ilvl w:val="2"/>
          <w:numId w:val="2"/>
        </w:numPr>
        <w:spacing w:lineRule="auto" w:line="360" w:before="0" w:after="0"/>
        <w:ind w:left="567" w:right="-54" w:hanging="504"/>
        <w:rPr>
          <w:color w:val="auto"/>
          <w:sz w:val="22"/>
          <w:szCs w:val="22"/>
        </w:rPr>
      </w:pPr>
      <w:bookmarkStart w:id="42" w:name="_Hlk159412661"/>
      <w:r>
        <w:rPr>
          <w:color w:val="auto"/>
          <w:sz w:val="22"/>
          <w:szCs w:val="22"/>
        </w:rPr>
        <w:t>ANEXO II – Modelo de Procuração</w:t>
      </w:r>
      <w:bookmarkEnd w:id="42"/>
    </w:p>
    <w:p>
      <w:pPr>
        <w:pStyle w:val="Nivel3"/>
        <w:numPr>
          <w:ilvl w:val="2"/>
          <w:numId w:val="2"/>
        </w:numPr>
        <w:spacing w:lineRule="auto" w:line="360" w:before="0" w:after="0"/>
        <w:ind w:left="0" w:right="-54" w:hanging="0"/>
        <w:rPr>
          <w:color w:val="auto"/>
          <w:sz w:val="22"/>
          <w:szCs w:val="22"/>
        </w:rPr>
      </w:pPr>
      <w:r>
        <w:rPr>
          <w:color w:val="auto"/>
          <w:sz w:val="22"/>
          <w:szCs w:val="22"/>
        </w:rPr>
        <w:t>ANEXO III – Declaração assegurando a inexistência de impedimento legal para licitar ou contratar com a Administração</w:t>
      </w:r>
    </w:p>
    <w:p>
      <w:pPr>
        <w:pStyle w:val="Nivel3"/>
        <w:numPr>
          <w:ilvl w:val="2"/>
          <w:numId w:val="2"/>
        </w:numPr>
        <w:spacing w:lineRule="auto" w:line="360" w:before="0" w:after="0"/>
        <w:ind w:left="0" w:right="-54" w:hanging="0"/>
        <w:rPr>
          <w:color w:val="auto"/>
          <w:sz w:val="22"/>
          <w:szCs w:val="22"/>
        </w:rPr>
      </w:pPr>
      <w:r>
        <w:rPr>
          <w:color w:val="auto"/>
          <w:sz w:val="22"/>
          <w:szCs w:val="22"/>
        </w:rPr>
        <w:t>ANEXO IV – Modelo de Declaração de qualificação microempresa ou empresa de pequeno porte</w:t>
      </w:r>
    </w:p>
    <w:p>
      <w:pPr>
        <w:pStyle w:val="Nivel3"/>
        <w:numPr>
          <w:ilvl w:val="2"/>
          <w:numId w:val="2"/>
        </w:numPr>
        <w:spacing w:lineRule="auto" w:line="360" w:before="0" w:after="0"/>
        <w:ind w:left="567" w:hanging="504"/>
        <w:rPr>
          <w:color w:val="auto"/>
          <w:sz w:val="22"/>
          <w:szCs w:val="22"/>
        </w:rPr>
      </w:pPr>
      <w:r>
        <w:rPr>
          <w:color w:val="auto"/>
          <w:sz w:val="22"/>
          <w:szCs w:val="22"/>
        </w:rPr>
        <w:t>ANEXO V – Modelo de Proposta</w:t>
      </w:r>
    </w:p>
    <w:p>
      <w:pPr>
        <w:pStyle w:val="Nivel3"/>
        <w:numPr>
          <w:ilvl w:val="2"/>
          <w:numId w:val="2"/>
        </w:numPr>
        <w:spacing w:lineRule="auto" w:line="360" w:before="0" w:after="0"/>
        <w:ind w:left="567" w:hanging="504"/>
        <w:rPr>
          <w:color w:val="auto"/>
          <w:sz w:val="22"/>
          <w:szCs w:val="22"/>
        </w:rPr>
      </w:pPr>
      <w:bookmarkStart w:id="43" w:name="_Hlk82473550"/>
      <w:r>
        <w:rPr>
          <w:color w:val="auto"/>
          <w:sz w:val="22"/>
          <w:szCs w:val="22"/>
        </w:rPr>
        <w:t>ANEXO VI – Minuta de Contrato</w:t>
      </w:r>
      <w:bookmarkEnd w:id="43"/>
    </w:p>
    <w:p>
      <w:pPr>
        <w:pStyle w:val="Nivel2"/>
        <w:numPr>
          <w:ilvl w:val="0"/>
          <w:numId w:val="0"/>
        </w:numPr>
        <w:spacing w:lineRule="auto" w:line="360" w:before="0" w:after="0"/>
        <w:ind w:left="0" w:hanging="0"/>
        <w:rPr>
          <w:color w:val="auto"/>
          <w:sz w:val="22"/>
          <w:szCs w:val="22"/>
        </w:rPr>
      </w:pPr>
      <w:r>
        <w:rPr>
          <w:color w:val="auto"/>
          <w:sz w:val="22"/>
          <w:szCs w:val="22"/>
        </w:rPr>
      </w:r>
    </w:p>
    <w:p>
      <w:pPr>
        <w:pStyle w:val="Normal"/>
        <w:spacing w:lineRule="auto" w:line="360"/>
        <w:rPr>
          <w:rFonts w:ascii="Arial" w:hAnsi="Arial" w:eastAsia="MS Mincho" w:cs="Arial"/>
          <w:sz w:val="22"/>
          <w:szCs w:val="22"/>
        </w:rPr>
      </w:pPr>
      <w:r>
        <w:rPr>
          <w:rFonts w:eastAsia="MS Mincho" w:cs="Arial" w:ascii="Arial" w:hAnsi="Arial"/>
          <w:sz w:val="22"/>
          <w:szCs w:val="22"/>
        </w:rPr>
        <w:t>Itatiba, 21 de novembro de 2024.</w:t>
      </w:r>
    </w:p>
    <w:p>
      <w:pPr>
        <w:pStyle w:val="Normal"/>
        <w:spacing w:lineRule="auto" w:line="360"/>
        <w:rPr>
          <w:rFonts w:ascii="Arial" w:hAnsi="Arial" w:eastAsia="MS Mincho" w:cs="Arial"/>
          <w:sz w:val="22"/>
          <w:szCs w:val="22"/>
        </w:rPr>
      </w:pPr>
      <w:r>
        <w:rPr>
          <w:rFonts w:eastAsia="MS Mincho" w:cs="Arial" w:ascii="Arial" w:hAnsi="Arial"/>
          <w:sz w:val="22"/>
          <w:szCs w:val="22"/>
        </w:rPr>
      </w:r>
    </w:p>
    <w:p>
      <w:pPr>
        <w:pStyle w:val="Normal"/>
        <w:spacing w:lineRule="auto" w:line="360"/>
        <w:rPr>
          <w:rFonts w:ascii="Arial" w:hAnsi="Arial" w:eastAsia="MS Mincho" w:cs="Arial"/>
          <w:sz w:val="22"/>
          <w:szCs w:val="22"/>
        </w:rPr>
      </w:pPr>
      <w:r>
        <w:rPr>
          <w:rFonts w:eastAsia="MS Mincho" w:cs="Arial" w:ascii="Arial" w:hAnsi="Arial"/>
          <w:sz w:val="22"/>
          <w:szCs w:val="22"/>
        </w:rPr>
      </w:r>
    </w:p>
    <w:p>
      <w:pPr>
        <w:pStyle w:val="Normal"/>
        <w:spacing w:lineRule="auto" w:line="360"/>
        <w:jc w:val="center"/>
        <w:rPr>
          <w:rFonts w:ascii="Arial" w:hAnsi="Arial" w:cs="Arial"/>
          <w:b/>
          <w:bCs/>
          <w:color w:val="00000A"/>
          <w:kern w:val="0"/>
          <w:sz w:val="22"/>
          <w:szCs w:val="22"/>
        </w:rPr>
      </w:pPr>
      <w:r>
        <w:rPr>
          <w:rFonts w:cs="Arial" w:ascii="Arial" w:hAnsi="Arial"/>
          <w:b/>
          <w:bCs/>
          <w:color w:val="00000A"/>
          <w:kern w:val="0"/>
          <w:sz w:val="22"/>
          <w:szCs w:val="22"/>
        </w:rPr>
        <w:t>ADILSON FRANCO PENTEADO</w:t>
      </w:r>
    </w:p>
    <w:p>
      <w:pPr>
        <w:pStyle w:val="Normal"/>
        <w:spacing w:lineRule="auto" w:line="360"/>
        <w:jc w:val="center"/>
        <w:rPr>
          <w:rFonts w:ascii="Arial" w:hAnsi="Arial" w:cs="Arial"/>
          <w:b/>
          <w:bCs/>
          <w:color w:val="00000A"/>
          <w:kern w:val="0"/>
          <w:sz w:val="22"/>
          <w:szCs w:val="22"/>
        </w:rPr>
      </w:pPr>
      <w:r>
        <w:rPr>
          <w:rFonts w:cs="Arial" w:ascii="Arial" w:hAnsi="Arial"/>
          <w:b/>
          <w:bCs/>
          <w:color w:val="00000A"/>
          <w:kern w:val="0"/>
          <w:sz w:val="22"/>
          <w:szCs w:val="22"/>
        </w:rPr>
        <w:t>Secretário Municipal de Obras e Serviços Públicos</w:t>
      </w:r>
    </w:p>
    <w:p>
      <w:pPr>
        <w:pStyle w:val="Normal"/>
        <w:spacing w:lineRule="auto" w:line="360"/>
        <w:jc w:val="center"/>
        <w:rPr>
          <w:rFonts w:ascii="Arial" w:hAnsi="Arial" w:cs="Arial"/>
          <w:b/>
          <w:bCs/>
          <w:color w:val="00000A"/>
          <w:kern w:val="0"/>
          <w:sz w:val="22"/>
          <w:szCs w:val="22"/>
        </w:rPr>
      </w:pPr>
      <w:r>
        <w:rPr>
          <w:rFonts w:cs="Arial" w:ascii="Arial" w:hAnsi="Arial"/>
          <w:b/>
          <w:bCs/>
          <w:color w:val="00000A"/>
          <w:kern w:val="0"/>
          <w:sz w:val="22"/>
          <w:szCs w:val="22"/>
        </w:rPr>
      </w:r>
    </w:p>
    <w:p>
      <w:pPr>
        <w:pStyle w:val="Normal"/>
        <w:spacing w:lineRule="auto" w:line="360"/>
        <w:jc w:val="center"/>
        <w:rPr>
          <w:rFonts w:ascii="Arial" w:hAnsi="Arial" w:cs="Arial"/>
          <w:b/>
          <w:bCs/>
          <w:color w:val="00000A"/>
          <w:kern w:val="0"/>
          <w:sz w:val="22"/>
          <w:szCs w:val="22"/>
        </w:rPr>
      </w:pPr>
      <w:r>
        <w:rPr>
          <w:rFonts w:cs="Arial" w:ascii="Arial" w:hAnsi="Arial"/>
          <w:b/>
          <w:bCs/>
          <w:color w:val="00000A"/>
          <w:kern w:val="0"/>
          <w:sz w:val="22"/>
          <w:szCs w:val="22"/>
        </w:rPr>
      </w:r>
    </w:p>
    <w:p>
      <w:pPr>
        <w:pStyle w:val="Normal"/>
        <w:spacing w:lineRule="auto" w:line="360"/>
        <w:jc w:val="center"/>
        <w:rPr>
          <w:rFonts w:ascii="Arial" w:hAnsi="Arial" w:cs="Arial"/>
          <w:b/>
          <w:bCs/>
          <w:color w:val="00000A"/>
          <w:kern w:val="0"/>
          <w:sz w:val="22"/>
          <w:szCs w:val="22"/>
        </w:rPr>
      </w:pPr>
      <w:r>
        <w:rPr>
          <w:rFonts w:cs="Arial" w:ascii="Arial" w:hAnsi="Arial"/>
          <w:b/>
          <w:bCs/>
          <w:color w:val="00000A"/>
          <w:kern w:val="0"/>
          <w:sz w:val="22"/>
          <w:szCs w:val="22"/>
        </w:rPr>
      </w:r>
    </w:p>
    <w:p>
      <w:pPr>
        <w:pStyle w:val="Normal"/>
        <w:spacing w:lineRule="auto" w:line="360"/>
        <w:jc w:val="center"/>
        <w:rPr>
          <w:rFonts w:ascii="Arial" w:hAnsi="Arial" w:cs="Arial"/>
          <w:b/>
          <w:bCs/>
          <w:color w:val="00000A"/>
          <w:kern w:val="0"/>
          <w:sz w:val="22"/>
          <w:szCs w:val="22"/>
        </w:rPr>
      </w:pPr>
      <w:r>
        <w:rPr>
          <w:rFonts w:cs="Arial" w:ascii="Arial" w:hAnsi="Arial"/>
          <w:b/>
          <w:bCs/>
          <w:color w:val="00000A"/>
          <w:kern w:val="0"/>
          <w:sz w:val="22"/>
          <w:szCs w:val="22"/>
        </w:rPr>
        <w:t>DR. RENAN DIAS IRABI</w:t>
      </w:r>
    </w:p>
    <w:p>
      <w:pPr>
        <w:pStyle w:val="Normal"/>
        <w:spacing w:lineRule="auto" w:line="360"/>
        <w:jc w:val="center"/>
        <w:rPr>
          <w:rFonts w:ascii="Arial" w:hAnsi="Arial" w:cs="Arial"/>
          <w:b/>
          <w:color w:val="222222"/>
          <w:kern w:val="0"/>
          <w:sz w:val="22"/>
          <w:szCs w:val="22"/>
        </w:rPr>
      </w:pPr>
      <w:r>
        <w:rPr>
          <w:rFonts w:cs="Arial" w:ascii="Arial" w:hAnsi="Arial"/>
          <w:b/>
          <w:bCs/>
          <w:color w:val="00000A"/>
          <w:kern w:val="0"/>
          <w:sz w:val="22"/>
          <w:szCs w:val="22"/>
        </w:rPr>
        <w:t>Secretário Municipal de Saúde</w:t>
      </w:r>
    </w:p>
    <w:p>
      <w:pPr>
        <w:pStyle w:val="Normal"/>
        <w:spacing w:lineRule="auto" w:line="360"/>
        <w:jc w:val="center"/>
        <w:rPr>
          <w:rFonts w:ascii="Arial" w:hAnsi="Arial" w:cs="Arial"/>
          <w:b/>
          <w:color w:val="222222"/>
          <w:kern w:val="0"/>
          <w:sz w:val="22"/>
          <w:szCs w:val="22"/>
        </w:rPr>
      </w:pPr>
      <w:r>
        <w:rPr>
          <w:rFonts w:cs="Arial" w:ascii="Arial" w:hAnsi="Arial"/>
          <w:b/>
          <w:color w:val="222222"/>
          <w:kern w:val="0"/>
          <w:sz w:val="22"/>
          <w:szCs w:val="22"/>
        </w:rPr>
      </w:r>
    </w:p>
    <w:p>
      <w:pPr>
        <w:pStyle w:val="Normal"/>
        <w:spacing w:lineRule="auto" w:line="360"/>
        <w:jc w:val="center"/>
        <w:rPr>
          <w:rFonts w:ascii="Arial" w:hAnsi="Arial" w:cs="Arial"/>
          <w:b/>
          <w:color w:val="222222"/>
          <w:kern w:val="0"/>
          <w:sz w:val="22"/>
          <w:szCs w:val="22"/>
        </w:rPr>
      </w:pPr>
      <w:r>
        <w:rPr>
          <w:rFonts w:cs="Arial" w:ascii="Arial" w:hAnsi="Arial"/>
          <w:b/>
          <w:color w:val="222222"/>
          <w:kern w:val="0"/>
          <w:sz w:val="22"/>
          <w:szCs w:val="22"/>
        </w:rPr>
      </w:r>
    </w:p>
    <w:p>
      <w:pPr>
        <w:pStyle w:val="Normal"/>
        <w:spacing w:lineRule="auto" w:line="360"/>
        <w:rPr>
          <w:rFonts w:ascii="Arial" w:hAnsi="Arial" w:eastAsia="MS Mincho" w:cs="Arial"/>
          <w:sz w:val="22"/>
          <w:szCs w:val="22"/>
        </w:rPr>
      </w:pPr>
      <w:r>
        <w:rPr>
          <w:rFonts w:eastAsia="MS Mincho" w:cs="Arial" w:ascii="Arial" w:hAnsi="Arial"/>
          <w:sz w:val="22"/>
          <w:szCs w:val="22"/>
        </w:rPr>
      </w:r>
    </w:p>
    <w:p>
      <w:pPr>
        <w:pStyle w:val="Normal"/>
        <w:spacing w:lineRule="auto" w:line="360"/>
        <w:jc w:val="center"/>
        <w:rPr>
          <w:rFonts w:ascii="Arial" w:hAnsi="Arial" w:cs="Arial"/>
          <w:b/>
          <w:bCs/>
          <w:sz w:val="22"/>
          <w:szCs w:val="22"/>
        </w:rPr>
      </w:pPr>
      <w:r>
        <w:rPr>
          <w:rFonts w:cs="Arial" w:ascii="Arial" w:hAnsi="Arial"/>
          <w:b/>
          <w:bCs/>
          <w:sz w:val="22"/>
          <w:szCs w:val="22"/>
        </w:rPr>
      </w:r>
    </w:p>
    <w:p>
      <w:pPr>
        <w:pStyle w:val="Normal"/>
        <w:spacing w:lineRule="auto" w:line="360"/>
        <w:jc w:val="center"/>
        <w:rPr>
          <w:rFonts w:ascii="Arial" w:hAnsi="Arial" w:cs="Arial"/>
          <w:b/>
          <w:bCs/>
          <w:sz w:val="22"/>
          <w:szCs w:val="22"/>
        </w:rPr>
      </w:pPr>
      <w:r>
        <w:rPr>
          <w:rFonts w:cs="Arial" w:ascii="Arial" w:hAnsi="Arial"/>
          <w:b/>
          <w:bCs/>
          <w:sz w:val="22"/>
          <w:szCs w:val="22"/>
        </w:rPr>
      </w:r>
    </w:p>
    <w:p>
      <w:pPr>
        <w:pStyle w:val="Normal"/>
        <w:spacing w:lineRule="auto" w:line="360"/>
        <w:jc w:val="center"/>
        <w:rPr>
          <w:rFonts w:ascii="Arial" w:hAnsi="Arial" w:cs="Arial"/>
          <w:b/>
          <w:bCs/>
          <w:sz w:val="22"/>
          <w:szCs w:val="22"/>
        </w:rPr>
      </w:pPr>
      <w:bookmarkStart w:id="44" w:name="_Hlk182496871"/>
      <w:r>
        <w:rPr>
          <w:rFonts w:cs="Arial" w:ascii="Arial" w:hAnsi="Arial"/>
          <w:b/>
          <w:bCs/>
          <w:sz w:val="22"/>
          <w:szCs w:val="22"/>
        </w:rPr>
        <w:t>FRANCIELI GUINAMI DOS SANTOS</w:t>
      </w:r>
    </w:p>
    <w:p>
      <w:pPr>
        <w:pStyle w:val="Normal"/>
        <w:spacing w:lineRule="auto" w:line="360"/>
        <w:jc w:val="center"/>
        <w:rPr>
          <w:rFonts w:ascii="Arial" w:hAnsi="Arial" w:cs="Arial"/>
          <w:b/>
          <w:bCs/>
          <w:sz w:val="22"/>
          <w:szCs w:val="22"/>
        </w:rPr>
      </w:pPr>
      <w:bookmarkStart w:id="45" w:name="_Hlk182496871"/>
      <w:r>
        <w:rPr>
          <w:rFonts w:cs="Arial" w:ascii="Arial" w:hAnsi="Arial"/>
          <w:b/>
          <w:bCs/>
          <w:sz w:val="22"/>
          <w:szCs w:val="22"/>
        </w:rPr>
        <w:t>Secretária Municipal de Administração</w:t>
      </w:r>
      <w:bookmarkEnd w:id="45"/>
    </w:p>
    <w:p>
      <w:pPr>
        <w:pStyle w:val="Normal"/>
        <w:spacing w:lineRule="auto" w:line="360"/>
        <w:jc w:val="center"/>
        <w:rPr>
          <w:rFonts w:ascii="Arial" w:hAnsi="Arial" w:cs="Arial"/>
          <w:b/>
          <w:bCs/>
          <w:sz w:val="22"/>
          <w:szCs w:val="22"/>
        </w:rPr>
      </w:pPr>
      <w:r>
        <w:rPr>
          <w:rFonts w:cs="Arial" w:ascii="Arial" w:hAnsi="Arial"/>
          <w:b/>
          <w:bCs/>
          <w:sz w:val="22"/>
          <w:szCs w:val="22"/>
        </w:rPr>
      </w:r>
    </w:p>
    <w:p>
      <w:pPr>
        <w:pStyle w:val="Normal"/>
        <w:spacing w:lineRule="auto" w:line="360"/>
        <w:jc w:val="center"/>
        <w:rPr>
          <w:rFonts w:ascii="Arial" w:hAnsi="Arial" w:cs="Arial"/>
          <w:b/>
          <w:bCs/>
          <w:sz w:val="22"/>
          <w:szCs w:val="22"/>
        </w:rPr>
      </w:pPr>
      <w:r>
        <w:rPr>
          <w:rFonts w:cs="Arial" w:ascii="Arial" w:hAnsi="Arial"/>
          <w:b/>
          <w:bCs/>
          <w:sz w:val="22"/>
          <w:szCs w:val="22"/>
        </w:rPr>
      </w:r>
    </w:p>
    <w:p>
      <w:pPr>
        <w:pStyle w:val="Normal"/>
        <w:spacing w:lineRule="auto" w:line="360"/>
        <w:jc w:val="center"/>
        <w:rPr>
          <w:rFonts w:ascii="Arial" w:hAnsi="Arial" w:cs="Arial"/>
          <w:b/>
          <w:bCs/>
          <w:sz w:val="22"/>
          <w:szCs w:val="22"/>
        </w:rPr>
      </w:pPr>
      <w:r>
        <w:rPr>
          <w:rFonts w:cs="Arial" w:ascii="Arial" w:hAnsi="Arial"/>
          <w:b/>
          <w:bCs/>
          <w:sz w:val="22"/>
          <w:szCs w:val="22"/>
        </w:rPr>
      </w:r>
    </w:p>
    <w:p>
      <w:pPr>
        <w:pStyle w:val="Normal"/>
        <w:spacing w:lineRule="auto" w:line="360"/>
        <w:jc w:val="center"/>
        <w:rPr>
          <w:rFonts w:ascii="Arial" w:hAnsi="Arial" w:cs="Arial"/>
          <w:b/>
          <w:bCs/>
          <w:sz w:val="22"/>
          <w:szCs w:val="22"/>
        </w:rPr>
      </w:pPr>
      <w:r>
        <w:rPr>
          <w:rFonts w:cs="Arial" w:ascii="Arial" w:hAnsi="Arial"/>
          <w:b/>
          <w:bCs/>
          <w:sz w:val="22"/>
          <w:szCs w:val="22"/>
        </w:rPr>
      </w:r>
    </w:p>
    <w:p>
      <w:pPr>
        <w:pStyle w:val="Normal"/>
        <w:spacing w:lineRule="auto" w:line="360"/>
        <w:jc w:val="center"/>
        <w:rPr>
          <w:rFonts w:ascii="Arial" w:hAnsi="Arial" w:cs="Arial"/>
          <w:b/>
          <w:bCs/>
          <w:sz w:val="22"/>
          <w:szCs w:val="22"/>
        </w:rPr>
      </w:pPr>
      <w:r>
        <w:rPr>
          <w:rFonts w:cs="Arial" w:ascii="Arial" w:hAnsi="Arial"/>
          <w:b/>
          <w:bCs/>
          <w:sz w:val="22"/>
          <w:szCs w:val="22"/>
        </w:rPr>
        <w:t>SUELI DE MORAES TUON</w:t>
      </w:r>
    </w:p>
    <w:p>
      <w:pPr>
        <w:pStyle w:val="Normal"/>
        <w:spacing w:lineRule="auto" w:line="360"/>
        <w:jc w:val="center"/>
        <w:rPr>
          <w:rFonts w:ascii="Arial" w:hAnsi="Arial" w:cs="Arial"/>
          <w:b/>
          <w:bCs/>
          <w:sz w:val="22"/>
          <w:szCs w:val="22"/>
        </w:rPr>
      </w:pPr>
      <w:r>
        <w:rPr>
          <w:rFonts w:cs="Arial" w:ascii="Arial" w:hAnsi="Arial"/>
          <w:b/>
          <w:bCs/>
          <w:sz w:val="22"/>
          <w:szCs w:val="22"/>
        </w:rPr>
        <w:t>Secretária Municipal da Educação</w:t>
      </w:r>
    </w:p>
    <w:p>
      <w:pPr>
        <w:pStyle w:val="Normal"/>
        <w:spacing w:lineRule="auto" w:line="360"/>
        <w:rPr>
          <w:rFonts w:ascii="Arial" w:hAnsi="Arial" w:eastAsia="MS Mincho" w:cs="Arial"/>
          <w:sz w:val="22"/>
          <w:szCs w:val="22"/>
        </w:rPr>
      </w:pPr>
      <w:r>
        <w:rPr>
          <w:rFonts w:eastAsia="MS Mincho" w:cs="Arial" w:ascii="Arial" w:hAnsi="Arial"/>
          <w:sz w:val="22"/>
          <w:szCs w:val="22"/>
        </w:rPr>
      </w:r>
    </w:p>
    <w:p>
      <w:pPr>
        <w:pStyle w:val="Normal"/>
        <w:spacing w:lineRule="auto" w:line="360"/>
        <w:ind w:right="-54" w:hanging="0"/>
        <w:jc w:val="center"/>
        <w:rPr>
          <w:rFonts w:ascii="Arial" w:hAnsi="Arial" w:cs="Arial"/>
          <w:b/>
          <w:bCs/>
          <w:sz w:val="22"/>
          <w:szCs w:val="22"/>
          <w:lang w:val="fr-FR"/>
        </w:rPr>
      </w:pPr>
      <w:r>
        <w:rPr>
          <w:rFonts w:cs="Arial" w:ascii="Arial" w:hAnsi="Arial"/>
          <w:b/>
          <w:bCs/>
          <w:sz w:val="22"/>
          <w:szCs w:val="22"/>
          <w:lang w:val="fr-FR"/>
        </w:rPr>
      </w:r>
    </w:p>
    <w:p>
      <w:pPr>
        <w:pStyle w:val="Nivel2"/>
        <w:numPr>
          <w:ilvl w:val="0"/>
          <w:numId w:val="0"/>
        </w:numPr>
        <w:spacing w:lineRule="auto" w:line="360" w:before="0" w:after="0"/>
        <w:ind w:left="0" w:hanging="0"/>
        <w:rPr>
          <w:color w:val="auto"/>
          <w:sz w:val="22"/>
          <w:szCs w:val="22"/>
        </w:rPr>
      </w:pPr>
      <w:r>
        <w:rPr>
          <w:color w:val="auto"/>
          <w:sz w:val="22"/>
          <w:szCs w:val="22"/>
        </w:rPr>
      </w:r>
    </w:p>
    <w:p>
      <w:pPr>
        <w:pStyle w:val="Nivel2"/>
        <w:numPr>
          <w:ilvl w:val="0"/>
          <w:numId w:val="0"/>
        </w:numPr>
        <w:spacing w:lineRule="auto" w:line="360" w:before="0" w:after="0"/>
        <w:ind w:left="0" w:hanging="0"/>
        <w:rPr>
          <w:color w:val="auto"/>
          <w:sz w:val="22"/>
          <w:szCs w:val="22"/>
        </w:rPr>
      </w:pPr>
      <w:r>
        <w:rPr>
          <w:color w:val="auto"/>
          <w:sz w:val="22"/>
          <w:szCs w:val="22"/>
        </w:rPr>
      </w:r>
    </w:p>
    <w:p>
      <w:pPr>
        <w:pStyle w:val="Nivel2"/>
        <w:numPr>
          <w:ilvl w:val="0"/>
          <w:numId w:val="0"/>
        </w:numPr>
        <w:spacing w:lineRule="auto" w:line="360" w:before="0" w:after="0"/>
        <w:ind w:left="0" w:hanging="0"/>
        <w:rPr>
          <w:color w:val="auto"/>
          <w:sz w:val="22"/>
          <w:szCs w:val="22"/>
        </w:rPr>
      </w:pPr>
      <w:r>
        <w:rPr>
          <w:color w:val="auto"/>
          <w:sz w:val="22"/>
          <w:szCs w:val="22"/>
        </w:rPr>
      </w:r>
    </w:p>
    <w:p>
      <w:pPr>
        <w:pStyle w:val="Nivel2"/>
        <w:numPr>
          <w:ilvl w:val="0"/>
          <w:numId w:val="0"/>
        </w:numPr>
        <w:spacing w:lineRule="auto" w:line="360" w:before="0" w:after="0"/>
        <w:ind w:left="0" w:hanging="0"/>
        <w:rPr>
          <w:color w:val="auto"/>
          <w:sz w:val="22"/>
          <w:szCs w:val="22"/>
        </w:rPr>
      </w:pPr>
      <w:r>
        <w:rPr>
          <w:color w:val="auto"/>
          <w:sz w:val="22"/>
          <w:szCs w:val="22"/>
        </w:rPr>
      </w:r>
    </w:p>
    <w:p>
      <w:pPr>
        <w:pStyle w:val="Nivel2"/>
        <w:numPr>
          <w:ilvl w:val="0"/>
          <w:numId w:val="0"/>
        </w:numPr>
        <w:spacing w:lineRule="auto" w:line="360" w:before="0" w:after="0"/>
        <w:ind w:left="0" w:hanging="0"/>
        <w:rPr>
          <w:color w:val="auto"/>
          <w:sz w:val="22"/>
          <w:szCs w:val="22"/>
        </w:rPr>
      </w:pPr>
      <w:r>
        <w:rPr>
          <w:color w:val="auto"/>
          <w:sz w:val="22"/>
          <w:szCs w:val="22"/>
        </w:rPr>
      </w:r>
    </w:p>
    <w:p>
      <w:pPr>
        <w:pStyle w:val="Nivel2"/>
        <w:numPr>
          <w:ilvl w:val="0"/>
          <w:numId w:val="0"/>
        </w:numPr>
        <w:spacing w:lineRule="auto" w:line="360" w:before="0" w:after="0"/>
        <w:ind w:left="0" w:hanging="0"/>
        <w:rPr>
          <w:color w:val="auto"/>
          <w:sz w:val="22"/>
          <w:szCs w:val="22"/>
        </w:rPr>
      </w:pPr>
      <w:r>
        <w:rPr>
          <w:color w:val="auto"/>
          <w:sz w:val="22"/>
          <w:szCs w:val="22"/>
        </w:rPr>
      </w:r>
    </w:p>
    <w:p>
      <w:pPr>
        <w:pStyle w:val="Nivel2"/>
        <w:numPr>
          <w:ilvl w:val="0"/>
          <w:numId w:val="0"/>
        </w:numPr>
        <w:spacing w:lineRule="auto" w:line="360" w:before="0" w:after="0"/>
        <w:ind w:left="0" w:hanging="0"/>
        <w:rPr>
          <w:color w:val="auto"/>
          <w:sz w:val="22"/>
          <w:szCs w:val="22"/>
        </w:rPr>
      </w:pPr>
      <w:r>
        <w:rPr>
          <w:color w:val="auto"/>
          <w:sz w:val="22"/>
          <w:szCs w:val="22"/>
        </w:rPr>
      </w:r>
    </w:p>
    <w:p>
      <w:pPr>
        <w:pStyle w:val="Nivel2"/>
        <w:numPr>
          <w:ilvl w:val="0"/>
          <w:numId w:val="0"/>
        </w:numPr>
        <w:spacing w:lineRule="auto" w:line="360" w:before="0" w:after="0"/>
        <w:ind w:left="0" w:hanging="0"/>
        <w:rPr>
          <w:color w:val="auto"/>
          <w:sz w:val="22"/>
          <w:szCs w:val="22"/>
        </w:rPr>
      </w:pPr>
      <w:r>
        <w:rPr>
          <w:color w:val="auto"/>
          <w:sz w:val="22"/>
          <w:szCs w:val="22"/>
        </w:rPr>
      </w:r>
    </w:p>
    <w:p>
      <w:pPr>
        <w:pStyle w:val="Nivel2"/>
        <w:numPr>
          <w:ilvl w:val="0"/>
          <w:numId w:val="0"/>
        </w:numPr>
        <w:spacing w:lineRule="auto" w:line="360" w:before="0" w:after="0"/>
        <w:ind w:left="0" w:hanging="0"/>
        <w:rPr>
          <w:color w:val="auto"/>
          <w:sz w:val="22"/>
          <w:szCs w:val="22"/>
        </w:rPr>
      </w:pPr>
      <w:r>
        <w:rPr>
          <w:color w:val="auto"/>
          <w:sz w:val="22"/>
          <w:szCs w:val="22"/>
        </w:rPr>
      </w:r>
    </w:p>
    <w:p>
      <w:pPr>
        <w:pStyle w:val="Nivel2"/>
        <w:numPr>
          <w:ilvl w:val="0"/>
          <w:numId w:val="0"/>
        </w:numPr>
        <w:spacing w:lineRule="auto" w:line="360" w:before="0" w:after="0"/>
        <w:ind w:left="0" w:hanging="0"/>
        <w:rPr>
          <w:color w:val="auto"/>
          <w:sz w:val="22"/>
          <w:szCs w:val="22"/>
        </w:rPr>
      </w:pPr>
      <w:r>
        <w:rPr>
          <w:color w:val="auto"/>
          <w:sz w:val="22"/>
          <w:szCs w:val="22"/>
        </w:rPr>
      </w:r>
    </w:p>
    <w:p>
      <w:pPr>
        <w:pStyle w:val="Nivel2"/>
        <w:numPr>
          <w:ilvl w:val="0"/>
          <w:numId w:val="0"/>
        </w:numPr>
        <w:spacing w:lineRule="auto" w:line="360" w:before="0" w:after="0"/>
        <w:ind w:left="0" w:hanging="0"/>
        <w:rPr>
          <w:color w:val="auto"/>
          <w:sz w:val="22"/>
          <w:szCs w:val="22"/>
        </w:rPr>
      </w:pPr>
      <w:r>
        <w:rPr>
          <w:color w:val="auto"/>
          <w:sz w:val="22"/>
          <w:szCs w:val="22"/>
        </w:rPr>
      </w:r>
    </w:p>
    <w:p>
      <w:pPr>
        <w:pStyle w:val="Nivel2"/>
        <w:numPr>
          <w:ilvl w:val="0"/>
          <w:numId w:val="0"/>
        </w:numPr>
        <w:spacing w:lineRule="auto" w:line="360" w:before="0" w:after="0"/>
        <w:ind w:left="0" w:hanging="0"/>
        <w:rPr>
          <w:color w:val="auto"/>
          <w:sz w:val="22"/>
          <w:szCs w:val="22"/>
        </w:rPr>
      </w:pPr>
      <w:r>
        <w:rPr>
          <w:color w:val="auto"/>
          <w:sz w:val="22"/>
          <w:szCs w:val="22"/>
        </w:rPr>
      </w:r>
    </w:p>
    <w:p>
      <w:pPr>
        <w:pStyle w:val="Nivel2"/>
        <w:numPr>
          <w:ilvl w:val="0"/>
          <w:numId w:val="0"/>
        </w:numPr>
        <w:spacing w:lineRule="auto" w:line="360" w:before="0" w:after="0"/>
        <w:ind w:left="0" w:hanging="0"/>
        <w:rPr>
          <w:color w:val="auto"/>
          <w:sz w:val="22"/>
          <w:szCs w:val="22"/>
        </w:rPr>
      </w:pPr>
      <w:r>
        <w:rPr>
          <w:color w:val="auto"/>
          <w:sz w:val="22"/>
          <w:szCs w:val="22"/>
        </w:rPr>
      </w:r>
    </w:p>
    <w:p>
      <w:pPr>
        <w:pStyle w:val="Nivel2"/>
        <w:numPr>
          <w:ilvl w:val="0"/>
          <w:numId w:val="0"/>
        </w:numPr>
        <w:spacing w:lineRule="auto" w:line="360" w:before="0" w:after="0"/>
        <w:ind w:left="0" w:hanging="0"/>
        <w:rPr>
          <w:color w:val="auto"/>
          <w:sz w:val="22"/>
          <w:szCs w:val="22"/>
        </w:rPr>
      </w:pPr>
      <w:r>
        <w:rPr>
          <w:color w:val="auto"/>
          <w:sz w:val="22"/>
          <w:szCs w:val="22"/>
        </w:rPr>
      </w:r>
    </w:p>
    <w:p>
      <w:pPr>
        <w:pStyle w:val="Nivel2"/>
        <w:numPr>
          <w:ilvl w:val="0"/>
          <w:numId w:val="0"/>
        </w:numPr>
        <w:spacing w:lineRule="auto" w:line="360" w:before="0" w:after="0"/>
        <w:ind w:left="0" w:hanging="0"/>
        <w:rPr>
          <w:color w:val="auto"/>
          <w:sz w:val="22"/>
          <w:szCs w:val="22"/>
        </w:rPr>
      </w:pPr>
      <w:r>
        <w:rPr>
          <w:color w:val="auto"/>
          <w:sz w:val="22"/>
          <w:szCs w:val="22"/>
        </w:rPr>
      </w:r>
    </w:p>
    <w:p>
      <w:pPr>
        <w:pStyle w:val="Nivel2"/>
        <w:numPr>
          <w:ilvl w:val="0"/>
          <w:numId w:val="0"/>
        </w:numPr>
        <w:spacing w:lineRule="auto" w:line="360" w:before="0" w:after="0"/>
        <w:ind w:left="0" w:hanging="0"/>
        <w:rPr>
          <w:color w:val="auto"/>
          <w:sz w:val="22"/>
          <w:szCs w:val="22"/>
        </w:rPr>
      </w:pPr>
      <w:r>
        <w:rPr>
          <w:color w:val="auto"/>
          <w:sz w:val="22"/>
          <w:szCs w:val="22"/>
        </w:rPr>
      </w:r>
    </w:p>
    <w:p>
      <w:pPr>
        <w:pStyle w:val="Nivel2"/>
        <w:numPr>
          <w:ilvl w:val="0"/>
          <w:numId w:val="0"/>
        </w:numPr>
        <w:spacing w:lineRule="auto" w:line="360" w:before="0" w:after="0"/>
        <w:ind w:left="0" w:hanging="0"/>
        <w:rPr>
          <w:color w:val="auto"/>
          <w:sz w:val="22"/>
          <w:szCs w:val="22"/>
        </w:rPr>
      </w:pPr>
      <w:r>
        <w:rPr>
          <w:color w:val="auto"/>
          <w:sz w:val="22"/>
          <w:szCs w:val="22"/>
        </w:rPr>
      </w:r>
    </w:p>
    <w:p>
      <w:pPr>
        <w:pStyle w:val="Nivel2"/>
        <w:numPr>
          <w:ilvl w:val="0"/>
          <w:numId w:val="0"/>
        </w:numPr>
        <w:spacing w:lineRule="auto" w:line="360" w:before="0" w:after="0"/>
        <w:ind w:left="0" w:hanging="0"/>
        <w:rPr>
          <w:color w:val="auto"/>
          <w:sz w:val="22"/>
          <w:szCs w:val="22"/>
        </w:rPr>
      </w:pPr>
      <w:r>
        <w:rPr>
          <w:color w:val="auto"/>
          <w:sz w:val="22"/>
          <w:szCs w:val="22"/>
        </w:rPr>
      </w:r>
    </w:p>
    <w:p>
      <w:pPr>
        <w:pStyle w:val="Nivel2"/>
        <w:numPr>
          <w:ilvl w:val="0"/>
          <w:numId w:val="0"/>
        </w:numPr>
        <w:spacing w:lineRule="auto" w:line="360" w:before="0" w:after="0"/>
        <w:ind w:left="0" w:hanging="0"/>
        <w:rPr>
          <w:color w:val="auto"/>
          <w:sz w:val="22"/>
          <w:szCs w:val="22"/>
        </w:rPr>
      </w:pPr>
      <w:r>
        <w:rPr>
          <w:color w:val="auto"/>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t>ANEXO I</w:t>
      </w:r>
    </w:p>
    <w:p>
      <w:pPr>
        <w:pStyle w:val="Normal"/>
        <w:spacing w:lineRule="auto" w:line="360"/>
        <w:ind w:right="-57" w:hanging="0"/>
        <w:jc w:val="both"/>
        <w:rPr>
          <w:rFonts w:ascii="Arial" w:hAnsi="Arial" w:cs="Arial"/>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sz w:val="22"/>
          <w:szCs w:val="22"/>
        </w:rPr>
      </w:pPr>
      <w:r>
        <w:rPr>
          <w:rFonts w:cs="Arial" w:ascii="Arial" w:hAnsi="Arial"/>
          <w:b/>
          <w:bCs/>
          <w:sz w:val="22"/>
          <w:szCs w:val="22"/>
        </w:rPr>
        <w:t>PREGÃO ELETRÔNICO nº 107/2024</w:t>
      </w:r>
    </w:p>
    <w:p>
      <w:pPr>
        <w:pStyle w:val="Normal"/>
        <w:spacing w:lineRule="auto" w:line="360"/>
        <w:ind w:right="-57" w:hanging="0"/>
        <w:jc w:val="both"/>
        <w:rPr>
          <w:rFonts w:ascii="Arial" w:hAnsi="Arial" w:cs="Arial"/>
          <w:sz w:val="22"/>
          <w:szCs w:val="22"/>
        </w:rPr>
      </w:pPr>
      <w:r>
        <w:rPr>
          <w:rFonts w:cs="Arial" w:ascii="Arial" w:hAnsi="Arial"/>
          <w:b/>
          <w:bCs/>
          <w:sz w:val="22"/>
          <w:szCs w:val="22"/>
        </w:rPr>
        <w:t>Processo nº 7906/2024</w:t>
      </w:r>
    </w:p>
    <w:p>
      <w:pPr>
        <w:pStyle w:val="Normal"/>
        <w:spacing w:lineRule="auto" w:line="360"/>
        <w:ind w:right="-54" w:hanging="0"/>
        <w:jc w:val="center"/>
        <w:rPr>
          <w:rFonts w:ascii="Arial" w:hAnsi="Arial" w:cs="Arial"/>
          <w:b/>
          <w:sz w:val="22"/>
          <w:szCs w:val="22"/>
          <w:u w:val="single"/>
        </w:rPr>
      </w:pPr>
      <w:r>
        <w:rPr>
          <w:rFonts w:cs="Arial" w:ascii="Arial" w:hAnsi="Arial"/>
          <w:b/>
          <w:sz w:val="22"/>
          <w:szCs w:val="22"/>
          <w:u w:val="single"/>
        </w:rPr>
      </w:r>
    </w:p>
    <w:p>
      <w:pPr>
        <w:pStyle w:val="Standard"/>
        <w:pBdr>
          <w:top w:val="single" w:sz="4" w:space="1" w:color="000000"/>
          <w:left w:val="single" w:sz="4" w:space="4" w:color="000000"/>
          <w:bottom w:val="single" w:sz="4" w:space="1" w:color="000000"/>
          <w:right w:val="single" w:sz="4" w:space="4" w:color="000000"/>
        </w:pBdr>
        <w:spacing w:lineRule="auto" w:line="360"/>
        <w:jc w:val="center"/>
        <w:rPr>
          <w:sz w:val="22"/>
          <w:szCs w:val="22"/>
        </w:rPr>
      </w:pPr>
      <w:r>
        <w:rPr>
          <w:rStyle w:val="Strong"/>
          <w:sz w:val="22"/>
          <w:szCs w:val="22"/>
        </w:rPr>
        <w:t>TERMO DE REFERÊNCIA</w:t>
      </w:r>
    </w:p>
    <w:p>
      <w:pPr>
        <w:pStyle w:val="Standard"/>
        <w:spacing w:lineRule="auto" w:line="360"/>
        <w:jc w:val="both"/>
        <w:rPr>
          <w:b/>
          <w:caps/>
          <w:sz w:val="22"/>
          <w:szCs w:val="22"/>
        </w:rPr>
      </w:pPr>
      <w:r>
        <w:rPr>
          <w:b/>
          <w:caps/>
          <w:sz w:val="22"/>
          <w:szCs w:val="22"/>
        </w:rPr>
      </w:r>
    </w:p>
    <w:p>
      <w:pPr>
        <w:pStyle w:val="Standard"/>
        <w:spacing w:lineRule="auto" w:line="360"/>
        <w:jc w:val="both"/>
        <w:rPr>
          <w:sz w:val="22"/>
          <w:szCs w:val="22"/>
        </w:rPr>
      </w:pPr>
      <w:r>
        <w:rPr>
          <w:sz w:val="22"/>
          <w:szCs w:val="22"/>
        </w:rPr>
      </w:r>
    </w:p>
    <w:p>
      <w:pPr>
        <w:pStyle w:val="Nivel01"/>
        <w:numPr>
          <w:ilvl w:val="0"/>
          <w:numId w:val="11"/>
        </w:numPr>
        <w:spacing w:lineRule="auto" w:line="360" w:before="0" w:after="0"/>
        <w:ind w:left="0" w:hanging="0"/>
        <w:rPr>
          <w:rFonts w:eastAsia="Arial"/>
          <w:sz w:val="22"/>
          <w:szCs w:val="22"/>
        </w:rPr>
      </w:pPr>
      <w:r>
        <w:rPr>
          <w:sz w:val="22"/>
          <w:szCs w:val="22"/>
        </w:rPr>
        <w:t>CONDIÇÕES GERAIS DA CONTRATAÇÃO</w:t>
      </w:r>
    </w:p>
    <w:p>
      <w:pPr>
        <w:pStyle w:val="Nivel2"/>
        <w:numPr>
          <w:ilvl w:val="1"/>
          <w:numId w:val="12"/>
        </w:numPr>
        <w:spacing w:lineRule="auto" w:line="360" w:before="0" w:after="0"/>
        <w:ind w:left="0" w:hanging="0"/>
        <w:rPr>
          <w:sz w:val="22"/>
          <w:szCs w:val="22"/>
        </w:rPr>
      </w:pPr>
      <w:r>
        <w:rPr>
          <w:rFonts w:eastAsia="Arial"/>
          <w:sz w:val="22"/>
          <w:szCs w:val="22"/>
        </w:rPr>
        <w:t xml:space="preserve"> </w:t>
      </w:r>
      <w:r>
        <w:rPr>
          <w:color w:val="auto"/>
          <w:sz w:val="22"/>
          <w:szCs w:val="22"/>
        </w:rPr>
        <w:t>Contratação de serviços continuado de manutenção dos veículos que compõe a frota da Prefeitura Municipal de Itatiba, com fornecimento de peças de reposição e acessórios novos, originais ou similares de primeira linha, pelo período de 24 (vinte e quatro) meses</w:t>
      </w:r>
      <w:r>
        <w:rPr>
          <w:sz w:val="22"/>
          <w:szCs w:val="22"/>
        </w:rPr>
        <w:t>, de acordo com as especificações, quantitativos máximos e condições mínimas abaixo apesentadas.</w:t>
      </w:r>
    </w:p>
    <w:p>
      <w:pPr>
        <w:pStyle w:val="Standard"/>
        <w:spacing w:lineRule="auto" w:line="360"/>
        <w:jc w:val="both"/>
        <w:rPr>
          <w:sz w:val="22"/>
          <w:szCs w:val="22"/>
        </w:rPr>
      </w:pPr>
      <w:r>
        <w:rPr>
          <w:sz w:val="22"/>
          <w:szCs w:val="22"/>
        </w:rPr>
      </w:r>
    </w:p>
    <w:p>
      <w:pPr>
        <w:pStyle w:val="Standard"/>
        <w:numPr>
          <w:ilvl w:val="0"/>
          <w:numId w:val="12"/>
        </w:numPr>
        <w:spacing w:lineRule="auto" w:line="360"/>
        <w:jc w:val="both"/>
        <w:rPr>
          <w:b/>
          <w:bCs/>
          <w:sz w:val="22"/>
          <w:szCs w:val="22"/>
        </w:rPr>
      </w:pPr>
      <w:r>
        <w:rPr>
          <w:b/>
          <w:bCs/>
          <w:sz w:val="22"/>
          <w:szCs w:val="22"/>
        </w:rPr>
        <w:t xml:space="preserve">– </w:t>
      </w:r>
      <w:r>
        <w:rPr>
          <w:b/>
          <w:bCs/>
          <w:sz w:val="22"/>
          <w:szCs w:val="22"/>
        </w:rPr>
        <w:t>ITENS E QUANTITATIVOS</w:t>
      </w:r>
    </w:p>
    <w:p>
      <w:pPr>
        <w:pStyle w:val="Standard"/>
        <w:spacing w:lineRule="auto" w:line="360"/>
        <w:ind w:left="375" w:hanging="0"/>
        <w:jc w:val="both"/>
        <w:rPr>
          <w:b/>
          <w:bCs/>
          <w:sz w:val="22"/>
          <w:szCs w:val="22"/>
        </w:rPr>
      </w:pPr>
      <w:r>
        <w:rPr>
          <w:b/>
          <w:bCs/>
          <w:sz w:val="22"/>
          <w:szCs w:val="22"/>
        </w:rPr>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998"/>
        <w:gridCol w:w="3533"/>
        <w:gridCol w:w="992"/>
        <w:gridCol w:w="1136"/>
        <w:gridCol w:w="283"/>
        <w:gridCol w:w="1277"/>
        <w:gridCol w:w="1273"/>
      </w:tblGrid>
      <w:tr>
        <w:trPr>
          <w:cantSplit w:val="true"/>
        </w:trPr>
        <w:tc>
          <w:tcPr>
            <w:tcW w:w="9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LOTE 1</w:t>
            </w:r>
          </w:p>
        </w:tc>
        <w:tc>
          <w:tcPr>
            <w:tcW w:w="35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sz w:val="18"/>
                <w:szCs w:val="18"/>
              </w:rPr>
            </w:pPr>
            <w:r>
              <w:rPr>
                <w:rFonts w:cs="Arial" w:ascii="Arial" w:hAnsi="Arial"/>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t>Unidade</w:t>
            </w:r>
          </w:p>
        </w:tc>
        <w:tc>
          <w:tcPr>
            <w:tcW w:w="1136" w:type="dxa"/>
            <w:tcBorders>
              <w:top w:val="single" w:sz="4" w:space="0" w:color="000000"/>
              <w:left w:val="single" w:sz="4" w:space="0" w:color="000000"/>
              <w:bottom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Unitário</w:t>
            </w:r>
          </w:p>
        </w:tc>
        <w:tc>
          <w:tcPr>
            <w:tcW w:w="127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Total</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1.1</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1.24.22.2256-9 - PEÇAS PARA MANUTENÇÃO VEÍCULOS PESADOS - MECÂNICO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UN</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1</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center"/>
              <w:rPr>
                <w:rFonts w:ascii="Arial" w:hAnsi="Arial" w:cs="Arial"/>
                <w:sz w:val="18"/>
                <w:szCs w:val="18"/>
              </w:rPr>
            </w:pPr>
            <w:r>
              <w:rPr>
                <w:rFonts w:cs="Arial" w:ascii="Arial" w:hAnsi="Arial"/>
                <w:sz w:val="18"/>
                <w:szCs w:val="18"/>
              </w:rPr>
              <w:t>Percentual de desconto 17,60%</w:t>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360.249,63</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 xml:space="preserve">PEÇAS PARA MANUTENÇÃO VEÍCULOS PESADOS – MECÂNICO, previsão de valor para aquisição de peças R$ 437.196,16 </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1.2</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2.02.13.0218-5 - HORAS TÉCNICAS VEÍCULOS PESADOS (CONTRATO)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HR</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8.938</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238,00</w:t>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2.127.244,00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 xml:space="preserve">HORAS TÉCNICAS VEÍCULOS PESADOS (ESTIMADA), para execução de serviços mecânicos preventivos e corretivos em veículos pesados (ônibus, micro-ônibus, Vans, caminhões, etc). </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Valor Global do Lote                                                                                                        R$ 2.487.493,63</w:t>
            </w:r>
          </w:p>
        </w:tc>
      </w:tr>
      <w:tr>
        <w:trPr>
          <w:cantSplit w:val="true"/>
        </w:trPr>
        <w:tc>
          <w:tcPr>
            <w:tcW w:w="9492" w:type="dxa"/>
            <w:gridSpan w:val="7"/>
            <w:tcBorders>
              <w:top w:val="single" w:sz="4" w:space="0" w:color="000000"/>
              <w:bottom w:val="single" w:sz="4" w:space="0" w:color="000000"/>
            </w:tcBorders>
            <w:shd w:color="auto" w:fill="FFFFFF" w:themeFill="background1" w:val="clear"/>
          </w:tcPr>
          <w:p>
            <w:pPr>
              <w:pStyle w:val="Normal"/>
              <w:widowControl w:val="false"/>
              <w:spacing w:lineRule="auto" w:line="360"/>
              <w:jc w:val="both"/>
              <w:rPr>
                <w:rFonts w:ascii="Arial" w:hAnsi="Arial" w:cs="Arial"/>
                <w:b/>
                <w:sz w:val="18"/>
                <w:szCs w:val="18"/>
              </w:rPr>
            </w:pPr>
            <w:r>
              <w:rPr>
                <w:rFonts w:cs="Arial" w:ascii="Arial" w:hAnsi="Arial"/>
                <w:b/>
                <w:sz w:val="18"/>
                <w:szCs w:val="18"/>
              </w:rPr>
            </w:r>
          </w:p>
          <w:p>
            <w:pPr>
              <w:pStyle w:val="Normal"/>
              <w:widowControl w:val="false"/>
              <w:spacing w:lineRule="auto" w:line="360"/>
              <w:jc w:val="both"/>
              <w:rPr>
                <w:rFonts w:ascii="Arial" w:hAnsi="Arial" w:cs="Arial"/>
                <w:b/>
                <w:sz w:val="18"/>
                <w:szCs w:val="18"/>
              </w:rPr>
            </w:pPr>
            <w:r>
              <w:rPr>
                <w:rFonts w:cs="Arial" w:ascii="Arial" w:hAnsi="Arial"/>
                <w:b/>
                <w:sz w:val="18"/>
                <w:szCs w:val="18"/>
              </w:rPr>
            </w:r>
          </w:p>
          <w:p>
            <w:pPr>
              <w:pStyle w:val="Normal"/>
              <w:widowControl w:val="false"/>
              <w:spacing w:lineRule="auto" w:line="360"/>
              <w:jc w:val="both"/>
              <w:rPr>
                <w:rFonts w:ascii="Arial" w:hAnsi="Arial" w:cs="Arial"/>
                <w:b/>
                <w:sz w:val="18"/>
                <w:szCs w:val="18"/>
              </w:rPr>
            </w:pPr>
            <w:r>
              <w:rPr>
                <w:rFonts w:cs="Arial" w:ascii="Arial" w:hAnsi="Arial"/>
                <w:b/>
                <w:sz w:val="18"/>
                <w:szCs w:val="18"/>
              </w:rPr>
            </w:r>
          </w:p>
          <w:p>
            <w:pPr>
              <w:pStyle w:val="Normal"/>
              <w:widowControl w:val="false"/>
              <w:spacing w:lineRule="auto" w:line="360"/>
              <w:jc w:val="both"/>
              <w:rPr>
                <w:rFonts w:ascii="Arial" w:hAnsi="Arial" w:cs="Arial"/>
                <w:b/>
                <w:sz w:val="18"/>
                <w:szCs w:val="18"/>
              </w:rPr>
            </w:pPr>
            <w:r>
              <w:rPr>
                <w:rFonts w:cs="Arial" w:ascii="Arial" w:hAnsi="Arial"/>
                <w:b/>
                <w:sz w:val="18"/>
                <w:szCs w:val="18"/>
              </w:rPr>
            </w:r>
          </w:p>
        </w:tc>
      </w:tr>
      <w:tr>
        <w:trPr>
          <w:cantSplit w:val="true"/>
        </w:trPr>
        <w:tc>
          <w:tcPr>
            <w:tcW w:w="9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LOTE 2</w:t>
            </w:r>
          </w:p>
        </w:tc>
        <w:tc>
          <w:tcPr>
            <w:tcW w:w="35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sz w:val="18"/>
                <w:szCs w:val="18"/>
              </w:rPr>
            </w:pPr>
            <w:r>
              <w:rPr>
                <w:rFonts w:cs="Arial" w:ascii="Arial" w:hAnsi="Arial"/>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t>Unidade</w:t>
            </w:r>
          </w:p>
        </w:tc>
        <w:tc>
          <w:tcPr>
            <w:tcW w:w="1136" w:type="dxa"/>
            <w:tcBorders>
              <w:top w:val="single" w:sz="4" w:space="0" w:color="000000"/>
              <w:left w:val="single" w:sz="4" w:space="0" w:color="000000"/>
              <w:bottom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4" w:space="0" w:color="000000"/>
              <w:right w:val="single" w:sz="4" w:space="0" w:color="000000"/>
            </w:tcBorders>
            <w:shd w:color="auto" w:fill="B7B7B7" w:val="clear"/>
          </w:tcPr>
          <w:p>
            <w:pPr>
              <w:pStyle w:val="Normal"/>
              <w:widowControl w:val="false"/>
              <w:spacing w:lineRule="auto" w:line="360"/>
              <w:jc w:val="center"/>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center"/>
              <w:rPr>
                <w:rFonts w:ascii="Arial" w:hAnsi="Arial" w:cs="Arial"/>
                <w:sz w:val="18"/>
                <w:szCs w:val="18"/>
              </w:rPr>
            </w:pPr>
            <w:r>
              <w:rPr>
                <w:rFonts w:cs="Arial" w:ascii="Arial" w:hAnsi="Arial"/>
                <w:sz w:val="18"/>
                <w:szCs w:val="18"/>
              </w:rPr>
              <w:t>Preço Unitário</w:t>
            </w:r>
          </w:p>
        </w:tc>
        <w:tc>
          <w:tcPr>
            <w:tcW w:w="127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Total</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2.1</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1.24.22.2255-0 - PEÇAS PARA MANUTENÇÃO VEÍCULOS PESADOS - ELÉTRICO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UN</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1</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jc w:val="center"/>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center"/>
              <w:rPr>
                <w:rFonts w:ascii="Arial" w:hAnsi="Arial" w:cs="Arial"/>
                <w:sz w:val="18"/>
                <w:szCs w:val="18"/>
              </w:rPr>
            </w:pPr>
            <w:r>
              <w:rPr>
                <w:rFonts w:cs="Arial" w:ascii="Arial" w:hAnsi="Arial"/>
                <w:sz w:val="18"/>
                <w:szCs w:val="18"/>
              </w:rPr>
              <w:t>Percentual de desconto</w:t>
            </w:r>
          </w:p>
          <w:p>
            <w:pPr>
              <w:pStyle w:val="Normal"/>
              <w:widowControl w:val="false"/>
              <w:spacing w:lineRule="auto" w:line="360"/>
              <w:jc w:val="center"/>
              <w:rPr>
                <w:rFonts w:ascii="Arial" w:hAnsi="Arial" w:cs="Arial"/>
                <w:sz w:val="18"/>
                <w:szCs w:val="18"/>
              </w:rPr>
            </w:pPr>
            <w:r>
              <w:rPr>
                <w:rFonts w:cs="Arial" w:ascii="Arial" w:hAnsi="Arial"/>
                <w:sz w:val="18"/>
                <w:szCs w:val="18"/>
              </w:rPr>
              <w:t>18,20%</w:t>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163.767,55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PEÇAS PARA MANUTENÇÃO VEÍCULOS PESADOS – ELÉTRICO, previsão de valor para aquisição de peças R$ 200.204,84</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2.2</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2.02.13.1095-1 - HORAS TÉCNICAS SERVIÇOS ELÉTRICOS EM VEÍCULOS PESADOS (CONTR ATO)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HR</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4.170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236,00</w:t>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984.120,00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HORAS TÉCNICAS SERVIÇOS ELÉTRICOS EM VEÍCULOS PESADOS (CONTRATO)</w:t>
            </w:r>
          </w:p>
          <w:p>
            <w:pPr>
              <w:pStyle w:val="Normal"/>
              <w:widowControl w:val="false"/>
              <w:spacing w:lineRule="auto" w:line="360"/>
              <w:jc w:val="both"/>
              <w:rPr>
                <w:rFonts w:ascii="Arial" w:hAnsi="Arial" w:cs="Arial"/>
                <w:sz w:val="18"/>
                <w:szCs w:val="18"/>
              </w:rPr>
            </w:pPr>
            <w:r>
              <w:rPr>
                <w:rFonts w:cs="Arial" w:ascii="Arial" w:hAnsi="Arial"/>
                <w:sz w:val="18"/>
                <w:szCs w:val="18"/>
              </w:rPr>
              <w:t xml:space="preserve">Especificações: HORAS TÉCNICAS SERVIÇOS ELÉTRICOS EM VEÍCULOS PESADOS (ESTIMADA), para execução de serviços elétricos preventivos e corretivos em veículos pesados (ônibus, micro-ônibus, Vans, caminhões). </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Valor Global do Lote                                                                                                        R$ 1.147.887,55</w:t>
            </w:r>
          </w:p>
        </w:tc>
      </w:tr>
      <w:tr>
        <w:trPr>
          <w:cantSplit w:val="true"/>
        </w:trPr>
        <w:tc>
          <w:tcPr>
            <w:tcW w:w="9492" w:type="dxa"/>
            <w:gridSpan w:val="7"/>
            <w:tcBorders>
              <w:top w:val="single" w:sz="4" w:space="0" w:color="000000"/>
              <w:bottom w:val="single" w:sz="4" w:space="0" w:color="000000"/>
            </w:tcBorders>
            <w:shd w:color="auto" w:fill="FFFFFF" w:themeFill="background1" w:val="clear"/>
          </w:tcPr>
          <w:p>
            <w:pPr>
              <w:pStyle w:val="Normal"/>
              <w:widowControl w:val="false"/>
              <w:spacing w:lineRule="auto" w:line="360"/>
              <w:jc w:val="both"/>
              <w:rPr>
                <w:rFonts w:ascii="Arial" w:hAnsi="Arial" w:cs="Arial"/>
                <w:b/>
                <w:sz w:val="18"/>
                <w:szCs w:val="18"/>
              </w:rPr>
            </w:pPr>
            <w:r>
              <w:rPr>
                <w:rFonts w:cs="Arial" w:ascii="Arial" w:hAnsi="Arial"/>
                <w:b/>
                <w:sz w:val="18"/>
                <w:szCs w:val="18"/>
              </w:rPr>
            </w:r>
          </w:p>
        </w:tc>
      </w:tr>
      <w:tr>
        <w:trPr>
          <w:cantSplit w:val="true"/>
        </w:trPr>
        <w:tc>
          <w:tcPr>
            <w:tcW w:w="9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LOTE 03</w:t>
            </w:r>
          </w:p>
        </w:tc>
        <w:tc>
          <w:tcPr>
            <w:tcW w:w="35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sz w:val="18"/>
                <w:szCs w:val="18"/>
              </w:rPr>
            </w:pPr>
            <w:r>
              <w:rPr>
                <w:rFonts w:cs="Arial" w:ascii="Arial" w:hAnsi="Arial"/>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t>Unidade</w:t>
            </w:r>
          </w:p>
        </w:tc>
        <w:tc>
          <w:tcPr>
            <w:tcW w:w="1136" w:type="dxa"/>
            <w:tcBorders>
              <w:top w:val="single" w:sz="4" w:space="0" w:color="000000"/>
              <w:left w:val="single" w:sz="4" w:space="0" w:color="000000"/>
              <w:bottom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Unitário</w:t>
            </w:r>
          </w:p>
        </w:tc>
        <w:tc>
          <w:tcPr>
            <w:tcW w:w="127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Total</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3.1</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1.24.22.2257-7 - PEÇAS PARA MANUTENÇÃO VEÍCULOS LEVES - MECÂNICO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UN</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1</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center"/>
              <w:rPr>
                <w:rFonts w:ascii="Arial" w:hAnsi="Arial" w:cs="Arial"/>
                <w:sz w:val="18"/>
                <w:szCs w:val="18"/>
              </w:rPr>
            </w:pPr>
            <w:r>
              <w:rPr>
                <w:rFonts w:cs="Arial" w:ascii="Arial" w:hAnsi="Arial"/>
                <w:sz w:val="18"/>
                <w:szCs w:val="18"/>
              </w:rPr>
              <w:t>Percentual de desconto</w:t>
            </w:r>
          </w:p>
          <w:p>
            <w:pPr>
              <w:pStyle w:val="Normal"/>
              <w:widowControl w:val="false"/>
              <w:spacing w:lineRule="auto" w:line="360"/>
              <w:jc w:val="center"/>
              <w:rPr>
                <w:rFonts w:ascii="Arial" w:hAnsi="Arial" w:cs="Arial"/>
                <w:sz w:val="18"/>
                <w:szCs w:val="18"/>
              </w:rPr>
            </w:pPr>
            <w:r>
              <w:rPr>
                <w:rFonts w:cs="Arial" w:ascii="Arial" w:hAnsi="Arial"/>
                <w:sz w:val="18"/>
                <w:szCs w:val="18"/>
              </w:rPr>
              <w:t>20,80%</w:t>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264.948,39</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PEÇAS PARA MANUTENÇÃO VEÍCULOS LEVES, previsão de valor para aquisição de peças R$ 334.530,80</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3.2</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2.02.13.0219-3 - HORAS TÉCNICAS VEÍCULOS LEVES (CONTRATO)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HR</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4.564</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158,00</w:t>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721.112,00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 xml:space="preserve">HORAS TÉCNICAS VEÍCULOS LEVES (ESTIMADA), para execução de serviços mecânicos preventivos e corretivos em veículos leves (tipo veículos de passeio e peruas tipo Kombi). </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Valor Global do Lote                                                                                                                   R$ 986.060,39</w:t>
            </w:r>
          </w:p>
        </w:tc>
      </w:tr>
      <w:tr>
        <w:trPr>
          <w:cantSplit w:val="true"/>
        </w:trPr>
        <w:tc>
          <w:tcPr>
            <w:tcW w:w="9492" w:type="dxa"/>
            <w:gridSpan w:val="7"/>
            <w:tcBorders>
              <w:top w:val="single" w:sz="4" w:space="0" w:color="000000"/>
              <w:bottom w:val="single" w:sz="4" w:space="0" w:color="000000"/>
            </w:tcBorders>
            <w:shd w:color="auto" w:fill="FFFFFF" w:themeFill="background1" w:val="clear"/>
          </w:tcPr>
          <w:p>
            <w:pPr>
              <w:pStyle w:val="Normal"/>
              <w:widowControl w:val="false"/>
              <w:spacing w:lineRule="auto" w:line="360"/>
              <w:jc w:val="both"/>
              <w:rPr>
                <w:rFonts w:ascii="Arial" w:hAnsi="Arial" w:cs="Arial"/>
                <w:b/>
                <w:sz w:val="18"/>
                <w:szCs w:val="18"/>
              </w:rPr>
            </w:pPr>
            <w:r>
              <w:rPr>
                <w:rFonts w:cs="Arial" w:ascii="Arial" w:hAnsi="Arial"/>
                <w:b/>
                <w:sz w:val="18"/>
                <w:szCs w:val="18"/>
              </w:rPr>
            </w:r>
          </w:p>
        </w:tc>
      </w:tr>
      <w:tr>
        <w:trPr>
          <w:cantSplit w:val="true"/>
        </w:trPr>
        <w:tc>
          <w:tcPr>
            <w:tcW w:w="9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LOTE 04</w:t>
            </w:r>
          </w:p>
        </w:tc>
        <w:tc>
          <w:tcPr>
            <w:tcW w:w="35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sz w:val="18"/>
                <w:szCs w:val="18"/>
              </w:rPr>
            </w:pPr>
            <w:r>
              <w:rPr>
                <w:rFonts w:cs="Arial" w:ascii="Arial" w:hAnsi="Arial"/>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t>Unidade</w:t>
            </w:r>
          </w:p>
        </w:tc>
        <w:tc>
          <w:tcPr>
            <w:tcW w:w="1136" w:type="dxa"/>
            <w:tcBorders>
              <w:top w:val="single" w:sz="4" w:space="0" w:color="000000"/>
              <w:left w:val="single" w:sz="4" w:space="0" w:color="000000"/>
              <w:bottom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Unitário</w:t>
            </w:r>
          </w:p>
        </w:tc>
        <w:tc>
          <w:tcPr>
            <w:tcW w:w="127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Total</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4.1</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1.24.22.2258-5 - PEÇAS PARA MANUTENÇÃO VEÍCULOS LEVES - ELÉTRICA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UN</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1</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center"/>
              <w:rPr>
                <w:rFonts w:ascii="Arial" w:hAnsi="Arial" w:cs="Arial"/>
                <w:sz w:val="18"/>
                <w:szCs w:val="18"/>
              </w:rPr>
            </w:pPr>
            <w:r>
              <w:rPr>
                <w:rFonts w:cs="Arial" w:ascii="Arial" w:hAnsi="Arial"/>
                <w:sz w:val="18"/>
                <w:szCs w:val="18"/>
              </w:rPr>
              <w:t>Percentual de desconto</w:t>
            </w:r>
          </w:p>
          <w:p>
            <w:pPr>
              <w:pStyle w:val="Normal"/>
              <w:widowControl w:val="false"/>
              <w:spacing w:lineRule="auto" w:line="360"/>
              <w:jc w:val="center"/>
              <w:rPr>
                <w:rFonts w:ascii="Arial" w:hAnsi="Arial" w:cs="Arial"/>
                <w:sz w:val="18"/>
                <w:szCs w:val="18"/>
              </w:rPr>
            </w:pPr>
            <w:r>
              <w:rPr>
                <w:rFonts w:cs="Arial" w:ascii="Arial" w:hAnsi="Arial"/>
                <w:sz w:val="18"/>
                <w:szCs w:val="18"/>
              </w:rPr>
              <w:t>17,20%</w:t>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170.671,65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PEÇAS PARA MANUTENÇÃO VEÍCULOS LEVES - ELÉTRICA, previsão de valor para aquisição de peças R$ 206.125,18</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4.2</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2.02.13.1096-0 - HORAS TÉCNICAS SERVIÇOS ELÉTRICOS EM VEÍCULOS LEVES (CONTRAT 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HR</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3.482</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166,00</w:t>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578.012,00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HORAS TÉCNICAS SERVIÇOS ELÉTRICOS EM VEÍCULOS LEVES (CONTRATO)</w:t>
            </w:r>
          </w:p>
          <w:p>
            <w:pPr>
              <w:pStyle w:val="Normal"/>
              <w:widowControl w:val="false"/>
              <w:spacing w:lineRule="auto" w:line="360"/>
              <w:jc w:val="both"/>
              <w:rPr>
                <w:rFonts w:ascii="Arial" w:hAnsi="Arial" w:cs="Arial"/>
                <w:sz w:val="18"/>
                <w:szCs w:val="18"/>
              </w:rPr>
            </w:pPr>
            <w:r>
              <w:rPr>
                <w:rFonts w:cs="Arial" w:ascii="Arial" w:hAnsi="Arial"/>
                <w:sz w:val="18"/>
                <w:szCs w:val="18"/>
              </w:rPr>
              <w:t>Especificações: HORAS TÉCNICAS SERVIÇOS ELÉTRICOS EM VEÍCULOS LEVES (ESTIMADA), para execução de serviços elétricos preventivos e corretivos em veículos leves (tipo veículos de passeio e peruas tipo Kombi).</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Valor Global do Lote                                                                                                        R$ 748.683,65</w:t>
            </w:r>
          </w:p>
        </w:tc>
      </w:tr>
      <w:tr>
        <w:trPr>
          <w:cantSplit w:val="true"/>
        </w:trPr>
        <w:tc>
          <w:tcPr>
            <w:tcW w:w="9492" w:type="dxa"/>
            <w:gridSpan w:val="7"/>
            <w:tcBorders>
              <w:top w:val="single" w:sz="4" w:space="0" w:color="000000"/>
              <w:bottom w:val="single" w:sz="4" w:space="0" w:color="000000"/>
            </w:tcBorders>
            <w:shd w:color="auto" w:fill="FFFFFF" w:themeFill="background1" w:val="clear"/>
          </w:tcPr>
          <w:p>
            <w:pPr>
              <w:pStyle w:val="Normal"/>
              <w:widowControl w:val="false"/>
              <w:spacing w:lineRule="auto" w:line="360"/>
              <w:jc w:val="both"/>
              <w:rPr>
                <w:rFonts w:ascii="Arial" w:hAnsi="Arial" w:cs="Arial"/>
                <w:b/>
                <w:sz w:val="18"/>
                <w:szCs w:val="18"/>
              </w:rPr>
            </w:pPr>
            <w:r>
              <w:rPr>
                <w:rFonts w:cs="Arial" w:ascii="Arial" w:hAnsi="Arial"/>
                <w:b/>
                <w:sz w:val="18"/>
                <w:szCs w:val="18"/>
              </w:rPr>
            </w:r>
          </w:p>
        </w:tc>
      </w:tr>
      <w:tr>
        <w:trPr>
          <w:cantSplit w:val="true"/>
        </w:trPr>
        <w:tc>
          <w:tcPr>
            <w:tcW w:w="9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LOTE 05</w:t>
            </w:r>
          </w:p>
        </w:tc>
        <w:tc>
          <w:tcPr>
            <w:tcW w:w="35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sz w:val="18"/>
                <w:szCs w:val="18"/>
              </w:rPr>
            </w:pPr>
            <w:r>
              <w:rPr>
                <w:rFonts w:cs="Arial" w:ascii="Arial" w:hAnsi="Arial"/>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t>Unidade</w:t>
            </w:r>
          </w:p>
        </w:tc>
        <w:tc>
          <w:tcPr>
            <w:tcW w:w="1136" w:type="dxa"/>
            <w:tcBorders>
              <w:top w:val="single" w:sz="4" w:space="0" w:color="000000"/>
              <w:left w:val="single" w:sz="4" w:space="0" w:color="000000"/>
              <w:bottom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Unitário</w:t>
            </w:r>
          </w:p>
        </w:tc>
        <w:tc>
          <w:tcPr>
            <w:tcW w:w="127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Total</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5.1</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1.24.22.2259-3 - PEÇAS PARA MANUTENÇÃO VEÍCULOS MÁQUINAS - MECÃNICO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UN</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1</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center"/>
              <w:rPr>
                <w:rFonts w:ascii="Arial" w:hAnsi="Arial" w:cs="Arial"/>
                <w:sz w:val="18"/>
                <w:szCs w:val="18"/>
              </w:rPr>
            </w:pPr>
            <w:r>
              <w:rPr>
                <w:rFonts w:cs="Arial" w:ascii="Arial" w:hAnsi="Arial"/>
                <w:sz w:val="18"/>
                <w:szCs w:val="18"/>
              </w:rPr>
              <w:t>Percentual de desconto</w:t>
            </w:r>
          </w:p>
          <w:p>
            <w:pPr>
              <w:pStyle w:val="Normal"/>
              <w:widowControl w:val="false"/>
              <w:spacing w:lineRule="auto" w:line="360"/>
              <w:jc w:val="center"/>
              <w:rPr>
                <w:rFonts w:ascii="Arial" w:hAnsi="Arial" w:cs="Arial"/>
                <w:sz w:val="18"/>
                <w:szCs w:val="18"/>
              </w:rPr>
            </w:pPr>
            <w:r>
              <w:rPr>
                <w:rFonts w:cs="Arial" w:ascii="Arial" w:hAnsi="Arial"/>
                <w:sz w:val="18"/>
                <w:szCs w:val="18"/>
              </w:rPr>
              <w:t>17,60%</w:t>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153.125,57</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PEÇAS PARA MANUTENÇÃO VEÍCULOS MÁQUINAS, previsão de valor para aquisição de peças R$ 185.832,00</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5.2</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2.02.13.0220-7 - HORAS TÉCNICAS MÁQUINAS (CONTRATO)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HR</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1.826</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264,00</w:t>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482.064,00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HORAS TÉCNICAS MÁQUINAS (ESTIMADA), para execução de serviços mecânicos preventivos e corretivos em máquinas (máquinas de terraplenagem, trator, rolo compactador, retro-escavadeira, etc.).</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Valor Global do Lote                                                                                                                       R$ 635.189,57</w:t>
            </w:r>
          </w:p>
        </w:tc>
      </w:tr>
      <w:tr>
        <w:trPr>
          <w:cantSplit w:val="true"/>
        </w:trPr>
        <w:tc>
          <w:tcPr>
            <w:tcW w:w="9492" w:type="dxa"/>
            <w:gridSpan w:val="7"/>
            <w:tcBorders>
              <w:top w:val="single" w:sz="4" w:space="0" w:color="000000"/>
              <w:bottom w:val="single" w:sz="4" w:space="0" w:color="000000"/>
            </w:tcBorders>
            <w:shd w:color="auto" w:fill="FFFFFF" w:themeFill="background1" w:val="clear"/>
          </w:tcPr>
          <w:p>
            <w:pPr>
              <w:pStyle w:val="Normal"/>
              <w:widowControl w:val="false"/>
              <w:spacing w:lineRule="auto" w:line="360"/>
              <w:jc w:val="both"/>
              <w:rPr>
                <w:rFonts w:ascii="Arial" w:hAnsi="Arial" w:cs="Arial"/>
                <w:b/>
                <w:sz w:val="18"/>
                <w:szCs w:val="18"/>
              </w:rPr>
            </w:pPr>
            <w:r>
              <w:rPr>
                <w:rFonts w:cs="Arial" w:ascii="Arial" w:hAnsi="Arial"/>
                <w:b/>
                <w:sz w:val="18"/>
                <w:szCs w:val="18"/>
              </w:rPr>
            </w:r>
          </w:p>
        </w:tc>
      </w:tr>
      <w:tr>
        <w:trPr>
          <w:cantSplit w:val="true"/>
        </w:trPr>
        <w:tc>
          <w:tcPr>
            <w:tcW w:w="9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LOTE 06</w:t>
            </w:r>
          </w:p>
        </w:tc>
        <w:tc>
          <w:tcPr>
            <w:tcW w:w="35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sz w:val="18"/>
                <w:szCs w:val="18"/>
              </w:rPr>
            </w:pPr>
            <w:r>
              <w:rPr>
                <w:rFonts w:cs="Arial" w:ascii="Arial" w:hAnsi="Arial"/>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t>Unidade</w:t>
            </w:r>
          </w:p>
        </w:tc>
        <w:tc>
          <w:tcPr>
            <w:tcW w:w="1136" w:type="dxa"/>
            <w:tcBorders>
              <w:top w:val="single" w:sz="4" w:space="0" w:color="000000"/>
              <w:left w:val="single" w:sz="4" w:space="0" w:color="000000"/>
              <w:bottom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Unitário</w:t>
            </w:r>
          </w:p>
        </w:tc>
        <w:tc>
          <w:tcPr>
            <w:tcW w:w="127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Total</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6.1</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1.24.22.2260-7 - PEÇAS PARA MANUTENÇÃO VEÍCULOS MÁQUINAS - ELÉTRICA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UN</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1</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center"/>
              <w:rPr>
                <w:rFonts w:ascii="Arial" w:hAnsi="Arial" w:cs="Arial"/>
                <w:sz w:val="18"/>
                <w:szCs w:val="18"/>
              </w:rPr>
            </w:pPr>
            <w:r>
              <w:rPr>
                <w:rFonts w:cs="Arial" w:ascii="Arial" w:hAnsi="Arial"/>
                <w:sz w:val="18"/>
                <w:szCs w:val="18"/>
              </w:rPr>
              <w:t>Percentual de desconto</w:t>
            </w:r>
          </w:p>
          <w:p>
            <w:pPr>
              <w:pStyle w:val="Normal"/>
              <w:widowControl w:val="false"/>
              <w:spacing w:lineRule="auto" w:line="360"/>
              <w:jc w:val="center"/>
              <w:rPr>
                <w:rFonts w:ascii="Arial" w:hAnsi="Arial" w:cs="Arial"/>
                <w:sz w:val="18"/>
                <w:szCs w:val="18"/>
              </w:rPr>
            </w:pPr>
            <w:r>
              <w:rPr>
                <w:rFonts w:cs="Arial" w:ascii="Arial" w:hAnsi="Arial"/>
                <w:sz w:val="18"/>
                <w:szCs w:val="18"/>
              </w:rPr>
              <w:t>18,00%</w:t>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65.449,12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PEÇAS PARA MANUTENÇÃO VEÍCULOS MÁQUINAS - ELÉTRICA, previsão de valor para aquisição de peças R$ 79.816,00</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6.2</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2.02.13.1152-4 - HORAS TÉCNICAS SERVIÇOS ELÉTRICOS - MÁQUINAS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HR</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1.750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264,00</w:t>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462.000,00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HORAS TÉCNICAS SERVIÇOS ELÉTRICOS - MÁQUINAS</w:t>
            </w:r>
          </w:p>
          <w:p>
            <w:pPr>
              <w:pStyle w:val="Normal"/>
              <w:widowControl w:val="false"/>
              <w:spacing w:lineRule="auto" w:line="360"/>
              <w:jc w:val="both"/>
              <w:rPr>
                <w:rFonts w:ascii="Arial" w:hAnsi="Arial" w:cs="Arial"/>
                <w:sz w:val="18"/>
                <w:szCs w:val="18"/>
              </w:rPr>
            </w:pPr>
            <w:r>
              <w:rPr>
                <w:rFonts w:cs="Arial" w:ascii="Arial" w:hAnsi="Arial"/>
                <w:sz w:val="18"/>
                <w:szCs w:val="18"/>
              </w:rPr>
              <w:t xml:space="preserve">Especificações: HORAS TÉCNICAS SERVIÇOS ELÉTRICOS EM MÁQUINAS, para execução de serviços elétricos preventivos e corretivos em máquinas (máquinas de terraplanagem, trator, rolo compactador, etc). </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Valor Global do Lote                                                                                                        R$ 527.449,12</w:t>
            </w:r>
          </w:p>
        </w:tc>
      </w:tr>
      <w:tr>
        <w:trPr>
          <w:cantSplit w:val="true"/>
        </w:trPr>
        <w:tc>
          <w:tcPr>
            <w:tcW w:w="9492" w:type="dxa"/>
            <w:gridSpan w:val="7"/>
            <w:tcBorders>
              <w:top w:val="single" w:sz="4" w:space="0" w:color="000000"/>
              <w:bottom w:val="single" w:sz="4" w:space="0" w:color="000000"/>
            </w:tcBorders>
            <w:shd w:color="auto" w:fill="FFFFFF" w:themeFill="background1" w:val="clear"/>
          </w:tcPr>
          <w:p>
            <w:pPr>
              <w:pStyle w:val="Normal"/>
              <w:widowControl w:val="false"/>
              <w:spacing w:lineRule="auto" w:line="360"/>
              <w:jc w:val="both"/>
              <w:rPr>
                <w:rFonts w:ascii="Arial" w:hAnsi="Arial" w:cs="Arial"/>
                <w:b/>
                <w:sz w:val="18"/>
                <w:szCs w:val="18"/>
              </w:rPr>
            </w:pPr>
            <w:r>
              <w:rPr>
                <w:rFonts w:cs="Arial" w:ascii="Arial" w:hAnsi="Arial"/>
                <w:b/>
                <w:sz w:val="18"/>
                <w:szCs w:val="18"/>
              </w:rPr>
            </w:r>
          </w:p>
        </w:tc>
      </w:tr>
      <w:tr>
        <w:trPr>
          <w:cantSplit w:val="true"/>
        </w:trPr>
        <w:tc>
          <w:tcPr>
            <w:tcW w:w="9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LOTE 07</w:t>
            </w:r>
          </w:p>
        </w:tc>
        <w:tc>
          <w:tcPr>
            <w:tcW w:w="35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sz w:val="18"/>
                <w:szCs w:val="18"/>
              </w:rPr>
            </w:pPr>
            <w:r>
              <w:rPr>
                <w:rFonts w:cs="Arial" w:ascii="Arial" w:hAnsi="Arial"/>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t>Unidade</w:t>
            </w:r>
          </w:p>
        </w:tc>
        <w:tc>
          <w:tcPr>
            <w:tcW w:w="1136" w:type="dxa"/>
            <w:tcBorders>
              <w:top w:val="single" w:sz="4" w:space="0" w:color="000000"/>
              <w:left w:val="single" w:sz="4" w:space="0" w:color="000000"/>
              <w:bottom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Unitário</w:t>
            </w:r>
          </w:p>
        </w:tc>
        <w:tc>
          <w:tcPr>
            <w:tcW w:w="127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Total</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7.1</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1.24.22.2261-5 - PEÇAS PARA MANUTENÇÃO DE MOTOCICLETA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UN</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1</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center"/>
              <w:rPr>
                <w:rFonts w:ascii="Arial" w:hAnsi="Arial" w:cs="Arial"/>
                <w:sz w:val="18"/>
                <w:szCs w:val="18"/>
              </w:rPr>
            </w:pPr>
            <w:r>
              <w:rPr>
                <w:rFonts w:cs="Arial" w:ascii="Arial" w:hAnsi="Arial"/>
                <w:sz w:val="18"/>
                <w:szCs w:val="18"/>
              </w:rPr>
              <w:t>Percentual de desconto</w:t>
            </w:r>
          </w:p>
          <w:p>
            <w:pPr>
              <w:pStyle w:val="Normal"/>
              <w:widowControl w:val="false"/>
              <w:spacing w:lineRule="auto" w:line="360"/>
              <w:jc w:val="center"/>
              <w:rPr>
                <w:rFonts w:ascii="Arial" w:hAnsi="Arial" w:cs="Arial"/>
                <w:sz w:val="18"/>
                <w:szCs w:val="18"/>
              </w:rPr>
            </w:pPr>
            <w:r>
              <w:rPr>
                <w:rFonts w:cs="Arial" w:ascii="Arial" w:hAnsi="Arial"/>
                <w:sz w:val="18"/>
                <w:szCs w:val="18"/>
              </w:rPr>
              <w:t>15,20%</w:t>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27.434,50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PEÇAS PARA MANUTENÇÃO DE MOTOCICLETA, previsão de valor para aquisição de peças R$ 32.352,00</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7.2</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2.02.13.1150-8 - HORAS TÉCNICAS MOTOCICLETA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HR</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406</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144,00</w:t>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58.464,00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HORAS TÉCNICAS MOTOCICLETA (ESTIMADA), para execução de serviços mecânicos e elétricos, preventivos e corretivos em motocicletas.</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Valor Global do Lote                                                                                                                              R$ 85.898,50</w:t>
            </w:r>
          </w:p>
        </w:tc>
      </w:tr>
      <w:tr>
        <w:trPr>
          <w:cantSplit w:val="true"/>
        </w:trPr>
        <w:tc>
          <w:tcPr>
            <w:tcW w:w="9492" w:type="dxa"/>
            <w:gridSpan w:val="7"/>
            <w:tcBorders>
              <w:top w:val="single" w:sz="4" w:space="0" w:color="000000"/>
              <w:bottom w:val="single" w:sz="4" w:space="0" w:color="000000"/>
            </w:tcBorders>
            <w:shd w:color="auto" w:fill="FFFFFF" w:themeFill="background1" w:val="clear"/>
          </w:tcPr>
          <w:p>
            <w:pPr>
              <w:pStyle w:val="Normal"/>
              <w:widowControl w:val="false"/>
              <w:spacing w:lineRule="auto" w:line="360"/>
              <w:jc w:val="both"/>
              <w:rPr>
                <w:rFonts w:ascii="Arial" w:hAnsi="Arial" w:cs="Arial"/>
                <w:b/>
                <w:sz w:val="18"/>
                <w:szCs w:val="18"/>
              </w:rPr>
            </w:pPr>
            <w:r>
              <w:rPr>
                <w:rFonts w:cs="Arial" w:ascii="Arial" w:hAnsi="Arial"/>
                <w:b/>
                <w:sz w:val="18"/>
                <w:szCs w:val="18"/>
              </w:rPr>
            </w:r>
          </w:p>
        </w:tc>
      </w:tr>
      <w:tr>
        <w:trPr>
          <w:cantSplit w:val="true"/>
        </w:trPr>
        <w:tc>
          <w:tcPr>
            <w:tcW w:w="9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LOTE 8</w:t>
            </w:r>
          </w:p>
        </w:tc>
        <w:tc>
          <w:tcPr>
            <w:tcW w:w="35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sz w:val="18"/>
                <w:szCs w:val="18"/>
              </w:rPr>
            </w:pPr>
            <w:r>
              <w:rPr>
                <w:rFonts w:cs="Arial" w:ascii="Arial" w:hAnsi="Arial"/>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t>Unidade</w:t>
            </w:r>
          </w:p>
        </w:tc>
        <w:tc>
          <w:tcPr>
            <w:tcW w:w="1136" w:type="dxa"/>
            <w:tcBorders>
              <w:top w:val="single" w:sz="4" w:space="0" w:color="000000"/>
              <w:left w:val="single" w:sz="4" w:space="0" w:color="000000"/>
              <w:bottom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Unitário</w:t>
            </w:r>
          </w:p>
        </w:tc>
        <w:tc>
          <w:tcPr>
            <w:tcW w:w="127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Total</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8.1</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1.24.22.2262-3 - PEÇAS PARA MANUTENÇÃO DE VEÍCULO - ACESSÓRIOS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UN</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1</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center"/>
              <w:rPr>
                <w:rFonts w:ascii="Arial" w:hAnsi="Arial" w:cs="Arial"/>
                <w:sz w:val="18"/>
                <w:szCs w:val="18"/>
              </w:rPr>
            </w:pPr>
            <w:r>
              <w:rPr>
                <w:rFonts w:cs="Arial" w:ascii="Arial" w:hAnsi="Arial"/>
                <w:sz w:val="18"/>
                <w:szCs w:val="18"/>
              </w:rPr>
              <w:t>Percentual de desconto</w:t>
            </w:r>
          </w:p>
          <w:p>
            <w:pPr>
              <w:pStyle w:val="Normal"/>
              <w:widowControl w:val="false"/>
              <w:spacing w:lineRule="auto" w:line="360"/>
              <w:jc w:val="center"/>
              <w:rPr>
                <w:rFonts w:ascii="Arial" w:hAnsi="Arial" w:cs="Arial"/>
                <w:sz w:val="18"/>
                <w:szCs w:val="18"/>
              </w:rPr>
            </w:pPr>
            <w:r>
              <w:rPr>
                <w:rFonts w:cs="Arial" w:ascii="Arial" w:hAnsi="Arial"/>
                <w:sz w:val="18"/>
                <w:szCs w:val="18"/>
              </w:rPr>
              <w:t>17,80%</w:t>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91.923,52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PEÇAS PARA MANUTENÇÃO DE VEÍCULO - ACESSÓRIOS, previsão de valor para aquisição de peças R$ 111.829,10</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8.2</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2.02.13.1153-2 - HORAS TÉCNICAS - SERVIÇO DE INSTALAÇÃO E MANUTENÇÃO - ACESSÓRIOS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HR</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1.458</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174,00</w:t>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253.692,00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HORAS TÉCNICAS - SERVIÇO DE INSTALAÇÃO E MANUTENÇÃO - ACESSÓRIOS</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Valor Global do Lote                                                                                                                         R$ 345.615,52</w:t>
            </w:r>
          </w:p>
        </w:tc>
      </w:tr>
      <w:tr>
        <w:trPr>
          <w:cantSplit w:val="true"/>
        </w:trPr>
        <w:tc>
          <w:tcPr>
            <w:tcW w:w="9492" w:type="dxa"/>
            <w:gridSpan w:val="7"/>
            <w:tcBorders>
              <w:top w:val="single" w:sz="4" w:space="0" w:color="000000"/>
              <w:bottom w:val="single" w:sz="4" w:space="0" w:color="000000"/>
            </w:tcBorders>
            <w:shd w:color="auto" w:fill="FFFFFF" w:themeFill="background1" w:val="clear"/>
          </w:tcPr>
          <w:p>
            <w:pPr>
              <w:pStyle w:val="Normal"/>
              <w:widowControl w:val="false"/>
              <w:spacing w:lineRule="auto" w:line="360"/>
              <w:jc w:val="both"/>
              <w:rPr>
                <w:rFonts w:ascii="Arial" w:hAnsi="Arial" w:cs="Arial"/>
                <w:b/>
                <w:sz w:val="18"/>
                <w:szCs w:val="18"/>
              </w:rPr>
            </w:pPr>
            <w:r>
              <w:rPr>
                <w:rFonts w:cs="Arial" w:ascii="Arial" w:hAnsi="Arial"/>
                <w:b/>
                <w:sz w:val="18"/>
                <w:szCs w:val="18"/>
              </w:rPr>
            </w:r>
          </w:p>
        </w:tc>
      </w:tr>
      <w:tr>
        <w:trPr>
          <w:cantSplit w:val="true"/>
        </w:trPr>
        <w:tc>
          <w:tcPr>
            <w:tcW w:w="9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LOTE 09</w:t>
            </w:r>
          </w:p>
        </w:tc>
        <w:tc>
          <w:tcPr>
            <w:tcW w:w="35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sz w:val="18"/>
                <w:szCs w:val="18"/>
              </w:rPr>
            </w:pPr>
            <w:r>
              <w:rPr>
                <w:rFonts w:cs="Arial" w:ascii="Arial" w:hAnsi="Arial"/>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t>Unidade</w:t>
            </w:r>
          </w:p>
        </w:tc>
        <w:tc>
          <w:tcPr>
            <w:tcW w:w="1136" w:type="dxa"/>
            <w:tcBorders>
              <w:top w:val="single" w:sz="4" w:space="0" w:color="000000"/>
              <w:left w:val="single" w:sz="4" w:space="0" w:color="000000"/>
              <w:bottom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Unitário</w:t>
            </w:r>
          </w:p>
        </w:tc>
        <w:tc>
          <w:tcPr>
            <w:tcW w:w="127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Total</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9.1</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2.12.02.0002-0 - SERVIÇO DE GUINCHO - VEÍCULOS LEVES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HR</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712</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612,50</w:t>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436.100,00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SERVIÇO DE GUINCHO - VEÍCULOS LEVES</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Valor Global do Lote                                                                                                                        R$ 436.100,00</w:t>
            </w:r>
          </w:p>
        </w:tc>
      </w:tr>
      <w:tr>
        <w:trPr>
          <w:cantSplit w:val="true"/>
        </w:trPr>
        <w:tc>
          <w:tcPr>
            <w:tcW w:w="9492" w:type="dxa"/>
            <w:gridSpan w:val="7"/>
            <w:tcBorders>
              <w:top w:val="single" w:sz="4" w:space="0" w:color="000000"/>
              <w:bottom w:val="single" w:sz="4" w:space="0" w:color="000000"/>
            </w:tcBorders>
            <w:shd w:color="auto" w:fill="FFFFFF" w:themeFill="background1" w:val="clear"/>
          </w:tcPr>
          <w:p>
            <w:pPr>
              <w:pStyle w:val="Normal"/>
              <w:widowControl w:val="false"/>
              <w:spacing w:lineRule="auto" w:line="360"/>
              <w:jc w:val="both"/>
              <w:rPr>
                <w:rFonts w:ascii="Arial" w:hAnsi="Arial" w:cs="Arial"/>
                <w:b/>
                <w:sz w:val="18"/>
                <w:szCs w:val="18"/>
              </w:rPr>
            </w:pPr>
            <w:r>
              <w:rPr>
                <w:rFonts w:cs="Arial" w:ascii="Arial" w:hAnsi="Arial"/>
                <w:b/>
                <w:sz w:val="18"/>
                <w:szCs w:val="18"/>
              </w:rPr>
            </w:r>
          </w:p>
          <w:p>
            <w:pPr>
              <w:pStyle w:val="Normal"/>
              <w:widowControl w:val="false"/>
              <w:spacing w:lineRule="auto" w:line="360"/>
              <w:jc w:val="both"/>
              <w:rPr>
                <w:rFonts w:ascii="Arial" w:hAnsi="Arial" w:cs="Arial"/>
                <w:b/>
                <w:sz w:val="18"/>
                <w:szCs w:val="18"/>
              </w:rPr>
            </w:pPr>
            <w:r>
              <w:rPr>
                <w:rFonts w:cs="Arial" w:ascii="Arial" w:hAnsi="Arial"/>
                <w:b/>
                <w:sz w:val="18"/>
                <w:szCs w:val="18"/>
              </w:rPr>
            </w:r>
          </w:p>
        </w:tc>
      </w:tr>
      <w:tr>
        <w:trPr>
          <w:cantSplit w:val="true"/>
        </w:trPr>
        <w:tc>
          <w:tcPr>
            <w:tcW w:w="9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LOTE 10</w:t>
            </w:r>
          </w:p>
        </w:tc>
        <w:tc>
          <w:tcPr>
            <w:tcW w:w="35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sz w:val="18"/>
                <w:szCs w:val="18"/>
              </w:rPr>
            </w:pPr>
            <w:r>
              <w:rPr>
                <w:rFonts w:cs="Arial" w:ascii="Arial" w:hAnsi="Arial"/>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t>Unidade</w:t>
            </w:r>
          </w:p>
        </w:tc>
        <w:tc>
          <w:tcPr>
            <w:tcW w:w="1136" w:type="dxa"/>
            <w:tcBorders>
              <w:top w:val="single" w:sz="4" w:space="0" w:color="000000"/>
              <w:left w:val="single" w:sz="4" w:space="0" w:color="000000"/>
              <w:bottom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Unitário</w:t>
            </w:r>
          </w:p>
        </w:tc>
        <w:tc>
          <w:tcPr>
            <w:tcW w:w="127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Total</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10.1</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2.12.02.0009-7 - SERVIÇO DE GUINCHO – VEÍCULOS PESADOS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HR</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924</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737,50</w:t>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681.450,00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SERVIÇO DE GUINCHO – VEÍCULOS PESADOS</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Valor Global do Lote                                                                                                                             R$ 681.450,00</w:t>
            </w:r>
          </w:p>
        </w:tc>
      </w:tr>
    </w:tbl>
    <w:p>
      <w:pPr>
        <w:pStyle w:val="Normal"/>
        <w:spacing w:lineRule="auto" w:line="360"/>
        <w:jc w:val="both"/>
        <w:rPr>
          <w:rFonts w:ascii="Arial" w:hAnsi="Arial" w:cs="Arial"/>
          <w:sz w:val="22"/>
          <w:szCs w:val="22"/>
        </w:rPr>
      </w:pPr>
      <w:r>
        <w:rPr>
          <w:rFonts w:cs="Arial" w:ascii="Arial" w:hAnsi="Arial"/>
          <w:sz w:val="22"/>
          <w:szCs w:val="22"/>
        </w:rPr>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b/>
          <w:sz w:val="22"/>
          <w:szCs w:val="22"/>
        </w:rPr>
        <w:t>3 - DOS PREÇOS</w:t>
      </w:r>
    </w:p>
    <w:p>
      <w:pPr>
        <w:pStyle w:val="ListNumber3"/>
        <w:numPr>
          <w:ilvl w:val="0"/>
          <w:numId w:val="0"/>
        </w:numPr>
        <w:spacing w:lineRule="auto" w:line="360"/>
        <w:ind w:left="0" w:hanging="0"/>
        <w:jc w:val="both"/>
        <w:rPr>
          <w:rFonts w:ascii="Arial" w:hAnsi="Arial" w:cs="Arial"/>
          <w:sz w:val="22"/>
          <w:szCs w:val="22"/>
        </w:rPr>
      </w:pPr>
      <w:bookmarkStart w:id="46" w:name="_heading=h.gjdgxs"/>
      <w:bookmarkEnd w:id="46"/>
      <w:r>
        <w:rPr>
          <w:rFonts w:eastAsia="Arial" w:cs="Arial" w:ascii="Arial" w:hAnsi="Arial"/>
          <w:sz w:val="22"/>
          <w:szCs w:val="22"/>
        </w:rPr>
        <w:t>3.1.1 - O preço total de cada lote será obtido através do valor referente a mão de obra/hora, multiplicado pelo número total de horas indicado neste termo de referência, somado ao valor estimado do fornecimento de peças, com a incidência do desconto oferecido.</w:t>
      </w:r>
    </w:p>
    <w:p>
      <w:pPr>
        <w:pStyle w:val="ListNumber3"/>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3.1.2 - A licitante deverá utilizar como base para o desconto sobre as peças, a tabela de referência de montadoras:</w:t>
      </w:r>
    </w:p>
    <w:p>
      <w:pPr>
        <w:pStyle w:val="LO-normal"/>
        <w:spacing w:lineRule="auto" w:line="360"/>
        <w:jc w:val="both"/>
        <w:rPr>
          <w:rFonts w:ascii="Arial" w:hAnsi="Arial" w:cs="Arial"/>
          <w:sz w:val="22"/>
          <w:szCs w:val="22"/>
        </w:rPr>
      </w:pPr>
      <w:r>
        <w:rPr>
          <w:rFonts w:eastAsia="Arial" w:cs="Arial" w:ascii="Arial" w:hAnsi="Arial"/>
          <w:sz w:val="22"/>
          <w:szCs w:val="22"/>
        </w:rPr>
        <w:tab/>
        <w:t>a) VEÍCULOS LEVES - Sistema AUDATEX/CILIA ou similar</w:t>
      </w:r>
    </w:p>
    <w:p>
      <w:pPr>
        <w:pStyle w:val="LO-normal"/>
        <w:spacing w:lineRule="auto" w:line="360"/>
        <w:jc w:val="both"/>
        <w:rPr>
          <w:rFonts w:ascii="Arial" w:hAnsi="Arial" w:cs="Arial"/>
          <w:sz w:val="22"/>
          <w:szCs w:val="22"/>
        </w:rPr>
      </w:pPr>
      <w:r>
        <w:rPr>
          <w:rFonts w:eastAsia="Arial" w:cs="Arial" w:ascii="Arial" w:hAnsi="Arial"/>
          <w:sz w:val="22"/>
          <w:szCs w:val="22"/>
        </w:rPr>
        <w:tab/>
        <w:t>b) VEÍCULOS PESADOS E MÁQUINAS - Sistema TRAZVALOR/ TEMPARIO ou similar</w:t>
      </w:r>
    </w:p>
    <w:p>
      <w:pPr>
        <w:pStyle w:val="LO-normal"/>
        <w:spacing w:lineRule="auto" w:line="360"/>
        <w:jc w:val="both"/>
        <w:rPr>
          <w:rFonts w:ascii="Arial" w:hAnsi="Arial" w:cs="Arial"/>
          <w:sz w:val="22"/>
          <w:szCs w:val="22"/>
        </w:rPr>
      </w:pPr>
      <w:r>
        <w:rPr>
          <w:rFonts w:eastAsia="Arial" w:cs="Arial" w:ascii="Arial" w:hAnsi="Arial"/>
          <w:sz w:val="22"/>
          <w:szCs w:val="22"/>
        </w:rPr>
        <w:tab/>
        <w:t xml:space="preserve">* Deverá ser fornecido pela CONTRATADA à CONTRATANTE no mínimo 03 (três) </w:t>
        <w:tab/>
        <w:t>pontos de acesso ao sistema escolhido como a base de desconto.</w:t>
      </w:r>
    </w:p>
    <w:p>
      <w:pPr>
        <w:pStyle w:val="ListNumber3"/>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3.1.3 - O percentual de desconto ofertado permanecerá fixo e irreajustável.</w:t>
      </w:r>
    </w:p>
    <w:p>
      <w:pPr>
        <w:pStyle w:val="ListNumber3"/>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 xml:space="preserve">3.1.4 - Excepcionalmente, caso o veículo a sofrer manutenção não constar na tabela de referência selecionada, serão solicitados 3 (três) orçamentos para composição de preços </w:t>
        <w:tab/>
        <w:t>de peças, sendo o de menor valor adotado para pagamento ao licitante de forma integral, ou seja, sem desconto a ser aplicado.</w:t>
      </w:r>
    </w:p>
    <w:p>
      <w:pPr>
        <w:pStyle w:val="ListNumber3"/>
        <w:numPr>
          <w:ilvl w:val="0"/>
          <w:numId w:val="0"/>
        </w:numPr>
        <w:spacing w:lineRule="auto" w:line="360"/>
        <w:ind w:left="0" w:hanging="0"/>
        <w:jc w:val="both"/>
        <w:rPr>
          <w:rFonts w:ascii="Arial" w:hAnsi="Arial" w:eastAsia="Arial" w:cs="Arial"/>
          <w:sz w:val="22"/>
          <w:szCs w:val="22"/>
        </w:rPr>
      </w:pPr>
      <w:r>
        <w:rPr>
          <w:rFonts w:eastAsia="Arial" w:cs="Arial" w:ascii="Arial" w:hAnsi="Arial"/>
          <w:sz w:val="22"/>
          <w:szCs w:val="22"/>
        </w:rPr>
        <w:t>3.1.5 - Modelo de apresentação da proposta:</w:t>
      </w:r>
    </w:p>
    <w:p>
      <w:pPr>
        <w:pStyle w:val="ListNumber3"/>
        <w:numPr>
          <w:ilvl w:val="0"/>
          <w:numId w:val="0"/>
        </w:numPr>
        <w:spacing w:lineRule="auto" w:line="360"/>
        <w:ind w:left="0" w:hanging="0"/>
        <w:jc w:val="both"/>
        <w:rPr>
          <w:rFonts w:ascii="Arial" w:hAnsi="Arial" w:eastAsia="Arial" w:cs="Arial"/>
          <w:sz w:val="22"/>
          <w:szCs w:val="22"/>
        </w:rPr>
      </w:pPr>
      <w:r>
        <w:rPr>
          <w:rFonts w:eastAsia="Arial" w:cs="Arial" w:ascii="Arial" w:hAnsi="Arial"/>
          <w:sz w:val="22"/>
          <w:szCs w:val="22"/>
        </w:rPr>
      </w:r>
    </w:p>
    <w:tbl>
      <w:tblPr>
        <w:tblW w:w="7560"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2999"/>
        <w:gridCol w:w="2280"/>
        <w:gridCol w:w="2281"/>
      </w:tblGrid>
      <w:tr>
        <w:trPr>
          <w:trHeight w:val="300" w:hRule="atLeast"/>
        </w:trPr>
        <w:tc>
          <w:tcPr>
            <w:tcW w:w="7560" w:type="dxa"/>
            <w:gridSpan w:val="3"/>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LO-normal"/>
              <w:widowControl w:val="false"/>
              <w:spacing w:lineRule="auto" w:line="360"/>
              <w:jc w:val="both"/>
              <w:rPr>
                <w:rFonts w:ascii="Arial" w:hAnsi="Arial" w:cs="Arial"/>
                <w:sz w:val="18"/>
                <w:szCs w:val="18"/>
              </w:rPr>
            </w:pPr>
            <w:r>
              <w:rPr>
                <w:rFonts w:eastAsia="Arial" w:cs="Arial" w:ascii="Arial" w:hAnsi="Arial"/>
                <w:b/>
                <w:sz w:val="18"/>
                <w:szCs w:val="18"/>
              </w:rPr>
              <w:t xml:space="preserve">LOTE </w:t>
            </w:r>
          </w:p>
        </w:tc>
      </w:tr>
      <w:tr>
        <w:trPr>
          <w:trHeight w:val="300" w:hRule="atLeast"/>
        </w:trPr>
        <w:tc>
          <w:tcPr>
            <w:tcW w:w="7560" w:type="dxa"/>
            <w:gridSpan w:val="3"/>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LO-normal"/>
              <w:widowControl w:val="false"/>
              <w:spacing w:lineRule="auto" w:line="360"/>
              <w:jc w:val="both"/>
              <w:rPr>
                <w:rFonts w:ascii="Arial" w:hAnsi="Arial" w:cs="Arial"/>
                <w:sz w:val="18"/>
                <w:szCs w:val="18"/>
              </w:rPr>
            </w:pPr>
            <w:r>
              <w:rPr>
                <w:rFonts w:eastAsia="Arial" w:cs="Arial" w:ascii="Arial" w:hAnsi="Arial"/>
                <w:b/>
                <w:sz w:val="18"/>
                <w:szCs w:val="18"/>
              </w:rPr>
              <w:t>PEÇAS PARA REPOSIÇÃO (B)</w:t>
            </w:r>
          </w:p>
        </w:tc>
      </w:tr>
      <w:tr>
        <w:trPr>
          <w:trHeight w:val="900" w:hRule="atLeast"/>
        </w:trPr>
        <w:tc>
          <w:tcPr>
            <w:tcW w:w="2999" w:type="dxa"/>
            <w:tcBorders>
              <w:left w:val="single" w:sz="4" w:space="0" w:color="000000"/>
              <w:bottom w:val="single" w:sz="4" w:space="0" w:color="000000"/>
              <w:right w:val="single" w:sz="4" w:space="0" w:color="000000"/>
            </w:tcBorders>
            <w:shd w:color="auto" w:fill="FFFFFF" w:val="clear"/>
            <w:vAlign w:val="center"/>
          </w:tcPr>
          <w:p>
            <w:pPr>
              <w:pStyle w:val="LO-normal"/>
              <w:widowControl w:val="false"/>
              <w:spacing w:lineRule="auto" w:line="360"/>
              <w:jc w:val="center"/>
              <w:rPr>
                <w:rFonts w:ascii="Arial" w:hAnsi="Arial" w:eastAsia="Arial" w:cs="Arial"/>
                <w:sz w:val="18"/>
                <w:szCs w:val="18"/>
              </w:rPr>
            </w:pPr>
            <w:r>
              <w:rPr>
                <w:rFonts w:eastAsia="Arial" w:cs="Arial" w:ascii="Arial" w:hAnsi="Arial"/>
                <w:sz w:val="18"/>
                <w:szCs w:val="18"/>
              </w:rPr>
              <w:t>VALOR ESTIMADO PARA FORNECIMENTO DE PEÇAS</w:t>
            </w:r>
          </w:p>
          <w:p>
            <w:pPr>
              <w:pStyle w:val="LO-normal"/>
              <w:widowControl w:val="false"/>
              <w:spacing w:lineRule="auto" w:line="360"/>
              <w:jc w:val="center"/>
              <w:rPr>
                <w:rFonts w:ascii="Arial" w:hAnsi="Arial" w:cs="Arial"/>
                <w:sz w:val="18"/>
                <w:szCs w:val="18"/>
              </w:rPr>
            </w:pPr>
            <w:r>
              <w:rPr>
                <w:rFonts w:eastAsia="Arial" w:cs="Arial" w:ascii="Arial" w:hAnsi="Arial"/>
                <w:sz w:val="18"/>
                <w:szCs w:val="18"/>
              </w:rPr>
              <w:t>(c)</w:t>
            </w:r>
          </w:p>
        </w:tc>
        <w:tc>
          <w:tcPr>
            <w:tcW w:w="2280" w:type="dxa"/>
            <w:tcBorders>
              <w:bottom w:val="single" w:sz="4" w:space="0" w:color="000000"/>
              <w:right w:val="single" w:sz="4" w:space="0" w:color="000000"/>
            </w:tcBorders>
            <w:shd w:color="auto" w:fill="FFFFFF" w:val="clear"/>
            <w:vAlign w:val="center"/>
          </w:tcPr>
          <w:p>
            <w:pPr>
              <w:pStyle w:val="LO-normal"/>
              <w:widowControl w:val="false"/>
              <w:spacing w:lineRule="auto" w:line="360"/>
              <w:jc w:val="center"/>
              <w:rPr>
                <w:rFonts w:ascii="Arial" w:hAnsi="Arial" w:eastAsia="Arial" w:cs="Arial"/>
                <w:sz w:val="18"/>
                <w:szCs w:val="18"/>
              </w:rPr>
            </w:pPr>
            <w:r>
              <w:rPr>
                <w:rFonts w:eastAsia="Arial" w:cs="Arial" w:ascii="Arial" w:hAnsi="Arial"/>
                <w:sz w:val="18"/>
                <w:szCs w:val="18"/>
              </w:rPr>
              <w:t>Percentual de desconto sobre tabela correspondente</w:t>
            </w:r>
          </w:p>
          <w:p>
            <w:pPr>
              <w:pStyle w:val="LO-normal"/>
              <w:widowControl w:val="false"/>
              <w:spacing w:lineRule="auto" w:line="360"/>
              <w:jc w:val="center"/>
              <w:rPr>
                <w:rFonts w:ascii="Arial" w:hAnsi="Arial" w:cs="Arial"/>
                <w:sz w:val="18"/>
                <w:szCs w:val="18"/>
              </w:rPr>
            </w:pPr>
            <w:r>
              <w:rPr>
                <w:rFonts w:eastAsia="Arial" w:cs="Arial" w:ascii="Arial" w:hAnsi="Arial"/>
                <w:sz w:val="18"/>
                <w:szCs w:val="18"/>
              </w:rPr>
              <w:t>(d)</w:t>
            </w:r>
          </w:p>
        </w:tc>
        <w:tc>
          <w:tcPr>
            <w:tcW w:w="2281" w:type="dxa"/>
            <w:tcBorders>
              <w:bottom w:val="single" w:sz="4" w:space="0" w:color="000000"/>
              <w:right w:val="single" w:sz="4" w:space="0" w:color="000000"/>
            </w:tcBorders>
            <w:shd w:color="auto" w:fill="FFFFFF" w:val="clear"/>
            <w:vAlign w:val="center"/>
          </w:tcPr>
          <w:p>
            <w:pPr>
              <w:pStyle w:val="LO-normal"/>
              <w:widowControl w:val="false"/>
              <w:spacing w:lineRule="auto" w:line="360"/>
              <w:jc w:val="center"/>
              <w:rPr>
                <w:rFonts w:ascii="Arial" w:hAnsi="Arial" w:eastAsia="Arial" w:cs="Arial"/>
                <w:sz w:val="18"/>
                <w:szCs w:val="18"/>
              </w:rPr>
            </w:pPr>
            <w:r>
              <w:rPr>
                <w:rFonts w:eastAsia="Arial" w:cs="Arial" w:ascii="Arial" w:hAnsi="Arial"/>
                <w:sz w:val="18"/>
                <w:szCs w:val="18"/>
              </w:rPr>
              <w:t>Valor Total já com incidência do desconto –</w:t>
            </w:r>
          </w:p>
          <w:p>
            <w:pPr>
              <w:pStyle w:val="LO-normal"/>
              <w:widowControl w:val="false"/>
              <w:spacing w:lineRule="auto" w:line="360"/>
              <w:jc w:val="center"/>
              <w:rPr>
                <w:rFonts w:ascii="Arial" w:hAnsi="Arial" w:cs="Arial"/>
                <w:sz w:val="18"/>
                <w:szCs w:val="18"/>
              </w:rPr>
            </w:pPr>
            <w:r>
              <w:rPr>
                <w:rFonts w:eastAsia="Arial" w:cs="Arial" w:ascii="Arial" w:hAnsi="Arial"/>
                <w:sz w:val="18"/>
                <w:szCs w:val="18"/>
              </w:rPr>
              <w:t>R$ (c) - (d)</w:t>
            </w:r>
          </w:p>
        </w:tc>
      </w:tr>
      <w:tr>
        <w:trPr>
          <w:trHeight w:val="300" w:hRule="atLeast"/>
        </w:trPr>
        <w:tc>
          <w:tcPr>
            <w:tcW w:w="2999" w:type="dxa"/>
            <w:tcBorders>
              <w:left w:val="single" w:sz="4" w:space="0" w:color="000000"/>
              <w:bottom w:val="single" w:sz="4" w:space="0" w:color="000000"/>
              <w:right w:val="single" w:sz="4" w:space="0" w:color="000000"/>
            </w:tcBorders>
            <w:shd w:color="auto" w:fill="FFFFFF" w:val="clear"/>
            <w:vAlign w:val="center"/>
          </w:tcPr>
          <w:p>
            <w:pPr>
              <w:pStyle w:val="LO-normal"/>
              <w:widowControl w:val="false"/>
              <w:spacing w:lineRule="auto" w:line="360"/>
              <w:jc w:val="center"/>
              <w:rPr>
                <w:rFonts w:ascii="Arial" w:hAnsi="Arial" w:cs="Arial"/>
                <w:sz w:val="18"/>
                <w:szCs w:val="18"/>
              </w:rPr>
            </w:pPr>
            <w:r>
              <w:rPr>
                <w:rFonts w:eastAsia="Arial" w:cs="Arial" w:ascii="Arial" w:hAnsi="Arial"/>
                <w:sz w:val="18"/>
                <w:szCs w:val="18"/>
              </w:rPr>
              <w:t>R$ xxxxx</w:t>
            </w:r>
          </w:p>
        </w:tc>
        <w:tc>
          <w:tcPr>
            <w:tcW w:w="2280" w:type="dxa"/>
            <w:tcBorders>
              <w:bottom w:val="single" w:sz="4" w:space="0" w:color="000000"/>
              <w:right w:val="single" w:sz="4" w:space="0" w:color="000000"/>
            </w:tcBorders>
            <w:shd w:color="auto" w:fill="FFFFFF" w:val="clear"/>
            <w:vAlign w:val="center"/>
          </w:tcPr>
          <w:p>
            <w:pPr>
              <w:pStyle w:val="LO-normal"/>
              <w:widowControl w:val="false"/>
              <w:spacing w:lineRule="auto" w:line="360"/>
              <w:jc w:val="center"/>
              <w:rPr>
                <w:rFonts w:ascii="Arial" w:hAnsi="Arial" w:cs="Arial"/>
                <w:sz w:val="18"/>
                <w:szCs w:val="18"/>
              </w:rPr>
            </w:pPr>
            <w:r>
              <w:rPr>
                <w:rFonts w:cs="Arial" w:ascii="Arial" w:hAnsi="Arial"/>
                <w:sz w:val="18"/>
                <w:szCs w:val="18"/>
              </w:rPr>
              <w:t>(%)</w:t>
            </w:r>
          </w:p>
        </w:tc>
        <w:tc>
          <w:tcPr>
            <w:tcW w:w="2281" w:type="dxa"/>
            <w:tcBorders>
              <w:bottom w:val="single" w:sz="4" w:space="0" w:color="000000"/>
              <w:right w:val="single" w:sz="4" w:space="0" w:color="000000"/>
            </w:tcBorders>
            <w:shd w:color="auto" w:fill="FFFF00" w:val="clear"/>
            <w:vAlign w:val="center"/>
          </w:tcPr>
          <w:p>
            <w:pPr>
              <w:pStyle w:val="LO-normal"/>
              <w:widowControl w:val="false"/>
              <w:spacing w:lineRule="auto" w:line="360"/>
              <w:jc w:val="center"/>
              <w:rPr>
                <w:rFonts w:ascii="Arial" w:hAnsi="Arial" w:cs="Arial"/>
                <w:sz w:val="18"/>
                <w:szCs w:val="18"/>
              </w:rPr>
            </w:pPr>
            <w:r>
              <w:rPr>
                <w:rFonts w:eastAsia="Arial" w:cs="Arial" w:ascii="Arial" w:hAnsi="Arial"/>
                <w:sz w:val="18"/>
                <w:szCs w:val="18"/>
              </w:rPr>
              <w:t>(</w:t>
            </w:r>
            <w:r>
              <w:rPr>
                <w:rFonts w:eastAsia="Arial" w:cs="Arial" w:ascii="Arial" w:hAnsi="Arial"/>
                <w:sz w:val="18"/>
                <w:szCs w:val="18"/>
                <w:shd w:fill="FFFF00" w:val="clear"/>
              </w:rPr>
              <w:t>B)</w:t>
            </w:r>
          </w:p>
        </w:tc>
      </w:tr>
      <w:tr>
        <w:trPr>
          <w:trHeight w:val="300" w:hRule="atLeast"/>
        </w:trPr>
        <w:tc>
          <w:tcPr>
            <w:tcW w:w="7560" w:type="dxa"/>
            <w:gridSpan w:val="3"/>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LO-normal"/>
              <w:widowControl w:val="false"/>
              <w:spacing w:lineRule="auto" w:line="360"/>
              <w:jc w:val="center"/>
              <w:rPr>
                <w:rFonts w:ascii="Arial" w:hAnsi="Arial" w:cs="Arial"/>
                <w:sz w:val="18"/>
                <w:szCs w:val="18"/>
              </w:rPr>
            </w:pPr>
            <w:r>
              <w:rPr>
                <w:rFonts w:eastAsia="Arial" w:cs="Arial" w:ascii="Arial" w:hAnsi="Arial"/>
                <w:b/>
                <w:sz w:val="18"/>
                <w:szCs w:val="18"/>
              </w:rPr>
              <w:t>SERVIÇOS MECÂNICOS - VEÍCULO PESADO (A)</w:t>
            </w:r>
          </w:p>
        </w:tc>
      </w:tr>
      <w:tr>
        <w:trPr>
          <w:trHeight w:val="600" w:hRule="atLeast"/>
        </w:trPr>
        <w:tc>
          <w:tcPr>
            <w:tcW w:w="2999" w:type="dxa"/>
            <w:tcBorders>
              <w:left w:val="single" w:sz="4" w:space="0" w:color="000000"/>
              <w:bottom w:val="single" w:sz="4" w:space="0" w:color="000000"/>
              <w:right w:val="single" w:sz="4" w:space="0" w:color="000000"/>
            </w:tcBorders>
            <w:shd w:color="auto" w:fill="FFFFFF" w:val="clear"/>
            <w:vAlign w:val="center"/>
          </w:tcPr>
          <w:p>
            <w:pPr>
              <w:pStyle w:val="LO-normal"/>
              <w:widowControl w:val="false"/>
              <w:spacing w:lineRule="auto" w:line="360"/>
              <w:jc w:val="center"/>
              <w:rPr>
                <w:rFonts w:ascii="Arial" w:hAnsi="Arial" w:eastAsia="Arial" w:cs="Arial"/>
                <w:sz w:val="18"/>
                <w:szCs w:val="18"/>
              </w:rPr>
            </w:pPr>
            <w:r>
              <w:rPr>
                <w:rFonts w:eastAsia="Arial" w:cs="Arial" w:ascii="Arial" w:hAnsi="Arial"/>
                <w:sz w:val="18"/>
                <w:szCs w:val="18"/>
              </w:rPr>
              <w:t>Quantidade estimada de horas</w:t>
            </w:r>
          </w:p>
          <w:p>
            <w:pPr>
              <w:pStyle w:val="LO-normal"/>
              <w:widowControl w:val="false"/>
              <w:spacing w:lineRule="auto" w:line="360"/>
              <w:jc w:val="center"/>
              <w:rPr>
                <w:rFonts w:ascii="Arial" w:hAnsi="Arial" w:cs="Arial"/>
                <w:sz w:val="18"/>
                <w:szCs w:val="18"/>
              </w:rPr>
            </w:pPr>
            <w:r>
              <w:rPr>
                <w:rFonts w:eastAsia="Arial" w:cs="Arial" w:ascii="Arial" w:hAnsi="Arial"/>
                <w:sz w:val="18"/>
                <w:szCs w:val="18"/>
              </w:rPr>
              <w:t>(a)</w:t>
            </w:r>
          </w:p>
        </w:tc>
        <w:tc>
          <w:tcPr>
            <w:tcW w:w="2280" w:type="dxa"/>
            <w:tcBorders>
              <w:bottom w:val="single" w:sz="4" w:space="0" w:color="000000"/>
              <w:right w:val="single" w:sz="4" w:space="0" w:color="000000"/>
            </w:tcBorders>
            <w:shd w:color="auto" w:fill="FFFFFF" w:val="clear"/>
            <w:vAlign w:val="center"/>
          </w:tcPr>
          <w:p>
            <w:pPr>
              <w:pStyle w:val="LO-normal"/>
              <w:widowControl w:val="false"/>
              <w:spacing w:lineRule="auto" w:line="360"/>
              <w:jc w:val="center"/>
              <w:rPr>
                <w:rFonts w:ascii="Arial" w:hAnsi="Arial" w:eastAsia="Arial" w:cs="Arial"/>
                <w:sz w:val="18"/>
                <w:szCs w:val="18"/>
              </w:rPr>
            </w:pPr>
            <w:r>
              <w:rPr>
                <w:rFonts w:eastAsia="Arial" w:cs="Arial" w:ascii="Arial" w:hAnsi="Arial"/>
                <w:sz w:val="18"/>
                <w:szCs w:val="18"/>
              </w:rPr>
              <w:t>Valor Unitário/horas</w:t>
            </w:r>
          </w:p>
          <w:p>
            <w:pPr>
              <w:pStyle w:val="LO-normal"/>
              <w:widowControl w:val="false"/>
              <w:spacing w:lineRule="auto" w:line="360"/>
              <w:jc w:val="center"/>
              <w:rPr>
                <w:rFonts w:ascii="Arial" w:hAnsi="Arial" w:cs="Arial"/>
                <w:sz w:val="18"/>
                <w:szCs w:val="18"/>
              </w:rPr>
            </w:pPr>
            <w:r>
              <w:rPr>
                <w:rFonts w:eastAsia="Arial" w:cs="Arial" w:ascii="Arial" w:hAnsi="Arial"/>
                <w:sz w:val="18"/>
                <w:szCs w:val="18"/>
              </w:rPr>
              <w:t>(b)</w:t>
            </w:r>
          </w:p>
        </w:tc>
        <w:tc>
          <w:tcPr>
            <w:tcW w:w="2281" w:type="dxa"/>
            <w:tcBorders>
              <w:bottom w:val="single" w:sz="4" w:space="0" w:color="000000"/>
              <w:right w:val="single" w:sz="4" w:space="0" w:color="000000"/>
            </w:tcBorders>
            <w:shd w:color="auto" w:fill="FFFFFF" w:val="clear"/>
            <w:vAlign w:val="center"/>
          </w:tcPr>
          <w:p>
            <w:pPr>
              <w:pStyle w:val="LO-normal"/>
              <w:widowControl w:val="false"/>
              <w:spacing w:lineRule="auto" w:line="360"/>
              <w:jc w:val="center"/>
              <w:rPr>
                <w:rFonts w:ascii="Arial" w:hAnsi="Arial" w:cs="Arial"/>
                <w:sz w:val="18"/>
                <w:szCs w:val="18"/>
              </w:rPr>
            </w:pPr>
            <w:r>
              <w:rPr>
                <w:rFonts w:eastAsia="Arial" w:cs="Arial" w:ascii="Arial" w:hAnsi="Arial"/>
                <w:sz w:val="18"/>
                <w:szCs w:val="18"/>
              </w:rPr>
              <w:t>Valor Total (a) x (b)</w:t>
            </w:r>
          </w:p>
        </w:tc>
      </w:tr>
      <w:tr>
        <w:trPr>
          <w:trHeight w:val="300" w:hRule="atLeast"/>
        </w:trPr>
        <w:tc>
          <w:tcPr>
            <w:tcW w:w="2999" w:type="dxa"/>
            <w:tcBorders>
              <w:left w:val="single" w:sz="4" w:space="0" w:color="000000"/>
              <w:bottom w:val="single" w:sz="4" w:space="0" w:color="000000"/>
              <w:right w:val="single" w:sz="4" w:space="0" w:color="000000"/>
            </w:tcBorders>
            <w:shd w:color="auto" w:fill="FFFFFF" w:val="clear"/>
            <w:vAlign w:val="center"/>
          </w:tcPr>
          <w:p>
            <w:pPr>
              <w:pStyle w:val="LO-normal"/>
              <w:widowControl w:val="false"/>
              <w:spacing w:lineRule="auto" w:line="360"/>
              <w:jc w:val="center"/>
              <w:rPr>
                <w:rFonts w:ascii="Arial" w:hAnsi="Arial" w:cs="Arial"/>
                <w:sz w:val="18"/>
                <w:szCs w:val="18"/>
              </w:rPr>
            </w:pPr>
            <w:r>
              <w:rPr>
                <w:rFonts w:eastAsia="Arial" w:cs="Arial" w:ascii="Arial" w:hAnsi="Arial"/>
                <w:sz w:val="18"/>
                <w:szCs w:val="18"/>
              </w:rPr>
              <w:t>xxxx horas</w:t>
            </w:r>
          </w:p>
        </w:tc>
        <w:tc>
          <w:tcPr>
            <w:tcW w:w="2280" w:type="dxa"/>
            <w:tcBorders>
              <w:bottom w:val="single" w:sz="4" w:space="0" w:color="000000"/>
              <w:right w:val="single" w:sz="4" w:space="0" w:color="000000"/>
            </w:tcBorders>
            <w:shd w:color="auto" w:fill="FFFFFF" w:val="clear"/>
            <w:vAlign w:val="center"/>
          </w:tcPr>
          <w:p>
            <w:pPr>
              <w:pStyle w:val="LO-normal"/>
              <w:widowControl w:val="false"/>
              <w:spacing w:lineRule="auto" w:line="360"/>
              <w:jc w:val="center"/>
              <w:rPr>
                <w:rFonts w:ascii="Arial" w:hAnsi="Arial" w:cs="Arial"/>
                <w:sz w:val="18"/>
                <w:szCs w:val="18"/>
              </w:rPr>
            </w:pPr>
            <w:r>
              <w:rPr>
                <w:rFonts w:cs="Arial" w:ascii="Arial" w:hAnsi="Arial"/>
                <w:sz w:val="18"/>
                <w:szCs w:val="18"/>
              </w:rPr>
              <w:t>R$ xx</w:t>
            </w:r>
          </w:p>
        </w:tc>
        <w:tc>
          <w:tcPr>
            <w:tcW w:w="2281" w:type="dxa"/>
            <w:tcBorders>
              <w:bottom w:val="single" w:sz="4" w:space="0" w:color="000000"/>
              <w:right w:val="single" w:sz="4" w:space="0" w:color="000000"/>
            </w:tcBorders>
            <w:shd w:color="auto" w:fill="FFFF00" w:val="clear"/>
            <w:vAlign w:val="center"/>
          </w:tcPr>
          <w:p>
            <w:pPr>
              <w:pStyle w:val="LO-normal"/>
              <w:widowControl w:val="false"/>
              <w:spacing w:lineRule="auto" w:line="360"/>
              <w:jc w:val="center"/>
              <w:rPr>
                <w:rFonts w:ascii="Arial" w:hAnsi="Arial" w:cs="Arial"/>
                <w:sz w:val="18"/>
                <w:szCs w:val="18"/>
                <w:highlight w:val="yellow"/>
              </w:rPr>
            </w:pPr>
            <w:r>
              <w:rPr>
                <w:rFonts w:eastAsia="Arial" w:cs="Arial" w:ascii="Arial" w:hAnsi="Arial"/>
                <w:sz w:val="18"/>
                <w:szCs w:val="18"/>
                <w:highlight w:val="yellow"/>
              </w:rPr>
              <w:t>(A)</w:t>
            </w:r>
          </w:p>
        </w:tc>
      </w:tr>
      <w:tr>
        <w:trPr>
          <w:trHeight w:val="300" w:hRule="atLeast"/>
        </w:trPr>
        <w:tc>
          <w:tcPr>
            <w:tcW w:w="5279"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LO-normal"/>
              <w:widowControl w:val="false"/>
              <w:spacing w:lineRule="auto" w:line="360"/>
              <w:jc w:val="center"/>
              <w:rPr>
                <w:rFonts w:ascii="Arial" w:hAnsi="Arial" w:cs="Arial"/>
                <w:sz w:val="18"/>
                <w:szCs w:val="18"/>
              </w:rPr>
            </w:pPr>
            <w:r>
              <w:rPr>
                <w:rFonts w:eastAsia="Arial" w:cs="Arial" w:ascii="Arial" w:hAnsi="Arial"/>
                <w:b/>
                <w:sz w:val="18"/>
                <w:szCs w:val="18"/>
              </w:rPr>
              <w:t>VALOR TOTAL DO LOTE 01</w:t>
            </w:r>
          </w:p>
        </w:tc>
        <w:tc>
          <w:tcPr>
            <w:tcW w:w="2281" w:type="dxa"/>
            <w:tcBorders>
              <w:bottom w:val="single" w:sz="4" w:space="0" w:color="000000"/>
              <w:right w:val="single" w:sz="4" w:space="0" w:color="000000"/>
            </w:tcBorders>
            <w:shd w:color="auto" w:fill="FFFFFF" w:val="clear"/>
            <w:vAlign w:val="center"/>
          </w:tcPr>
          <w:p>
            <w:pPr>
              <w:pStyle w:val="LO-normal"/>
              <w:widowControl w:val="false"/>
              <w:spacing w:lineRule="auto" w:line="360"/>
              <w:jc w:val="center"/>
              <w:rPr>
                <w:rFonts w:ascii="Arial" w:hAnsi="Arial" w:cs="Arial"/>
                <w:sz w:val="18"/>
                <w:szCs w:val="18"/>
              </w:rPr>
            </w:pPr>
            <w:r>
              <w:rPr>
                <w:rFonts w:eastAsia="Arial" w:cs="Arial" w:ascii="Arial" w:hAnsi="Arial"/>
                <w:b/>
                <w:sz w:val="18"/>
                <w:szCs w:val="18"/>
              </w:rPr>
              <w:t>(A) + (B)</w:t>
            </w:r>
          </w:p>
        </w:tc>
      </w:tr>
    </w:tbl>
    <w:p>
      <w:pPr>
        <w:pStyle w:val="LO-normal"/>
        <w:spacing w:lineRule="auto" w:line="360"/>
        <w:jc w:val="both"/>
        <w:rPr>
          <w:rFonts w:ascii="Arial" w:hAnsi="Arial" w:eastAsia="Arial" w:cs="Arial"/>
          <w:sz w:val="22"/>
          <w:szCs w:val="22"/>
        </w:rPr>
      </w:pPr>
      <w:r>
        <w:rPr>
          <w:rFonts w:eastAsia="Arial" w:cs="Arial" w:ascii="Arial" w:hAnsi="Arial"/>
          <w:sz w:val="22"/>
          <w:szCs w:val="22"/>
        </w:rPr>
      </w:r>
    </w:p>
    <w:p>
      <w:pPr>
        <w:pStyle w:val="Corpodotexto"/>
        <w:spacing w:lineRule="auto" w:line="360" w:before="0" w:after="0"/>
        <w:jc w:val="both"/>
        <w:rPr>
          <w:rFonts w:ascii="Arial" w:hAnsi="Arial" w:cs="Arial"/>
          <w:sz w:val="22"/>
          <w:szCs w:val="22"/>
        </w:rPr>
      </w:pPr>
      <w:r>
        <w:rPr>
          <w:rFonts w:eastAsia="Arial" w:cs="Arial" w:ascii="Arial" w:hAnsi="Arial"/>
          <w:b/>
          <w:sz w:val="22"/>
          <w:szCs w:val="22"/>
        </w:rPr>
        <w:t>4 – DA TERMINOLOGIA</w:t>
      </w:r>
    </w:p>
    <w:p>
      <w:pPr>
        <w:pStyle w:val="Corpodotexto"/>
        <w:spacing w:lineRule="auto" w:line="360" w:before="0" w:after="0"/>
        <w:jc w:val="both"/>
        <w:rPr>
          <w:rFonts w:ascii="Arial" w:hAnsi="Arial" w:cs="Arial"/>
          <w:sz w:val="22"/>
          <w:szCs w:val="22"/>
        </w:rPr>
      </w:pPr>
      <w:r>
        <w:rPr>
          <w:rFonts w:eastAsia="Arial" w:cs="Arial" w:ascii="Arial" w:hAnsi="Arial"/>
          <w:sz w:val="22"/>
          <w:szCs w:val="22"/>
        </w:rPr>
        <w:t xml:space="preserve">4.1 - </w:t>
        <w:tab/>
        <w:t xml:space="preserve">Para o fiel cumprimento dos serviços contratados, serão adotadas as seguintes </w:t>
        <w:tab/>
        <w:t xml:space="preserve">definições: </w:t>
      </w:r>
    </w:p>
    <w:p>
      <w:pPr>
        <w:pStyle w:val="Corpodotexto"/>
        <w:spacing w:lineRule="auto" w:line="360" w:before="0" w:after="0"/>
        <w:jc w:val="both"/>
        <w:rPr>
          <w:rFonts w:ascii="Arial" w:hAnsi="Arial" w:cs="Arial"/>
          <w:sz w:val="22"/>
          <w:szCs w:val="22"/>
        </w:rPr>
      </w:pPr>
      <w:r>
        <w:rPr>
          <w:rFonts w:eastAsia="Arial" w:cs="Arial" w:ascii="Arial" w:hAnsi="Arial"/>
          <w:sz w:val="22"/>
          <w:szCs w:val="22"/>
        </w:rPr>
        <w:t xml:space="preserve">a) </w:t>
      </w:r>
      <w:r>
        <w:rPr>
          <w:rFonts w:eastAsia="Arial" w:cs="Arial" w:ascii="Arial" w:hAnsi="Arial"/>
          <w:sz w:val="22"/>
          <w:szCs w:val="22"/>
          <w:u w:val="single"/>
        </w:rPr>
        <w:t>Manutenção</w:t>
      </w:r>
      <w:r>
        <w:rPr>
          <w:rFonts w:eastAsia="Arial" w:cs="Arial" w:ascii="Arial" w:hAnsi="Arial"/>
          <w:sz w:val="22"/>
          <w:szCs w:val="22"/>
        </w:rPr>
        <w:t>: conjunto de atividades realizadas com a finalidade de conservar ou recolocar o veículo em condições ideais de funcionamento, por meio de manutenções periódicas preventiva e corretivas.</w:t>
      </w:r>
    </w:p>
    <w:p>
      <w:pPr>
        <w:pStyle w:val="Corpodotexto"/>
        <w:spacing w:lineRule="auto" w:line="360" w:before="0" w:after="0"/>
        <w:jc w:val="both"/>
        <w:rPr>
          <w:rFonts w:ascii="Arial" w:hAnsi="Arial" w:cs="Arial"/>
          <w:sz w:val="22"/>
          <w:szCs w:val="22"/>
        </w:rPr>
      </w:pPr>
      <w:r>
        <w:rPr>
          <w:rFonts w:eastAsia="Arial" w:cs="Arial" w:ascii="Arial" w:hAnsi="Arial"/>
          <w:sz w:val="22"/>
          <w:szCs w:val="22"/>
        </w:rPr>
        <w:t xml:space="preserve">b) </w:t>
      </w:r>
      <w:r>
        <w:rPr>
          <w:rFonts w:eastAsia="Arial" w:cs="Arial" w:ascii="Arial" w:hAnsi="Arial"/>
          <w:sz w:val="22"/>
          <w:szCs w:val="22"/>
          <w:u w:val="single"/>
        </w:rPr>
        <w:t>Manutenção preventiva (periódica)</w:t>
      </w:r>
      <w:r>
        <w:rPr>
          <w:rFonts w:eastAsia="Arial" w:cs="Arial" w:ascii="Arial" w:hAnsi="Arial"/>
          <w:sz w:val="22"/>
          <w:szCs w:val="22"/>
        </w:rPr>
        <w:t xml:space="preserve">: sistemática regular de revisões com o intuito de proporcionar as melhores condições de desempenho do veículo no tocante ao seu funcionamento, rendimento e segurança, contemplando a prevenção de defeitos que possam resultar na indisponibilidade do mesmo. Devem obedecer às determinações </w:t>
        <w:tab/>
        <w:t xml:space="preserve">existentes no manual de cada fabricante. Todos os serviços deverão ser feitos mediante </w:t>
        <w:tab/>
        <w:t>prévia autorização do Gestor do Contrato.</w:t>
      </w:r>
    </w:p>
    <w:p>
      <w:pPr>
        <w:pStyle w:val="Corpodotexto"/>
        <w:spacing w:lineRule="auto" w:line="360" w:before="0" w:after="0"/>
        <w:jc w:val="both"/>
        <w:rPr>
          <w:rFonts w:ascii="Arial" w:hAnsi="Arial" w:cs="Arial"/>
          <w:sz w:val="22"/>
          <w:szCs w:val="22"/>
        </w:rPr>
      </w:pPr>
      <w:r>
        <w:rPr>
          <w:rFonts w:eastAsia="Arial" w:cs="Arial" w:ascii="Arial" w:hAnsi="Arial"/>
          <w:sz w:val="22"/>
          <w:szCs w:val="22"/>
        </w:rPr>
        <w:t xml:space="preserve">c) </w:t>
      </w:r>
      <w:r>
        <w:rPr>
          <w:rFonts w:eastAsia="Arial" w:cs="Arial" w:ascii="Arial" w:hAnsi="Arial"/>
          <w:sz w:val="22"/>
          <w:szCs w:val="22"/>
          <w:u w:val="single"/>
        </w:rPr>
        <w:t>Manutenção corretiva</w:t>
      </w:r>
      <w:r>
        <w:rPr>
          <w:rFonts w:eastAsia="Arial" w:cs="Arial" w:ascii="Arial" w:hAnsi="Arial"/>
          <w:sz w:val="22"/>
          <w:szCs w:val="22"/>
        </w:rPr>
        <w:t xml:space="preserve">: atividade que visa tornar operacional o veículo ocasionalmente desativado ou com funcionamento debilitado em razão de defeitos e desgastes </w:t>
        <w:tab/>
        <w:t>originados pelo uso ou outra falha Todos os serviços deverão ser feitos mediante prévia autorização do Gestor do Contrato.</w:t>
      </w:r>
    </w:p>
    <w:p>
      <w:pPr>
        <w:pStyle w:val="LO-normal"/>
        <w:spacing w:lineRule="auto" w:line="360"/>
        <w:jc w:val="both"/>
        <w:rPr>
          <w:rFonts w:ascii="Arial" w:hAnsi="Arial" w:eastAsia="Arial" w:cs="Arial"/>
          <w:b/>
          <w:sz w:val="22"/>
          <w:szCs w:val="22"/>
        </w:rPr>
      </w:pPr>
      <w:r>
        <w:rPr>
          <w:rFonts w:eastAsia="Arial" w:cs="Arial" w:ascii="Arial" w:hAnsi="Arial"/>
          <w:b/>
          <w:sz w:val="22"/>
          <w:szCs w:val="22"/>
        </w:rPr>
      </w:r>
    </w:p>
    <w:p>
      <w:pPr>
        <w:pStyle w:val="Corpodotexto"/>
        <w:numPr>
          <w:ilvl w:val="0"/>
          <w:numId w:val="20"/>
        </w:numPr>
        <w:spacing w:lineRule="auto" w:line="360" w:before="0" w:after="0"/>
        <w:jc w:val="both"/>
        <w:rPr>
          <w:rFonts w:ascii="Arial" w:hAnsi="Arial" w:cs="Arial"/>
          <w:sz w:val="22"/>
          <w:szCs w:val="22"/>
        </w:rPr>
      </w:pPr>
      <w:r>
        <w:rPr>
          <w:rFonts w:eastAsia="Arial" w:cs="Arial" w:ascii="Arial" w:hAnsi="Arial"/>
          <w:b/>
          <w:sz w:val="22"/>
          <w:szCs w:val="22"/>
        </w:rPr>
        <w:t xml:space="preserve">– </w:t>
      </w:r>
      <w:r>
        <w:rPr>
          <w:rFonts w:eastAsia="Arial" w:cs="Arial" w:ascii="Arial" w:hAnsi="Arial"/>
          <w:b/>
          <w:sz w:val="22"/>
          <w:szCs w:val="22"/>
        </w:rPr>
        <w:t>FORMA DE PRESTAÇÃO DOS SERVIÇOS</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 xml:space="preserve">5.1 - </w:t>
        <w:tab/>
        <w:t xml:space="preserve">O serviço de manutenção veicular inclui, mão de obra referente à execução de </w:t>
        <w:tab/>
        <w:t xml:space="preserve">reparos, conservação e recuperação de veículos, com fornecimento de peças </w:t>
        <w:tab/>
        <w:t>novas, originais ou similares de primeira linha e sem uso prévio e materiais específicos a serem utilizados na prestação dos serviços.</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 xml:space="preserve">5.2 - </w:t>
        <w:tab/>
        <w:t>A CONTRATANTE através da Garagem Municipal, enviará o veículo para a oficina CONTRATADA, a qual terá o prazo de 48 (quarenta e oito) horas para elaboração de orçamento detalhado, incluindo os itens abaixo:</w:t>
      </w:r>
    </w:p>
    <w:p>
      <w:pPr>
        <w:pStyle w:val="Corpodotextorecuado"/>
        <w:spacing w:lineRule="auto" w:line="360"/>
        <w:ind w:hanging="0"/>
        <w:rPr>
          <w:rFonts w:ascii="Arial" w:hAnsi="Arial" w:cs="Arial"/>
          <w:sz w:val="22"/>
          <w:szCs w:val="22"/>
        </w:rPr>
      </w:pPr>
      <w:r>
        <w:rPr>
          <w:rFonts w:eastAsia="Arial" w:cs="Arial" w:ascii="Arial" w:hAnsi="Arial"/>
          <w:sz w:val="22"/>
          <w:szCs w:val="22"/>
        </w:rPr>
        <w:tab/>
        <w:t>a) Placa do Veículo</w:t>
      </w:r>
    </w:p>
    <w:p>
      <w:pPr>
        <w:pStyle w:val="Corpodotextorecuado"/>
        <w:spacing w:lineRule="auto" w:line="360"/>
        <w:ind w:hanging="0"/>
        <w:rPr>
          <w:rFonts w:ascii="Arial" w:hAnsi="Arial" w:cs="Arial"/>
          <w:sz w:val="22"/>
          <w:szCs w:val="22"/>
        </w:rPr>
      </w:pPr>
      <w:r>
        <w:rPr>
          <w:rFonts w:eastAsia="Arial" w:cs="Arial" w:ascii="Arial" w:hAnsi="Arial"/>
          <w:sz w:val="22"/>
          <w:szCs w:val="22"/>
        </w:rPr>
        <w:tab/>
        <w:t>b) Marca e modelo</w:t>
      </w:r>
    </w:p>
    <w:p>
      <w:pPr>
        <w:pStyle w:val="ListNumber"/>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ab/>
        <w:t>c) Quilometragem</w:t>
      </w:r>
    </w:p>
    <w:p>
      <w:pPr>
        <w:pStyle w:val="ListNumber"/>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 xml:space="preserve">           </w:t>
      </w:r>
      <w:r>
        <w:rPr>
          <w:rFonts w:eastAsia="Arial" w:cs="Arial" w:ascii="Arial" w:hAnsi="Arial"/>
          <w:sz w:val="22"/>
          <w:szCs w:val="22"/>
        </w:rPr>
        <w:t>d) Responsável por deixar o veículo na oficina</w:t>
      </w:r>
    </w:p>
    <w:p>
      <w:pPr>
        <w:pStyle w:val="Corpodotextorecuado"/>
        <w:spacing w:lineRule="auto" w:line="360"/>
        <w:ind w:hanging="0"/>
        <w:rPr>
          <w:rFonts w:ascii="Arial" w:hAnsi="Arial" w:cs="Arial"/>
          <w:sz w:val="22"/>
          <w:szCs w:val="22"/>
        </w:rPr>
      </w:pPr>
      <w:r>
        <w:rPr>
          <w:rFonts w:eastAsia="Arial" w:cs="Arial" w:ascii="Arial" w:hAnsi="Arial"/>
          <w:sz w:val="22"/>
          <w:szCs w:val="22"/>
        </w:rPr>
        <w:tab/>
        <w:t>e) Relato do problema que o veículo está apresentando</w:t>
      </w:r>
    </w:p>
    <w:p>
      <w:pPr>
        <w:pStyle w:val="Corpodotextorecuado"/>
        <w:spacing w:lineRule="auto" w:line="360"/>
        <w:ind w:hanging="0"/>
        <w:rPr>
          <w:rFonts w:ascii="Arial" w:hAnsi="Arial" w:cs="Arial"/>
          <w:sz w:val="22"/>
          <w:szCs w:val="22"/>
        </w:rPr>
      </w:pPr>
      <w:r>
        <w:rPr>
          <w:rFonts w:eastAsia="Arial" w:cs="Arial" w:ascii="Arial" w:hAnsi="Arial"/>
          <w:sz w:val="22"/>
          <w:szCs w:val="22"/>
        </w:rPr>
        <w:tab/>
        <w:t xml:space="preserve">f) Quantidade de horas necessárias para a prestação de serviços, conforme tabela de </w:t>
        <w:tab/>
        <w:t xml:space="preserve">referência da montadora, valor unitário da Hora Técnica de Manutenção (ofertado pela </w:t>
        <w:tab/>
        <w:t>CONTRATADA) e valor total da mão de obra;</w:t>
      </w:r>
    </w:p>
    <w:p>
      <w:pPr>
        <w:pStyle w:val="Corpodotextorecuado"/>
        <w:spacing w:lineRule="auto" w:line="360"/>
        <w:ind w:hanging="0"/>
        <w:rPr>
          <w:rFonts w:ascii="Arial" w:hAnsi="Arial" w:cs="Arial"/>
          <w:sz w:val="22"/>
          <w:szCs w:val="22"/>
        </w:rPr>
      </w:pPr>
      <w:r>
        <w:rPr>
          <w:rFonts w:eastAsia="Arial" w:cs="Arial" w:ascii="Arial" w:hAnsi="Arial"/>
          <w:sz w:val="22"/>
          <w:szCs w:val="22"/>
        </w:rPr>
        <w:tab/>
        <w:t xml:space="preserve">g) Relação de peças novas, originais ou similares de primeira linha e sem uso prévio, </w:t>
        <w:tab/>
        <w:t xml:space="preserve">além de materiais específicos a serem utilizados na execução dos serviços, com valor </w:t>
        <w:tab/>
        <w:t>unitário e valor de desconto ofertado na licitação.</w:t>
      </w:r>
    </w:p>
    <w:p>
      <w:pPr>
        <w:pStyle w:val="ListNumber3"/>
        <w:numPr>
          <w:ilvl w:val="0"/>
          <w:numId w:val="0"/>
        </w:numPr>
        <w:spacing w:lineRule="auto" w:line="360"/>
        <w:ind w:left="0" w:hanging="0"/>
        <w:jc w:val="both"/>
        <w:rPr>
          <w:rFonts w:ascii="Arial" w:hAnsi="Arial" w:eastAsia="Arial" w:cs="Arial"/>
          <w:sz w:val="22"/>
          <w:szCs w:val="22"/>
        </w:rPr>
      </w:pPr>
      <w:r>
        <w:rPr>
          <w:rFonts w:eastAsia="Arial" w:cs="Arial" w:ascii="Arial" w:hAnsi="Arial"/>
          <w:sz w:val="22"/>
          <w:szCs w:val="22"/>
        </w:rPr>
        <w:t xml:space="preserve">5.2.1 - O orçamento contendo todas as informações deverá ser encaminhado à CONTRATANTE através do e-mail: </w:t>
      </w:r>
      <w:hyperlink r:id="rId15">
        <w:r>
          <w:rPr>
            <w:rStyle w:val="LinkdaInternet"/>
            <w:rFonts w:eastAsia="Arial" w:cs="Arial" w:ascii="Arial" w:hAnsi="Arial"/>
            <w:sz w:val="22"/>
            <w:szCs w:val="22"/>
          </w:rPr>
          <w:t>garagemmunicipal@adm.itatiba.sp.gov.br</w:t>
        </w:r>
      </w:hyperlink>
    </w:p>
    <w:p>
      <w:pPr>
        <w:pStyle w:val="ListNumber2"/>
        <w:numPr>
          <w:ilvl w:val="0"/>
          <w:numId w:val="0"/>
        </w:numPr>
        <w:spacing w:lineRule="auto" w:line="360"/>
        <w:ind w:left="0" w:hanging="0"/>
        <w:jc w:val="both"/>
        <w:rPr>
          <w:rFonts w:ascii="Arial" w:hAnsi="Arial" w:eastAsia="Arial" w:cs="Arial"/>
          <w:sz w:val="22"/>
          <w:szCs w:val="22"/>
        </w:rPr>
      </w:pPr>
      <w:r>
        <w:rPr>
          <w:rFonts w:eastAsia="Arial" w:cs="Arial" w:ascii="Arial" w:hAnsi="Arial"/>
          <w:sz w:val="22"/>
          <w:szCs w:val="22"/>
        </w:rPr>
        <w:t>5.3 - A CONTRATANTE, após a análise do orçamento e conferência dos valores com a tabela de preços e tempo, autorizará ou não o orçamento, através do próprio e-mail.</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5.4 - Sendo autorizado o orçamento, o serviço deverá ser executado no prazo máximo de 05 (cinco) dias, sendo que só serão pagas as HORAS efetivamente TRABALHADAS no serviço e autorizadas.</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5.5 - As peças e acessórios, além de serem novos, originais ou similares de primeira linha e sem uso, deverão ter garantia de fábrica/montadora, e os serviços prestados deverão ter garantia expressa no orçamento da CONTRATADA.</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5.6 - As peças e acessórios substituídos pela CONTRATADA deverão ser apresentados ao CONTRATANTE, no ato do recebimento do veículo devidamente consertado.</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5.7 - A CONTRATADA deverá entregar o veículo na Garagem Municipal, e o serviço ser atestado no momento da entrega por funcionário autorizado ao recebimento.</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5.8 - O encaminhamento do veículo até as dependências da CONTRATADA será de responsabilidade do CONTRATANTE. Ainda:</w:t>
      </w:r>
    </w:p>
    <w:p>
      <w:pPr>
        <w:pStyle w:val="Corpodotextorecuado"/>
        <w:spacing w:lineRule="auto" w:line="360"/>
        <w:ind w:hanging="0"/>
        <w:rPr>
          <w:rFonts w:ascii="Arial" w:hAnsi="Arial" w:cs="Arial"/>
          <w:sz w:val="22"/>
          <w:szCs w:val="22"/>
        </w:rPr>
      </w:pPr>
      <w:r>
        <w:rPr>
          <w:rFonts w:eastAsia="Arial" w:cs="Arial" w:ascii="Arial" w:hAnsi="Arial"/>
          <w:sz w:val="22"/>
          <w:szCs w:val="22"/>
        </w:rPr>
        <w:tab/>
        <w:t xml:space="preserve">a) A CONTRATADA poderá dirigir os veículos do CONTRATANTE para a realização de </w:t>
        <w:tab/>
        <w:t xml:space="preserve">testes, com observância à legislação de trânsito e, sobretudo, contanto que o condutor </w:t>
        <w:tab/>
        <w:t>esteja habilitado, nos termos da Lei vigente;</w:t>
      </w:r>
    </w:p>
    <w:p>
      <w:pPr>
        <w:pStyle w:val="Corpodotextorecuado"/>
        <w:spacing w:lineRule="auto" w:line="360"/>
        <w:ind w:hanging="0"/>
        <w:rPr>
          <w:rFonts w:ascii="Arial" w:hAnsi="Arial" w:cs="Arial"/>
          <w:sz w:val="22"/>
          <w:szCs w:val="22"/>
        </w:rPr>
      </w:pPr>
      <w:r>
        <w:rPr>
          <w:rFonts w:eastAsia="Arial" w:cs="Arial" w:ascii="Arial" w:hAnsi="Arial"/>
          <w:sz w:val="22"/>
          <w:szCs w:val="22"/>
        </w:rPr>
        <w:tab/>
        <w:t xml:space="preserve">b) Caberá à CONTRATADA a responsabilidade financeira e pontuação pelas multas </w:t>
        <w:tab/>
        <w:t xml:space="preserve">aplicadas por infrações à legislação de trânsito, bem como por eventuais danos aos </w:t>
        <w:tab/>
        <w:t>veículos mantidos sob sua guarda;</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5.9 - Os serviços de retífica, serão executados no prazo máximo de 15 (quinze) dias úteis, salvo justificativa prévia por parte da CONTRATADA e aceitação pelo CONTRATANTE.</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5.10 - Os serviços de assistência técnica e manutenção deverão ser prestados de forma ininterrupta e, no mínimo, em dias úteis das 8h às 18h.</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5.11 - Verificados vícios, defeitos ou incorreções resultantes da execução ou de materiais empregados, a CONTRATADA deverá refazer, reparar, corrigir, remover, reconstruir ou substituir o que for necessário, às suas expensas, no prazo de 5 (cinco) dias úteis, prorrogáveis mediante justificativas e concordância do CONTRATANTE.</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5.12 - A CONTRATADA deverá fornecer números de telefone fixos e celulares ou quaisquer outras formas de comunicação com os responsáveis pelas equipes de manutenção veicular.</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5.13 - Os materiais de consumo utilizados nos reparos, dentre outros de uso corriqueiro, indispensáveis para manutenção dos veículos objeto deste termo, estão incluídos no valor do contrato e seu fornecimento não acarretará ônus ao CONTRATANTE.</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5.14 - Na hipótese de instalação inadequada de peça, componente ou acessório, a CONTRATADA deverá providenciar a imediata regularização, sem quaisquer ônus para o CONTRATANTE, no prazo de 5 (cinco) dias.</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5.15 - A CONTRATADA deverá manter registro das ocorrências em formulário próprio, onde conste, no mínimo, a identificação do veículo, a data da manutenção, horário de início e término dos serviços, nome do funcionário que efetuou os serviços, estado da carroceria do veículo, indicando os pontos em que houve algum dano, nível de tanque de combustível, quilometragem indicada no hodômetro, acessórios (rádio, antena, extintor, chave de roda, triângulo, macaco, etc.), sendo uma via entregue ao CONTRATANTE no ato da entrega do veículo e a outra na retirada.</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5.16 - A CONTRATADA deverá, após a manutenção, encaminhar ao Gestor do Contrato, no prazo máximo de 2 (dois) dias, relatório de assistência técnica, com todas as falhas do veículo, numeradas, contendo termos de abertura e encerramento do serviço, onde serão anotados os dados relevantes, discriminando todos os itens revisados, consertados e substituídos, e, ainda, os diagnósticos técnicos referentes aos problemas que ocasionaram tais defeitos.</w:t>
      </w:r>
    </w:p>
    <w:p>
      <w:pPr>
        <w:pStyle w:val="LO-normal"/>
        <w:spacing w:lineRule="auto" w:line="360"/>
        <w:jc w:val="both"/>
        <w:rPr>
          <w:rFonts w:ascii="Arial" w:hAnsi="Arial" w:eastAsia="Arial" w:cs="Arial"/>
          <w:sz w:val="22"/>
          <w:szCs w:val="22"/>
        </w:rPr>
      </w:pPr>
      <w:r>
        <w:rPr>
          <w:rFonts w:eastAsia="Arial" w:cs="Arial" w:ascii="Arial" w:hAnsi="Arial"/>
          <w:sz w:val="22"/>
          <w:szCs w:val="22"/>
        </w:rPr>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b/>
          <w:sz w:val="22"/>
          <w:szCs w:val="22"/>
        </w:rPr>
        <w:t>6 - DA ESPECIFICAÇÃO DOS SERVIÇOS</w:t>
      </w:r>
    </w:p>
    <w:p>
      <w:pPr>
        <w:pStyle w:val="LO-normal"/>
        <w:spacing w:lineRule="auto" w:line="360"/>
        <w:jc w:val="both"/>
        <w:rPr>
          <w:rFonts w:ascii="Arial" w:hAnsi="Arial" w:eastAsia="Arial" w:cs="Arial"/>
          <w:sz w:val="22"/>
          <w:szCs w:val="22"/>
        </w:rPr>
      </w:pPr>
      <w:r>
        <w:rPr>
          <w:rFonts w:eastAsia="Arial" w:cs="Arial" w:ascii="Arial" w:hAnsi="Arial"/>
          <w:sz w:val="22"/>
          <w:szCs w:val="22"/>
        </w:rPr>
      </w:r>
    </w:p>
    <w:p>
      <w:pPr>
        <w:pStyle w:val="ListNumber3"/>
        <w:numPr>
          <w:ilvl w:val="0"/>
          <w:numId w:val="0"/>
        </w:numPr>
        <w:spacing w:lineRule="auto" w:line="360"/>
        <w:ind w:left="0" w:hanging="0"/>
        <w:jc w:val="both"/>
        <w:rPr>
          <w:rFonts w:ascii="Arial" w:hAnsi="Arial" w:cs="Arial"/>
          <w:sz w:val="22"/>
          <w:szCs w:val="22"/>
        </w:rPr>
      </w:pPr>
      <w:r>
        <w:rPr>
          <w:rFonts w:eastAsia="Arial" w:cs="Arial" w:ascii="Arial" w:hAnsi="Arial"/>
          <w:b/>
          <w:sz w:val="22"/>
          <w:szCs w:val="22"/>
        </w:rPr>
        <w:t>6.1</w:t>
        <w:tab/>
        <w:t>- SERVIÇOS MECÂNICOS</w:t>
      </w:r>
    </w:p>
    <w:p>
      <w:pPr>
        <w:pStyle w:val="LO-normal"/>
        <w:spacing w:lineRule="auto" w:line="360"/>
        <w:jc w:val="both"/>
        <w:rPr>
          <w:rFonts w:ascii="Arial" w:hAnsi="Arial" w:cs="Arial"/>
          <w:sz w:val="22"/>
          <w:szCs w:val="22"/>
        </w:rPr>
      </w:pPr>
      <w:r>
        <w:rPr>
          <w:rFonts w:eastAsia="Arial" w:cs="Arial" w:ascii="Arial" w:hAnsi="Arial"/>
          <w:sz w:val="22"/>
          <w:szCs w:val="22"/>
        </w:rPr>
        <w:t>a) Deverão ser executadas manutenções preventivas e corretivas, conforme demanda encaminhada pela CONTRATANTE.</w:t>
      </w:r>
    </w:p>
    <w:p>
      <w:pPr>
        <w:pStyle w:val="LO-normal"/>
        <w:spacing w:lineRule="auto" w:line="360"/>
        <w:jc w:val="both"/>
        <w:rPr>
          <w:rFonts w:ascii="Arial" w:hAnsi="Arial" w:cs="Arial"/>
          <w:sz w:val="22"/>
          <w:szCs w:val="22"/>
        </w:rPr>
      </w:pPr>
      <w:r>
        <w:rPr>
          <w:rFonts w:eastAsia="Arial" w:cs="Arial" w:ascii="Arial" w:hAnsi="Arial"/>
          <w:sz w:val="22"/>
          <w:szCs w:val="22"/>
        </w:rPr>
        <w:t>b) O serviço de manutenção veicular inclui mão de obra referente à execução de reparos, conservação e recuperação de veículos, com fornecimento de peças novas, originais ou similares de primeira linha e sem uso prévio e materiais específicos a serem utilizados na prestação dos serviços.</w:t>
      </w:r>
    </w:p>
    <w:p>
      <w:pPr>
        <w:pStyle w:val="LO-normal"/>
        <w:spacing w:lineRule="auto" w:line="360"/>
        <w:jc w:val="both"/>
        <w:rPr>
          <w:rFonts w:ascii="Arial" w:hAnsi="Arial" w:cs="Arial"/>
          <w:sz w:val="22"/>
          <w:szCs w:val="22"/>
        </w:rPr>
      </w:pPr>
      <w:r>
        <w:rPr>
          <w:rFonts w:eastAsia="Arial" w:cs="Arial" w:ascii="Arial" w:hAnsi="Arial"/>
          <w:sz w:val="22"/>
          <w:szCs w:val="22"/>
        </w:rPr>
        <w:t>c) Consiste nos serviços de mecânica em motor, retífica e torno, caixa de câmbio, sistema de injeção, velas, bombas, sistema de freios, embreagem, suspensão, direção, troca de óleo e filtros, sistema elétrico e todos os outros serviços afins.</w:t>
      </w:r>
    </w:p>
    <w:p>
      <w:pPr>
        <w:pStyle w:val="LO-normal"/>
        <w:spacing w:lineRule="auto" w:line="360"/>
        <w:jc w:val="both"/>
        <w:rPr>
          <w:rFonts w:ascii="Arial" w:hAnsi="Arial" w:cs="Arial"/>
          <w:sz w:val="22"/>
          <w:szCs w:val="22"/>
        </w:rPr>
      </w:pPr>
      <w:r>
        <w:rPr>
          <w:rFonts w:eastAsia="Arial" w:cs="Arial" w:ascii="Arial" w:hAnsi="Arial"/>
          <w:sz w:val="22"/>
          <w:szCs w:val="22"/>
        </w:rPr>
        <w:t xml:space="preserve">d) Incluem serviços no sistema hidráulico como substituição ou conserto nos sistemas hidráulicos dos veículos, como mangueira hidráulica, porta e elevador, freios, direção e outros. </w:t>
      </w:r>
    </w:p>
    <w:p>
      <w:pPr>
        <w:pStyle w:val="LO-normal"/>
        <w:spacing w:lineRule="auto" w:line="360"/>
        <w:jc w:val="both"/>
        <w:rPr>
          <w:rFonts w:ascii="Arial" w:hAnsi="Arial" w:cs="Arial"/>
          <w:sz w:val="22"/>
          <w:szCs w:val="22"/>
        </w:rPr>
      </w:pPr>
      <w:r>
        <w:rPr>
          <w:rFonts w:eastAsia="Arial" w:cs="Arial" w:ascii="Arial" w:hAnsi="Arial"/>
          <w:sz w:val="22"/>
          <w:szCs w:val="22"/>
        </w:rPr>
        <w:t xml:space="preserve">e) Abrange ainda serviços de suspensão que consiste nos serviços de troca de amortecedores, estabilizadores, coifas, batentes, molas, pivôs, barra de direção e todos os outros serviços afins. </w:t>
      </w:r>
    </w:p>
    <w:p>
      <w:pPr>
        <w:pStyle w:val="LO-normal"/>
        <w:spacing w:lineRule="auto" w:line="360"/>
        <w:jc w:val="both"/>
        <w:rPr>
          <w:rFonts w:ascii="Arial" w:hAnsi="Arial" w:cs="Arial"/>
          <w:sz w:val="22"/>
          <w:szCs w:val="22"/>
        </w:rPr>
      </w:pPr>
      <w:r>
        <w:rPr>
          <w:rFonts w:eastAsia="Arial" w:cs="Arial" w:ascii="Arial" w:hAnsi="Arial"/>
          <w:sz w:val="22"/>
          <w:szCs w:val="22"/>
        </w:rPr>
        <w:t xml:space="preserve">f) Inclui também as trocas de óleo que se referem aos serviços de fornecimento e troca de óleo do motor, do câmbio e da direção hidráulica, com substituição dos filtros de óleo, todo serviço de troca de óleo do motor deve incluir a substituição do filtro de óleo. </w:t>
      </w:r>
    </w:p>
    <w:p>
      <w:pPr>
        <w:pStyle w:val="LO-normal"/>
        <w:spacing w:lineRule="auto" w:line="360"/>
        <w:jc w:val="both"/>
        <w:rPr>
          <w:rFonts w:ascii="Arial" w:hAnsi="Arial" w:cs="Arial"/>
          <w:sz w:val="22"/>
          <w:szCs w:val="22"/>
        </w:rPr>
      </w:pPr>
      <w:r>
        <w:rPr>
          <w:rFonts w:eastAsia="Arial" w:cs="Arial" w:ascii="Arial" w:hAnsi="Arial"/>
          <w:sz w:val="22"/>
          <w:szCs w:val="22"/>
        </w:rPr>
        <w:t xml:space="preserve">g) O óleo utilizado nas trocas de óleo do motor, câmbio e direção hidráulica devem seguir as especificações estabelecidas ou recomendadas pelos fabricantes dos veículos. </w:t>
      </w:r>
    </w:p>
    <w:p>
      <w:pPr>
        <w:pStyle w:val="LO-normal"/>
        <w:spacing w:lineRule="auto" w:line="360"/>
        <w:jc w:val="both"/>
        <w:rPr>
          <w:rFonts w:ascii="Arial" w:hAnsi="Arial" w:cs="Arial"/>
          <w:sz w:val="22"/>
          <w:szCs w:val="22"/>
        </w:rPr>
      </w:pPr>
      <w:r>
        <w:rPr>
          <w:rFonts w:eastAsia="Arial" w:cs="Arial" w:ascii="Arial" w:hAnsi="Arial"/>
          <w:sz w:val="22"/>
          <w:szCs w:val="22"/>
        </w:rPr>
        <w:t xml:space="preserve">h) Dos serviços de revisão do sistema de transmissão: os serviços de revisão do sistema de transmissão consistem na verificação e correção dos níveis de óleo da caixa de câmbio, folgas, juntas homocinéticas, coifas, e outros afins. </w:t>
      </w:r>
    </w:p>
    <w:p>
      <w:pPr>
        <w:pStyle w:val="LO-normal"/>
        <w:spacing w:lineRule="auto" w:line="360"/>
        <w:jc w:val="both"/>
        <w:rPr>
          <w:rFonts w:ascii="Arial" w:hAnsi="Arial" w:cs="Arial"/>
          <w:sz w:val="22"/>
          <w:szCs w:val="22"/>
        </w:rPr>
      </w:pPr>
      <w:r>
        <w:rPr>
          <w:rFonts w:eastAsia="Arial" w:cs="Arial" w:ascii="Arial" w:hAnsi="Arial"/>
          <w:sz w:val="22"/>
          <w:szCs w:val="22"/>
        </w:rPr>
        <w:t xml:space="preserve">i) Dos serviços de revisão do sistema de direção: consistem na verificação e execução de ajustes nos parafusos, regulagem e conferência de terminais, barra de direção, bomba de direção, folgas, correia da bomba, caixa de direção e outros. </w:t>
      </w:r>
    </w:p>
    <w:p>
      <w:pPr>
        <w:pStyle w:val="LO-normal"/>
        <w:spacing w:lineRule="auto" w:line="360"/>
        <w:jc w:val="both"/>
        <w:rPr>
          <w:rFonts w:ascii="Arial" w:hAnsi="Arial" w:cs="Arial"/>
          <w:sz w:val="22"/>
          <w:szCs w:val="22"/>
        </w:rPr>
      </w:pPr>
      <w:r>
        <w:rPr>
          <w:rFonts w:eastAsia="Arial" w:cs="Arial" w:ascii="Arial" w:hAnsi="Arial"/>
          <w:sz w:val="22"/>
          <w:szCs w:val="22"/>
        </w:rPr>
        <w:t xml:space="preserve">j) Dos serviços de revisão do sistema de freios: consistem em regulagem de freio, verificação do desgaste das pastilhas, lonas, discos, tambores, nível de fluido e substituição, verificação de servo-freio, cilindros de freio, cilindro mestre e auxiliares, freio de estacionamento (cabos, pedais, alavancas) e outros. </w:t>
      </w:r>
    </w:p>
    <w:p>
      <w:pPr>
        <w:pStyle w:val="LO-normal"/>
        <w:spacing w:lineRule="auto" w:line="360"/>
        <w:jc w:val="both"/>
        <w:rPr>
          <w:rFonts w:ascii="Arial" w:hAnsi="Arial" w:cs="Arial"/>
          <w:sz w:val="22"/>
          <w:szCs w:val="22"/>
        </w:rPr>
      </w:pPr>
      <w:r>
        <w:rPr>
          <w:rFonts w:eastAsia="Arial" w:cs="Arial" w:ascii="Arial" w:hAnsi="Arial"/>
          <w:sz w:val="22"/>
          <w:szCs w:val="22"/>
        </w:rPr>
        <w:t xml:space="preserve">k) Dos serviços de revisão de motor: consistem na verificação das correias, óleo, filtro de óleo e de combustível, juntas e demais componentes, substituindo peças necessárias e outros. </w:t>
      </w:r>
    </w:p>
    <w:p>
      <w:pPr>
        <w:pStyle w:val="LO-normal"/>
        <w:spacing w:lineRule="auto" w:line="360"/>
        <w:jc w:val="both"/>
        <w:rPr>
          <w:rFonts w:ascii="Arial" w:hAnsi="Arial" w:cs="Arial"/>
          <w:sz w:val="22"/>
          <w:szCs w:val="22"/>
        </w:rPr>
      </w:pPr>
      <w:r>
        <w:rPr>
          <w:rFonts w:eastAsia="Arial" w:cs="Arial" w:ascii="Arial" w:hAnsi="Arial"/>
          <w:sz w:val="22"/>
          <w:szCs w:val="22"/>
        </w:rPr>
        <w:t xml:space="preserve">l) Dos serviços de revisão do sistema de suspensão: consistem em verificação das molas, amortecedores, batentes, coifas, bandejas superiores e inferiores, buchas, pivôs, barra estabilizadora, rolamentos e outros. </w:t>
      </w:r>
    </w:p>
    <w:p>
      <w:pPr>
        <w:pStyle w:val="LO-normal"/>
        <w:spacing w:lineRule="auto" w:line="360"/>
        <w:jc w:val="both"/>
        <w:rPr>
          <w:rFonts w:ascii="Arial" w:hAnsi="Arial" w:eastAsia="Arial" w:cs="Arial"/>
          <w:b/>
          <w:sz w:val="22"/>
          <w:szCs w:val="22"/>
        </w:rPr>
      </w:pPr>
      <w:r>
        <w:rPr>
          <w:rFonts w:eastAsia="Arial" w:cs="Arial" w:ascii="Arial" w:hAnsi="Arial"/>
          <w:b/>
          <w:sz w:val="22"/>
          <w:szCs w:val="22"/>
        </w:rPr>
      </w:r>
    </w:p>
    <w:p>
      <w:pPr>
        <w:pStyle w:val="ListNumber3"/>
        <w:numPr>
          <w:ilvl w:val="0"/>
          <w:numId w:val="0"/>
        </w:numPr>
        <w:spacing w:lineRule="auto" w:line="360"/>
        <w:ind w:left="0" w:hanging="0"/>
        <w:jc w:val="both"/>
        <w:rPr>
          <w:rFonts w:ascii="Arial" w:hAnsi="Arial" w:cs="Arial"/>
          <w:sz w:val="22"/>
          <w:szCs w:val="22"/>
        </w:rPr>
      </w:pPr>
      <w:r>
        <w:rPr>
          <w:rFonts w:eastAsia="Arial" w:cs="Arial" w:ascii="Arial" w:hAnsi="Arial"/>
          <w:b/>
          <w:sz w:val="22"/>
          <w:szCs w:val="22"/>
        </w:rPr>
        <w:t>6.2</w:t>
        <w:tab/>
        <w:t>- SERVIÇOS ELÉTRICOS</w:t>
      </w:r>
    </w:p>
    <w:p>
      <w:pPr>
        <w:pStyle w:val="LO-normal"/>
        <w:spacing w:lineRule="auto" w:line="360"/>
        <w:jc w:val="both"/>
        <w:rPr>
          <w:rFonts w:ascii="Arial" w:hAnsi="Arial" w:cs="Arial"/>
          <w:sz w:val="22"/>
          <w:szCs w:val="22"/>
        </w:rPr>
      </w:pPr>
      <w:r>
        <w:rPr>
          <w:rFonts w:eastAsia="Arial" w:cs="Arial" w:ascii="Arial" w:hAnsi="Arial"/>
          <w:sz w:val="22"/>
          <w:szCs w:val="22"/>
        </w:rPr>
        <w:t>a) Deverão ser executadas manutenções preventivas e corretivas, conforme demanda encaminhada pela CONTRATANTE.</w:t>
      </w:r>
    </w:p>
    <w:p>
      <w:pPr>
        <w:pStyle w:val="LO-normal"/>
        <w:spacing w:lineRule="auto" w:line="360"/>
        <w:jc w:val="both"/>
        <w:rPr>
          <w:rFonts w:ascii="Arial" w:hAnsi="Arial" w:cs="Arial"/>
          <w:sz w:val="22"/>
          <w:szCs w:val="22"/>
        </w:rPr>
      </w:pPr>
      <w:r>
        <w:rPr>
          <w:rFonts w:eastAsia="Arial" w:cs="Arial" w:ascii="Arial" w:hAnsi="Arial"/>
          <w:sz w:val="22"/>
          <w:szCs w:val="22"/>
        </w:rPr>
        <w:t>b) O serviço de manutenção veicular inclui, mão de obra referente à execução de reparos, conservação e recuperação de veículos, com fornecimento de peças novas, originais ou similares de primeira linha e sem uso prévio e materiais específicos a serem utilizados na prestação dos serviços.</w:t>
      </w:r>
    </w:p>
    <w:p>
      <w:pPr>
        <w:pStyle w:val="LO-normal"/>
        <w:spacing w:lineRule="auto" w:line="360"/>
        <w:jc w:val="both"/>
        <w:rPr>
          <w:rFonts w:ascii="Arial" w:hAnsi="Arial" w:cs="Arial"/>
          <w:sz w:val="22"/>
          <w:szCs w:val="22"/>
        </w:rPr>
      </w:pPr>
      <w:r>
        <w:rPr>
          <w:rFonts w:eastAsia="Arial" w:cs="Arial" w:ascii="Arial" w:hAnsi="Arial"/>
          <w:sz w:val="22"/>
          <w:szCs w:val="22"/>
        </w:rPr>
        <w:t xml:space="preserve">c) Consiste no serviço de substituição ou conserto de partes elétricas dos veículos (bateria, alternador, velas e cabos de ignição, vidros elétricos, bicos, módulo, limpadores de para-brisa e outros). Deve incluir o serviço em ar condicionado que se refere a serviços de reparo do sistema de resfriamento do ar do interior do veículo, inclusive troca de gás, conserto e substituição do compressor, higienização, troca de componentes eletrônicos, filtros de cabine/pólen e todos os outros serviços afins. </w:t>
      </w:r>
    </w:p>
    <w:p>
      <w:pPr>
        <w:pStyle w:val="LO-normal"/>
        <w:spacing w:lineRule="auto" w:line="360"/>
        <w:jc w:val="both"/>
        <w:rPr>
          <w:rFonts w:ascii="Arial" w:hAnsi="Arial" w:cs="Arial"/>
          <w:sz w:val="22"/>
          <w:szCs w:val="22"/>
        </w:rPr>
      </w:pPr>
      <w:r>
        <w:rPr>
          <w:rFonts w:eastAsia="Arial" w:cs="Arial" w:ascii="Arial" w:hAnsi="Arial"/>
          <w:sz w:val="22"/>
          <w:szCs w:val="22"/>
        </w:rPr>
        <w:t xml:space="preserve">d) Dos serviços de revisão do sistema elétrico: consistem na verificação, conserto e/ou substituição quando necessário, de componentes que integram esse sistema, incluindo acessórios de sinalização e outros. </w:t>
      </w:r>
    </w:p>
    <w:p>
      <w:pPr>
        <w:pStyle w:val="LO-normal"/>
        <w:spacing w:lineRule="auto" w:line="360"/>
        <w:jc w:val="both"/>
        <w:rPr>
          <w:rFonts w:ascii="Arial" w:hAnsi="Arial" w:cs="Arial"/>
          <w:sz w:val="22"/>
          <w:szCs w:val="22"/>
        </w:rPr>
      </w:pPr>
      <w:r>
        <w:rPr>
          <w:rFonts w:eastAsia="Arial" w:cs="Arial" w:ascii="Arial" w:hAnsi="Arial"/>
          <w:sz w:val="22"/>
          <w:szCs w:val="22"/>
        </w:rPr>
        <w:t xml:space="preserve">e) Dos serviços de revisão do sistema de arrefecimento: consistem em exame do radiador, verificação do nível de água, mangueiras, fluído de radiador e outros. </w:t>
      </w:r>
    </w:p>
    <w:p>
      <w:pPr>
        <w:pStyle w:val="LO-normal"/>
        <w:spacing w:lineRule="auto" w:line="360"/>
        <w:jc w:val="both"/>
        <w:rPr>
          <w:rFonts w:ascii="Arial" w:hAnsi="Arial" w:eastAsia="Arial" w:cs="Arial"/>
          <w:b/>
          <w:sz w:val="22"/>
          <w:szCs w:val="22"/>
        </w:rPr>
      </w:pPr>
      <w:r>
        <w:rPr>
          <w:rFonts w:eastAsia="Arial" w:cs="Arial" w:ascii="Arial" w:hAnsi="Arial"/>
          <w:b/>
          <w:sz w:val="22"/>
          <w:szCs w:val="22"/>
        </w:rPr>
      </w:r>
    </w:p>
    <w:p>
      <w:pPr>
        <w:pStyle w:val="ListNumber3"/>
        <w:numPr>
          <w:ilvl w:val="0"/>
          <w:numId w:val="0"/>
        </w:numPr>
        <w:spacing w:lineRule="auto" w:line="360"/>
        <w:ind w:left="0" w:hanging="0"/>
        <w:jc w:val="both"/>
        <w:rPr>
          <w:rFonts w:ascii="Arial" w:hAnsi="Arial" w:cs="Arial"/>
          <w:sz w:val="22"/>
          <w:szCs w:val="22"/>
        </w:rPr>
      </w:pPr>
      <w:r>
        <w:rPr>
          <w:rFonts w:eastAsia="Arial" w:cs="Arial" w:ascii="Arial" w:hAnsi="Arial"/>
          <w:b/>
          <w:sz w:val="22"/>
          <w:szCs w:val="22"/>
        </w:rPr>
        <w:t>6.3</w:t>
        <w:tab/>
        <w:t>- SERVIÇOS DE MANUTENÇÃO MECÂNICA E ELÉTRICA – MOTOCICLETAS</w:t>
      </w:r>
    </w:p>
    <w:p>
      <w:pPr>
        <w:pStyle w:val="LO-normal"/>
        <w:spacing w:lineRule="auto" w:line="360"/>
        <w:jc w:val="both"/>
        <w:rPr>
          <w:rFonts w:ascii="Arial" w:hAnsi="Arial" w:cs="Arial"/>
          <w:sz w:val="22"/>
          <w:szCs w:val="22"/>
        </w:rPr>
      </w:pPr>
      <w:r>
        <w:rPr>
          <w:rFonts w:eastAsia="Arial" w:cs="Arial" w:ascii="Arial" w:hAnsi="Arial"/>
          <w:sz w:val="22"/>
          <w:szCs w:val="22"/>
        </w:rPr>
        <w:t>a) A manutenção preventiva deverá contemplar todos os serviços contidos no quadro de controle das revisões/manutenções do manual das motocicletas (indicação do fabricante); devendo ser estimados em horas/homem; e contemplar no mínimo, os serviços abaixo indicados:</w:t>
      </w:r>
    </w:p>
    <w:p>
      <w:pPr>
        <w:pStyle w:val="LO-normal"/>
        <w:spacing w:lineRule="auto" w:line="360"/>
        <w:jc w:val="both"/>
        <w:rPr>
          <w:rFonts w:ascii="Arial" w:hAnsi="Arial" w:cs="Arial"/>
          <w:sz w:val="22"/>
          <w:szCs w:val="22"/>
        </w:rPr>
      </w:pPr>
      <w:r>
        <w:rPr>
          <w:rFonts w:eastAsia="Arial" w:cs="Arial" w:ascii="Arial" w:hAnsi="Arial"/>
          <w:sz w:val="22"/>
          <w:szCs w:val="22"/>
        </w:rPr>
        <w:t>- Revisão:</w:t>
      </w:r>
    </w:p>
    <w:p>
      <w:pPr>
        <w:pStyle w:val="LO-normal"/>
        <w:spacing w:lineRule="auto" w:line="360"/>
        <w:jc w:val="both"/>
        <w:rPr>
          <w:rFonts w:ascii="Arial" w:hAnsi="Arial" w:cs="Arial"/>
          <w:sz w:val="22"/>
          <w:szCs w:val="22"/>
        </w:rPr>
      </w:pPr>
      <w:r>
        <w:rPr>
          <w:rFonts w:eastAsia="Arial" w:cs="Arial" w:ascii="Arial" w:hAnsi="Arial"/>
          <w:sz w:val="22"/>
          <w:szCs w:val="22"/>
        </w:rPr>
        <w:t>- Mecânica geral;</w:t>
      </w:r>
    </w:p>
    <w:p>
      <w:pPr>
        <w:pStyle w:val="LO-normal"/>
        <w:spacing w:lineRule="auto" w:line="360"/>
        <w:jc w:val="both"/>
        <w:rPr>
          <w:rFonts w:ascii="Arial" w:hAnsi="Arial" w:cs="Arial"/>
          <w:sz w:val="22"/>
          <w:szCs w:val="22"/>
        </w:rPr>
      </w:pPr>
      <w:r>
        <w:rPr>
          <w:rFonts w:eastAsia="Arial" w:cs="Arial" w:ascii="Arial" w:hAnsi="Arial"/>
          <w:sz w:val="22"/>
          <w:szCs w:val="22"/>
        </w:rPr>
        <w:t>- Motor; Troca de óleos e filtros, regulagens, ajustes e substituição de peças;</w:t>
      </w:r>
    </w:p>
    <w:p>
      <w:pPr>
        <w:pStyle w:val="LO-normal"/>
        <w:spacing w:lineRule="auto" w:line="360"/>
        <w:jc w:val="both"/>
        <w:rPr>
          <w:rFonts w:ascii="Arial" w:hAnsi="Arial" w:cs="Arial"/>
          <w:sz w:val="22"/>
          <w:szCs w:val="22"/>
        </w:rPr>
      </w:pPr>
      <w:r>
        <w:rPr>
          <w:rFonts w:eastAsia="Arial" w:cs="Arial" w:ascii="Arial" w:hAnsi="Arial"/>
          <w:sz w:val="22"/>
          <w:szCs w:val="22"/>
        </w:rPr>
        <w:t>- Injeção eletrônica; sistema de alimentação e filtros;</w:t>
      </w:r>
    </w:p>
    <w:p>
      <w:pPr>
        <w:pStyle w:val="LO-normal"/>
        <w:spacing w:lineRule="auto" w:line="360"/>
        <w:rPr>
          <w:rFonts w:ascii="Arial" w:hAnsi="Arial" w:cs="Arial"/>
          <w:sz w:val="22"/>
          <w:szCs w:val="22"/>
        </w:rPr>
      </w:pPr>
      <w:r>
        <w:rPr>
          <w:rFonts w:eastAsia="Arial" w:cs="Arial" w:ascii="Arial" w:hAnsi="Arial"/>
          <w:sz w:val="22"/>
          <w:szCs w:val="22"/>
        </w:rPr>
        <w:t xml:space="preserve">- Freios; Regulagens; substituição, completar fluidos, limpeza e substituição de </w:t>
        <w:tab/>
        <w:t xml:space="preserve">peças necessárias pastilhas, discos; cabos e tubos) incluindo reparo e </w:t>
        <w:tab/>
        <w:t>diagnóstico do sistema ABS;</w:t>
      </w:r>
    </w:p>
    <w:p>
      <w:pPr>
        <w:pStyle w:val="LO-normal"/>
        <w:spacing w:lineRule="auto" w:line="360"/>
        <w:rPr>
          <w:rFonts w:ascii="Arial" w:hAnsi="Arial" w:cs="Arial"/>
          <w:sz w:val="22"/>
          <w:szCs w:val="22"/>
        </w:rPr>
      </w:pPr>
      <w:r>
        <w:rPr>
          <w:rFonts w:eastAsia="Arial" w:cs="Arial" w:ascii="Arial" w:hAnsi="Arial"/>
          <w:sz w:val="22"/>
          <w:szCs w:val="22"/>
        </w:rPr>
        <w:t xml:space="preserve">- Elétrico e eletrônico, Partida, luzes, setas, faróis; motor de arranque, estator; </w:t>
        <w:tab/>
        <w:t>gerador; baterias; fios conexões e terminais;</w:t>
      </w:r>
    </w:p>
    <w:p>
      <w:pPr>
        <w:pStyle w:val="LO-normal"/>
        <w:spacing w:lineRule="auto" w:line="360"/>
        <w:jc w:val="both"/>
        <w:rPr>
          <w:rFonts w:ascii="Arial" w:hAnsi="Arial" w:cs="Arial"/>
          <w:sz w:val="22"/>
          <w:szCs w:val="22"/>
        </w:rPr>
      </w:pPr>
      <w:r>
        <w:rPr>
          <w:rFonts w:eastAsia="Arial" w:cs="Arial" w:ascii="Arial" w:hAnsi="Arial"/>
          <w:sz w:val="22"/>
          <w:szCs w:val="22"/>
        </w:rPr>
        <w:t>- Transmissão e embreagem; Corrente, coroa, pinhão, e embreagem, regulagem e troca;</w:t>
      </w:r>
    </w:p>
    <w:p>
      <w:pPr>
        <w:pStyle w:val="LO-normal"/>
        <w:spacing w:lineRule="auto" w:line="360"/>
        <w:jc w:val="both"/>
        <w:rPr>
          <w:rFonts w:ascii="Arial" w:hAnsi="Arial" w:cs="Arial"/>
          <w:sz w:val="22"/>
          <w:szCs w:val="22"/>
        </w:rPr>
      </w:pPr>
      <w:r>
        <w:rPr>
          <w:rFonts w:eastAsia="Arial" w:cs="Arial" w:ascii="Arial" w:hAnsi="Arial"/>
          <w:sz w:val="22"/>
          <w:szCs w:val="22"/>
        </w:rPr>
        <w:t>- Suspensão dianteira e traseira; retirada de vazamentos, ajustes, lubrificação e substituição das peças.</w:t>
      </w:r>
    </w:p>
    <w:p>
      <w:pPr>
        <w:pStyle w:val="LO-normal"/>
        <w:spacing w:lineRule="auto" w:line="360"/>
        <w:jc w:val="both"/>
        <w:rPr>
          <w:rFonts w:ascii="Arial" w:hAnsi="Arial" w:cs="Arial"/>
          <w:sz w:val="22"/>
          <w:szCs w:val="22"/>
        </w:rPr>
      </w:pPr>
      <w:r>
        <w:rPr>
          <w:rFonts w:eastAsia="Arial" w:cs="Arial" w:ascii="Arial" w:hAnsi="Arial"/>
          <w:sz w:val="22"/>
          <w:szCs w:val="22"/>
        </w:rPr>
        <w:t>b) A manutenção corretiva deverá contemplar, além dos serviços dispostos na manutenção preventiva, os demais serviços que se fizerem necessários para o adequado e regular funcionamento da motocicleta; devendo ser estimados em horas/homem; contemplando pelo menos os serviços abaixo indicados:</w:t>
      </w:r>
    </w:p>
    <w:p>
      <w:pPr>
        <w:pStyle w:val="LO-normal"/>
        <w:spacing w:lineRule="auto" w:line="360"/>
        <w:jc w:val="both"/>
        <w:rPr>
          <w:rFonts w:ascii="Arial" w:hAnsi="Arial" w:cs="Arial"/>
          <w:sz w:val="22"/>
          <w:szCs w:val="22"/>
        </w:rPr>
      </w:pPr>
      <w:r>
        <w:rPr>
          <w:rFonts w:eastAsia="Arial" w:cs="Arial" w:ascii="Arial" w:hAnsi="Arial"/>
          <w:sz w:val="22"/>
          <w:szCs w:val="22"/>
        </w:rPr>
        <w:t>- Mecânica geral;</w:t>
      </w:r>
    </w:p>
    <w:p>
      <w:pPr>
        <w:pStyle w:val="LO-normal"/>
        <w:spacing w:lineRule="auto" w:line="360"/>
        <w:jc w:val="both"/>
        <w:rPr>
          <w:rFonts w:ascii="Arial" w:hAnsi="Arial" w:cs="Arial"/>
          <w:sz w:val="22"/>
          <w:szCs w:val="22"/>
        </w:rPr>
      </w:pPr>
      <w:r>
        <w:rPr>
          <w:rFonts w:eastAsia="Arial" w:cs="Arial" w:ascii="Arial" w:hAnsi="Arial"/>
          <w:sz w:val="22"/>
          <w:szCs w:val="22"/>
        </w:rPr>
        <w:t>- Motor; Troca de óleos e filtros, regulagens, ajustes e substituição de peças;</w:t>
      </w:r>
    </w:p>
    <w:p>
      <w:pPr>
        <w:pStyle w:val="LO-normal"/>
        <w:spacing w:lineRule="auto" w:line="360"/>
        <w:jc w:val="both"/>
        <w:rPr>
          <w:rFonts w:ascii="Arial" w:hAnsi="Arial" w:cs="Arial"/>
          <w:sz w:val="22"/>
          <w:szCs w:val="22"/>
        </w:rPr>
      </w:pPr>
      <w:r>
        <w:rPr>
          <w:rFonts w:eastAsia="Arial" w:cs="Arial" w:ascii="Arial" w:hAnsi="Arial"/>
          <w:sz w:val="22"/>
          <w:szCs w:val="22"/>
        </w:rPr>
        <w:t>- Injeção eletrônica; sistema de alimentação e filtros;</w:t>
      </w:r>
    </w:p>
    <w:p>
      <w:pPr>
        <w:pStyle w:val="LO-normal"/>
        <w:spacing w:lineRule="auto" w:line="360"/>
        <w:jc w:val="both"/>
        <w:rPr>
          <w:rFonts w:ascii="Arial" w:hAnsi="Arial" w:eastAsia="Arial" w:cs="Arial"/>
          <w:sz w:val="22"/>
          <w:szCs w:val="22"/>
        </w:rPr>
      </w:pPr>
      <w:r>
        <w:rPr>
          <w:rFonts w:eastAsia="Arial" w:cs="Arial" w:ascii="Arial" w:hAnsi="Arial"/>
          <w:sz w:val="22"/>
          <w:szCs w:val="22"/>
        </w:rPr>
        <w:t>- Rodas, reparo; remendo; desempeno, troca de raios; cubos; rolamentos; retentores; alinhamento de direção;</w:t>
      </w:r>
    </w:p>
    <w:p>
      <w:pPr>
        <w:pStyle w:val="LO-normal"/>
        <w:spacing w:lineRule="auto" w:line="360"/>
        <w:jc w:val="both"/>
        <w:rPr>
          <w:rFonts w:ascii="Arial" w:hAnsi="Arial" w:cs="Arial"/>
          <w:sz w:val="22"/>
          <w:szCs w:val="22"/>
        </w:rPr>
      </w:pPr>
      <w:r>
        <w:rPr>
          <w:rFonts w:eastAsia="Arial" w:cs="Arial" w:ascii="Arial" w:hAnsi="Arial"/>
          <w:sz w:val="22"/>
          <w:szCs w:val="22"/>
        </w:rPr>
        <w:t>- Freios, regulagens, substituição, completar fluidos, limpeza e substituição de peças necessárias (pastilha, discos, cabos e tubos), incluindo reparo e diagnóstico do sistema ABS.</w:t>
      </w:r>
    </w:p>
    <w:p>
      <w:pPr>
        <w:pStyle w:val="LO-normal"/>
        <w:spacing w:lineRule="auto" w:line="360"/>
        <w:rPr>
          <w:rFonts w:ascii="Arial" w:hAnsi="Arial" w:cs="Arial"/>
          <w:sz w:val="22"/>
          <w:szCs w:val="22"/>
        </w:rPr>
      </w:pPr>
      <w:r>
        <w:rPr>
          <w:rFonts w:eastAsia="Arial" w:cs="Arial" w:ascii="Arial" w:hAnsi="Arial"/>
          <w:sz w:val="22"/>
          <w:szCs w:val="22"/>
        </w:rPr>
        <w:t>- Elétrico e eletrônico, Partida, luzes, setas, faróis; motor de arranque, estator; gerador; baterias; fios conexões e terminais;</w:t>
      </w:r>
    </w:p>
    <w:p>
      <w:pPr>
        <w:pStyle w:val="LO-normal"/>
        <w:spacing w:lineRule="auto" w:line="360"/>
        <w:rPr>
          <w:rFonts w:ascii="Arial" w:hAnsi="Arial" w:cs="Arial"/>
          <w:sz w:val="22"/>
          <w:szCs w:val="22"/>
        </w:rPr>
      </w:pPr>
      <w:r>
        <w:rPr>
          <w:rFonts w:eastAsia="Arial" w:cs="Arial" w:ascii="Arial" w:hAnsi="Arial"/>
          <w:sz w:val="22"/>
          <w:szCs w:val="22"/>
        </w:rPr>
        <w:t>- Transmissão e embreagem; Corrente, coroa, pinhão, e embreagem, regulagem e troca;</w:t>
      </w:r>
    </w:p>
    <w:p>
      <w:pPr>
        <w:pStyle w:val="LO-normal"/>
        <w:spacing w:lineRule="auto" w:line="360"/>
        <w:jc w:val="both"/>
        <w:rPr>
          <w:rFonts w:ascii="Arial" w:hAnsi="Arial" w:cs="Arial"/>
          <w:sz w:val="22"/>
          <w:szCs w:val="22"/>
        </w:rPr>
      </w:pPr>
      <w:r>
        <w:rPr>
          <w:rFonts w:eastAsia="Arial" w:cs="Arial" w:ascii="Arial" w:hAnsi="Arial"/>
          <w:sz w:val="22"/>
          <w:szCs w:val="22"/>
        </w:rPr>
        <w:t>- Suspensão dianteira e traseira; retirada de vazamentos, ajustes, lubrificação e substituição das peças;</w:t>
      </w:r>
    </w:p>
    <w:p>
      <w:pPr>
        <w:pStyle w:val="LO-normal"/>
        <w:spacing w:lineRule="auto" w:line="360"/>
        <w:jc w:val="both"/>
        <w:rPr>
          <w:rFonts w:ascii="Arial" w:hAnsi="Arial" w:cs="Arial"/>
          <w:sz w:val="22"/>
          <w:szCs w:val="22"/>
        </w:rPr>
      </w:pPr>
      <w:r>
        <w:rPr>
          <w:rFonts w:eastAsia="Arial" w:cs="Arial" w:ascii="Arial" w:hAnsi="Arial"/>
          <w:sz w:val="22"/>
          <w:szCs w:val="22"/>
        </w:rPr>
        <w:t>- Demais serviços que forem necessários ao adequado e regular funcionamento da motocicleta.</w:t>
      </w:r>
    </w:p>
    <w:p>
      <w:pPr>
        <w:pStyle w:val="LO-normal"/>
        <w:spacing w:lineRule="auto" w:line="360"/>
        <w:jc w:val="both"/>
        <w:rPr>
          <w:rFonts w:ascii="Arial" w:hAnsi="Arial" w:cs="Arial"/>
          <w:sz w:val="22"/>
          <w:szCs w:val="22"/>
        </w:rPr>
      </w:pPr>
      <w:r>
        <w:rPr>
          <w:rFonts w:eastAsia="Arial" w:cs="Arial" w:ascii="Arial" w:hAnsi="Arial"/>
          <w:sz w:val="22"/>
          <w:szCs w:val="22"/>
        </w:rPr>
        <w:t>c) Fornecimento das peças e lubrificantes:</w:t>
      </w:r>
    </w:p>
    <w:p>
      <w:pPr>
        <w:pStyle w:val="LO-normal"/>
        <w:spacing w:lineRule="auto" w:line="360"/>
        <w:jc w:val="both"/>
        <w:rPr>
          <w:rFonts w:ascii="Arial" w:hAnsi="Arial" w:cs="Arial"/>
          <w:sz w:val="22"/>
          <w:szCs w:val="22"/>
        </w:rPr>
      </w:pPr>
      <w:r>
        <w:rPr>
          <w:rFonts w:eastAsia="Arial" w:cs="Arial" w:ascii="Arial" w:hAnsi="Arial"/>
          <w:sz w:val="22"/>
          <w:szCs w:val="22"/>
        </w:rPr>
        <w:t>- Os serviços de manutenção preventiva e corretiva contemplarão, sempre que necessário, o fornecimento de peças, lubrificantes, dentre outros equipamentos e/ou insumos; novos e de primeiro uso, para o adequado e regular funcionamento da motocicleta de acordo com as especificações do fabricante ou recomendações daquele;</w:t>
      </w:r>
    </w:p>
    <w:p>
      <w:pPr>
        <w:pStyle w:val="LO-normal"/>
        <w:spacing w:lineRule="auto" w:line="360"/>
        <w:jc w:val="both"/>
        <w:rPr>
          <w:rFonts w:ascii="Arial" w:hAnsi="Arial" w:cs="Arial"/>
          <w:sz w:val="22"/>
          <w:szCs w:val="22"/>
        </w:rPr>
      </w:pPr>
      <w:r>
        <w:rPr>
          <w:rFonts w:eastAsia="Arial" w:cs="Arial" w:ascii="Arial" w:hAnsi="Arial"/>
          <w:sz w:val="22"/>
          <w:szCs w:val="22"/>
        </w:rPr>
        <w:t>d) Quando houver a necessidade de materiais, peças, equipamentos e/ou insumos que não foram previstos na relação acima exposta, a CONTRATADA comunicará à CONTRATANTE, que autorizará ou não a realização de orçamento prévio.</w:t>
      </w:r>
    </w:p>
    <w:p>
      <w:pPr>
        <w:pStyle w:val="LO-normal"/>
        <w:spacing w:lineRule="auto" w:line="360"/>
        <w:jc w:val="both"/>
        <w:rPr>
          <w:rFonts w:ascii="Arial" w:hAnsi="Arial" w:eastAsia="Arial" w:cs="Arial"/>
          <w:b/>
          <w:sz w:val="22"/>
          <w:szCs w:val="22"/>
        </w:rPr>
      </w:pPr>
      <w:r>
        <w:rPr>
          <w:rFonts w:eastAsia="Arial" w:cs="Arial" w:ascii="Arial" w:hAnsi="Arial"/>
          <w:b/>
          <w:sz w:val="22"/>
          <w:szCs w:val="22"/>
        </w:rPr>
      </w:r>
    </w:p>
    <w:p>
      <w:pPr>
        <w:pStyle w:val="ListNumber3"/>
        <w:numPr>
          <w:ilvl w:val="0"/>
          <w:numId w:val="0"/>
        </w:numPr>
        <w:spacing w:lineRule="auto" w:line="360"/>
        <w:ind w:left="0" w:hanging="0"/>
        <w:jc w:val="both"/>
        <w:rPr>
          <w:rFonts w:ascii="Arial" w:hAnsi="Arial" w:cs="Arial"/>
          <w:sz w:val="22"/>
          <w:szCs w:val="22"/>
        </w:rPr>
      </w:pPr>
      <w:r>
        <w:rPr>
          <w:rFonts w:eastAsia="Arial" w:cs="Arial" w:ascii="Arial" w:hAnsi="Arial"/>
          <w:b/>
          <w:sz w:val="22"/>
          <w:szCs w:val="22"/>
        </w:rPr>
        <w:t>6.4</w:t>
        <w:tab/>
        <w:t>- SERVIÇO DE INSTALAÇÃO E MANUTENÇÃO – ACESSÓRIOS</w:t>
      </w:r>
    </w:p>
    <w:p>
      <w:pPr>
        <w:pStyle w:val="LO-normal"/>
        <w:spacing w:lineRule="auto" w:line="360"/>
        <w:jc w:val="both"/>
        <w:rPr>
          <w:rFonts w:ascii="Arial" w:hAnsi="Arial" w:cs="Arial"/>
          <w:sz w:val="22"/>
          <w:szCs w:val="22"/>
        </w:rPr>
      </w:pPr>
      <w:r>
        <w:rPr>
          <w:rFonts w:eastAsia="Arial" w:cs="Arial" w:ascii="Arial" w:hAnsi="Arial"/>
          <w:sz w:val="22"/>
          <w:szCs w:val="22"/>
        </w:rPr>
        <w:t>a) O serviço de manutenção veicular inclui, mão de obra referente à execução de reparos, conservação e recuperação de veículos, com fornecimento de peças novas, originais ou similares de primeira linha e sem uso prévio e materiais específicos a serem utilizados na prestação dos serviços.</w:t>
      </w:r>
    </w:p>
    <w:p>
      <w:pPr>
        <w:pStyle w:val="LO-normal"/>
        <w:spacing w:lineRule="auto" w:line="360"/>
        <w:jc w:val="both"/>
        <w:rPr>
          <w:rFonts w:ascii="Arial" w:hAnsi="Arial" w:cs="Arial"/>
          <w:sz w:val="22"/>
          <w:szCs w:val="22"/>
        </w:rPr>
      </w:pPr>
      <w:r>
        <w:rPr>
          <w:rFonts w:eastAsia="Arial" w:cs="Arial" w:ascii="Arial" w:hAnsi="Arial"/>
          <w:sz w:val="22"/>
          <w:szCs w:val="22"/>
        </w:rPr>
        <w:t xml:space="preserve">b) Instalação de Acessórios: consiste nos serviços de instalação de qualquer acessório indispensável ao funcionamento ou segurança dos veículos, acessórios de som e imagem, bem como películas automotivas ou outros afins. </w:t>
      </w:r>
    </w:p>
    <w:p>
      <w:pPr>
        <w:pStyle w:val="LO-normal"/>
        <w:spacing w:lineRule="auto" w:line="360"/>
        <w:jc w:val="both"/>
        <w:rPr>
          <w:rFonts w:ascii="Arial" w:hAnsi="Arial" w:eastAsia="Arial" w:cs="Arial"/>
          <w:sz w:val="22"/>
          <w:szCs w:val="22"/>
        </w:rPr>
      </w:pPr>
      <w:r>
        <w:rPr>
          <w:rFonts w:eastAsia="Arial" w:cs="Arial" w:ascii="Arial" w:hAnsi="Arial"/>
          <w:sz w:val="22"/>
          <w:szCs w:val="22"/>
        </w:rPr>
      </w:r>
    </w:p>
    <w:p>
      <w:pPr>
        <w:pStyle w:val="ListNumber3"/>
        <w:numPr>
          <w:ilvl w:val="0"/>
          <w:numId w:val="0"/>
        </w:numPr>
        <w:spacing w:lineRule="auto" w:line="360"/>
        <w:ind w:left="0" w:hanging="0"/>
        <w:jc w:val="both"/>
        <w:rPr>
          <w:rFonts w:ascii="Arial" w:hAnsi="Arial" w:cs="Arial"/>
          <w:sz w:val="22"/>
          <w:szCs w:val="22"/>
        </w:rPr>
      </w:pPr>
      <w:r>
        <w:rPr>
          <w:rFonts w:eastAsia="Arial" w:cs="Arial" w:ascii="Arial" w:hAnsi="Arial"/>
          <w:b/>
          <w:sz w:val="22"/>
          <w:szCs w:val="22"/>
        </w:rPr>
        <w:t>6.5</w:t>
        <w:tab/>
        <w:t>– SERVIÇO DE GUINCHO</w:t>
      </w:r>
    </w:p>
    <w:p>
      <w:pPr>
        <w:pStyle w:val="Corpodotextorecuado"/>
        <w:spacing w:lineRule="auto" w:line="360"/>
        <w:ind w:hanging="0"/>
        <w:jc w:val="both"/>
        <w:rPr>
          <w:rFonts w:ascii="Arial" w:hAnsi="Arial" w:cs="Arial"/>
          <w:sz w:val="22"/>
          <w:szCs w:val="22"/>
        </w:rPr>
      </w:pPr>
      <w:r>
        <w:rPr>
          <w:rFonts w:eastAsia="Arial" w:cs="Arial" w:ascii="Arial" w:hAnsi="Arial"/>
          <w:sz w:val="22"/>
          <w:szCs w:val="22"/>
        </w:rPr>
        <w:t>a) A Contratada deverá fornecer serviços de reboque por carro guincho ou plataforma hidráulica quando os veículos da contratante não puderem trafegar, em consequência de defeitos mecânicos, elétricos ou quaisquer outras avarias ou panes ocorridas.</w:t>
      </w:r>
    </w:p>
    <w:p>
      <w:pPr>
        <w:pStyle w:val="LO-normal"/>
        <w:spacing w:lineRule="auto" w:line="360"/>
        <w:jc w:val="both"/>
        <w:rPr>
          <w:rFonts w:ascii="Arial" w:hAnsi="Arial" w:cs="Arial"/>
          <w:sz w:val="22"/>
          <w:szCs w:val="22"/>
        </w:rPr>
      </w:pPr>
      <w:r>
        <w:rPr>
          <w:rFonts w:eastAsia="Arial" w:cs="Arial" w:ascii="Arial" w:hAnsi="Arial"/>
          <w:sz w:val="22"/>
          <w:szCs w:val="22"/>
        </w:rPr>
        <w:t>b) Os serviços serão prestados em regime de plantão de 24 horas x 7 dias por semana, devendo ser disponibilizado para a contratante número de telefone para chamadas diretas e fora do horário normal de expediente, sem qualquer ônus para a Contratante.</w:t>
      </w:r>
    </w:p>
    <w:p>
      <w:pPr>
        <w:pStyle w:val="LO-normal"/>
        <w:spacing w:lineRule="auto" w:line="360"/>
        <w:jc w:val="both"/>
        <w:rPr>
          <w:rFonts w:ascii="Arial" w:hAnsi="Arial" w:eastAsia="Arial" w:cs="Arial"/>
          <w:sz w:val="22"/>
          <w:szCs w:val="22"/>
        </w:rPr>
      </w:pPr>
      <w:r>
        <w:rPr>
          <w:rFonts w:eastAsia="Arial" w:cs="Arial" w:ascii="Arial" w:hAnsi="Arial"/>
          <w:sz w:val="22"/>
          <w:szCs w:val="22"/>
        </w:rPr>
        <w:t>c) O prazo máximo para atendimento de chamadas será o seguinte:</w:t>
      </w:r>
    </w:p>
    <w:p>
      <w:pPr>
        <w:pStyle w:val="LO-normal"/>
        <w:spacing w:lineRule="auto" w:line="360"/>
        <w:jc w:val="both"/>
        <w:rPr>
          <w:rFonts w:ascii="Arial" w:hAnsi="Arial" w:cs="Arial"/>
          <w:sz w:val="22"/>
          <w:szCs w:val="22"/>
        </w:rPr>
      </w:pPr>
      <w:r>
        <w:rPr>
          <w:rFonts w:eastAsia="Arial" w:cs="Arial" w:ascii="Arial" w:hAnsi="Arial"/>
          <w:sz w:val="22"/>
          <w:szCs w:val="22"/>
        </w:rPr>
        <w:t>- No perímetro urbano do município de Itatiba: 01 (uma) hora;</w:t>
      </w:r>
    </w:p>
    <w:p>
      <w:pPr>
        <w:pStyle w:val="LO-normal"/>
        <w:spacing w:lineRule="auto" w:line="360"/>
        <w:jc w:val="both"/>
        <w:rPr>
          <w:rFonts w:ascii="Arial" w:hAnsi="Arial" w:eastAsia="Arial" w:cs="Arial"/>
          <w:sz w:val="22"/>
          <w:szCs w:val="22"/>
        </w:rPr>
      </w:pPr>
      <w:r>
        <w:rPr>
          <w:rFonts w:eastAsia="Arial" w:cs="Arial" w:ascii="Arial" w:hAnsi="Arial"/>
          <w:sz w:val="22"/>
          <w:szCs w:val="22"/>
        </w:rPr>
        <w:t>- Em outras regiões: 02 (duas) horas para cada 100 km, ou fração, de distância entre a localização do veículo e o município onde se localizar a sede da Contratada.</w:t>
      </w:r>
    </w:p>
    <w:p>
      <w:pPr>
        <w:pStyle w:val="LO-normal"/>
        <w:spacing w:lineRule="auto" w:line="360"/>
        <w:jc w:val="both"/>
        <w:rPr>
          <w:rFonts w:ascii="Arial" w:hAnsi="Arial" w:cs="Arial"/>
          <w:sz w:val="22"/>
          <w:szCs w:val="22"/>
        </w:rPr>
      </w:pPr>
      <w:r>
        <w:rPr>
          <w:rFonts w:eastAsia="Arial" w:cs="Arial" w:ascii="Arial" w:hAnsi="Arial"/>
          <w:sz w:val="22"/>
          <w:szCs w:val="22"/>
        </w:rPr>
        <w:t>d) Caso haja necessidade da prestação do serviço fora dos limites do Município de Itatiba, não será cobrado nada além das horas efetivamente computadas de serviço.</w:t>
      </w:r>
    </w:p>
    <w:p>
      <w:pPr>
        <w:pStyle w:val="LO-normal"/>
        <w:spacing w:lineRule="auto" w:line="360"/>
        <w:jc w:val="both"/>
        <w:rPr>
          <w:rFonts w:ascii="Arial" w:hAnsi="Arial" w:cs="Arial"/>
          <w:sz w:val="22"/>
          <w:szCs w:val="22"/>
        </w:rPr>
      </w:pPr>
      <w:r>
        <w:rPr>
          <w:rFonts w:eastAsia="Arial" w:cs="Arial" w:ascii="Arial" w:hAnsi="Arial"/>
          <w:sz w:val="22"/>
          <w:szCs w:val="22"/>
        </w:rPr>
        <w:t xml:space="preserve"> </w:t>
      </w:r>
      <w:r>
        <w:rPr>
          <w:rFonts w:eastAsia="Arial" w:cs="Arial" w:ascii="Arial" w:hAnsi="Arial"/>
          <w:sz w:val="22"/>
          <w:szCs w:val="22"/>
        </w:rPr>
        <w:t>e) Todos os casos de prestação de serviços deverão ter autorização do responsável pela Garagem Municipal de Itatiba.</w:t>
      </w:r>
    </w:p>
    <w:p>
      <w:pPr>
        <w:pStyle w:val="LO-normal"/>
        <w:spacing w:lineRule="auto" w:line="360"/>
        <w:jc w:val="both"/>
        <w:rPr>
          <w:rFonts w:ascii="Arial" w:hAnsi="Arial" w:eastAsia="Arial" w:cs="Arial"/>
          <w:sz w:val="22"/>
          <w:szCs w:val="22"/>
        </w:rPr>
      </w:pPr>
      <w:r>
        <w:rPr>
          <w:rFonts w:eastAsia="Arial" w:cs="Arial" w:ascii="Arial" w:hAnsi="Arial"/>
          <w:sz w:val="22"/>
          <w:szCs w:val="22"/>
        </w:rPr>
      </w:r>
    </w:p>
    <w:p>
      <w:pPr>
        <w:pStyle w:val="Corpodotexto"/>
        <w:spacing w:lineRule="auto" w:line="360" w:before="0" w:after="0"/>
        <w:jc w:val="both"/>
        <w:rPr>
          <w:rFonts w:ascii="Arial" w:hAnsi="Arial" w:cs="Arial"/>
          <w:sz w:val="22"/>
          <w:szCs w:val="22"/>
        </w:rPr>
      </w:pPr>
      <w:r>
        <w:rPr>
          <w:rFonts w:eastAsia="Arial" w:cs="Arial" w:ascii="Arial" w:hAnsi="Arial"/>
          <w:b/>
          <w:sz w:val="22"/>
          <w:szCs w:val="22"/>
        </w:rPr>
        <w:t>7 – DISPOSIÇÕES SOBRE FORNECIMENTO DE PEÇAS E ACESSÓRIOS</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7.1 - Todas as peças e acessórios aplicados nos veículos deverão ser novos, originais do fabricante ou similares de primeira linha e sem uso prévio;</w:t>
      </w:r>
    </w:p>
    <w:p>
      <w:pPr>
        <w:pStyle w:val="Corpodotexto"/>
        <w:spacing w:lineRule="auto" w:line="360" w:before="0" w:after="0"/>
        <w:jc w:val="both"/>
        <w:rPr>
          <w:rFonts w:ascii="Arial" w:hAnsi="Arial" w:cs="Arial"/>
          <w:sz w:val="22"/>
          <w:szCs w:val="22"/>
        </w:rPr>
      </w:pPr>
      <w:r>
        <w:rPr>
          <w:rFonts w:eastAsia="Arial" w:cs="Arial" w:ascii="Arial" w:hAnsi="Arial"/>
          <w:sz w:val="22"/>
          <w:szCs w:val="22"/>
        </w:rPr>
        <w:t>a) Excepcionalmente, mediante justificativas por parte da CONTRATADA, poderá ser autorizada pelo Gestor, a substituição por peça genuína.</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7.2 - As peças e acessórios, além de serem novos, originais ou similares de primeira linha e sem uso, deverão ter garantia de fábrica/montadora, e os serviços prestados deverão ter garantia expressa no orçamento da CONTRATADA.</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7.3 - A CONTRATADA deverá prestar contas e esclarecimentos sobre as peças e acessórios adquiridos, fornecendo toda e qualquer informação ao Gestor do Contrato, para acompanhamento da execução contratual, tais como:</w:t>
      </w:r>
    </w:p>
    <w:p>
      <w:pPr>
        <w:pStyle w:val="Corpodotexto"/>
        <w:spacing w:lineRule="auto" w:line="360" w:before="0" w:after="0"/>
        <w:jc w:val="both"/>
        <w:rPr>
          <w:rFonts w:ascii="Arial" w:hAnsi="Arial" w:cs="Arial"/>
          <w:sz w:val="22"/>
          <w:szCs w:val="22"/>
        </w:rPr>
      </w:pPr>
      <w:r>
        <w:rPr>
          <w:rFonts w:eastAsia="Arial" w:cs="Arial" w:ascii="Arial" w:hAnsi="Arial"/>
          <w:sz w:val="22"/>
          <w:szCs w:val="22"/>
        </w:rPr>
        <w:t>a) Apresentar cópia dos documentos fiscais de compra de peças e acessórios adquiridos e efetivamente utilizados nos veículos da frota do CONTRATANTE;</w:t>
      </w:r>
    </w:p>
    <w:p>
      <w:pPr>
        <w:pStyle w:val="Corpodotexto"/>
        <w:spacing w:lineRule="auto" w:line="360" w:before="0" w:after="0"/>
        <w:jc w:val="both"/>
        <w:rPr>
          <w:rFonts w:ascii="Arial" w:hAnsi="Arial" w:cs="Arial"/>
          <w:sz w:val="22"/>
          <w:szCs w:val="22"/>
        </w:rPr>
      </w:pPr>
      <w:r>
        <w:rPr>
          <w:rFonts w:eastAsia="Arial" w:cs="Arial" w:ascii="Arial" w:hAnsi="Arial"/>
          <w:sz w:val="22"/>
          <w:szCs w:val="22"/>
        </w:rPr>
        <w:t>b) Apresentar ao Gestor do Contrato e/ou à Comissão de Fiscalização, as peças e acessórios que foram substituídos devido a reparos, sendo de responsabilidade da CONTRATADA seu descarte, observadas as disposições ambientais vigentes.</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7.4 - Quando a peça não for encontrada no banco de dados do sistema, deverá ser efetuada uma pesquisa direta com no mínimo 03 (três) fornecedores de onde se extrairá o valor médio a ser utilizado como base para o desconto.</w:t>
      </w:r>
    </w:p>
    <w:p>
      <w:pPr>
        <w:pStyle w:val="LO-normal"/>
        <w:spacing w:lineRule="auto" w:line="360"/>
        <w:jc w:val="both"/>
        <w:rPr>
          <w:rFonts w:ascii="Arial" w:hAnsi="Arial" w:eastAsia="Arial" w:cs="Arial"/>
          <w:b/>
          <w:sz w:val="22"/>
          <w:szCs w:val="22"/>
        </w:rPr>
      </w:pPr>
      <w:r>
        <w:rPr>
          <w:rFonts w:eastAsia="Arial" w:cs="Arial" w:ascii="Arial" w:hAnsi="Arial"/>
          <w:b/>
          <w:sz w:val="22"/>
          <w:szCs w:val="22"/>
        </w:rPr>
      </w:r>
    </w:p>
    <w:p>
      <w:pPr>
        <w:pStyle w:val="Corpodotexto"/>
        <w:spacing w:lineRule="auto" w:line="360" w:before="0" w:after="0"/>
        <w:jc w:val="both"/>
        <w:rPr>
          <w:rFonts w:ascii="Arial" w:hAnsi="Arial" w:cs="Arial"/>
          <w:sz w:val="22"/>
          <w:szCs w:val="22"/>
        </w:rPr>
      </w:pPr>
      <w:r>
        <w:rPr>
          <w:rFonts w:eastAsia="Arial" w:cs="Arial" w:ascii="Arial" w:hAnsi="Arial"/>
          <w:b/>
          <w:sz w:val="22"/>
          <w:szCs w:val="22"/>
        </w:rPr>
        <w:t>8 – DA GARANTIA DOS SERVIÇOS E DAS PEÇAS</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8.1 - A CONTRATADA deverá conceder garantia dos serviços e peças, na seguinte conformidade:</w:t>
      </w:r>
    </w:p>
    <w:p>
      <w:pPr>
        <w:pStyle w:val="Corpodotexto"/>
        <w:spacing w:lineRule="auto" w:line="360" w:before="0" w:after="0"/>
        <w:jc w:val="both"/>
        <w:rPr>
          <w:rFonts w:ascii="Arial" w:hAnsi="Arial" w:cs="Arial"/>
          <w:sz w:val="22"/>
          <w:szCs w:val="22"/>
        </w:rPr>
      </w:pPr>
      <w:r>
        <w:rPr>
          <w:rFonts w:eastAsia="Arial" w:cs="Arial" w:ascii="Arial" w:hAnsi="Arial"/>
          <w:sz w:val="22"/>
          <w:szCs w:val="22"/>
        </w:rPr>
        <w:t xml:space="preserve">a) Para os serviços de manutenção preventiva e corretiva, contados da efetiva </w:t>
        <w:tab/>
        <w:t>prestação dos serviços, no mínimo 06 (seis) meses;</w:t>
      </w:r>
    </w:p>
    <w:p>
      <w:pPr>
        <w:pStyle w:val="ListNumber"/>
        <w:numPr>
          <w:ilvl w:val="0"/>
          <w:numId w:val="0"/>
        </w:numPr>
        <w:spacing w:lineRule="auto" w:line="360"/>
        <w:ind w:left="0" w:hanging="0"/>
        <w:jc w:val="both"/>
        <w:rPr>
          <w:rFonts w:ascii="Arial" w:hAnsi="Arial" w:eastAsia="Arial" w:cs="Arial"/>
          <w:sz w:val="22"/>
          <w:szCs w:val="22"/>
        </w:rPr>
      </w:pPr>
      <w:r>
        <w:rPr>
          <w:rFonts w:eastAsia="Arial" w:cs="Arial" w:ascii="Arial" w:hAnsi="Arial"/>
          <w:sz w:val="22"/>
          <w:szCs w:val="22"/>
        </w:rPr>
        <w:t>b) Para as peças, componentes e acessórios, contados a partir da data da efetiva instalação no veículo, no mínimo 03 (três) meses;</w:t>
      </w:r>
    </w:p>
    <w:p>
      <w:pPr>
        <w:pStyle w:val="ListNumber"/>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c) Para os serviços em motor, câmbio e suspensão, contados a partir da data da efetiva prestação dos serviços, no mínimo 6 (seis) meses.</w:t>
      </w:r>
    </w:p>
    <w:p>
      <w:pPr>
        <w:pStyle w:val="LO-normal"/>
        <w:spacing w:lineRule="auto" w:line="360"/>
        <w:jc w:val="both"/>
        <w:rPr>
          <w:rFonts w:ascii="Arial" w:hAnsi="Arial" w:eastAsia="Arial" w:cs="Arial"/>
          <w:sz w:val="22"/>
          <w:szCs w:val="22"/>
        </w:rPr>
      </w:pPr>
      <w:r>
        <w:rPr>
          <w:rFonts w:eastAsia="Arial" w:cs="Arial" w:ascii="Arial" w:hAnsi="Arial"/>
          <w:sz w:val="22"/>
          <w:szCs w:val="22"/>
        </w:rPr>
      </w:r>
    </w:p>
    <w:p>
      <w:pPr>
        <w:pStyle w:val="Corpodotexto"/>
        <w:spacing w:lineRule="auto" w:line="360" w:before="0" w:after="0"/>
        <w:jc w:val="both"/>
        <w:rPr>
          <w:rFonts w:ascii="Arial" w:hAnsi="Arial" w:cs="Arial"/>
          <w:sz w:val="22"/>
          <w:szCs w:val="22"/>
        </w:rPr>
      </w:pPr>
      <w:r>
        <w:rPr>
          <w:rFonts w:eastAsia="Arial" w:cs="Arial" w:ascii="Arial" w:hAnsi="Arial"/>
          <w:b/>
          <w:sz w:val="22"/>
          <w:szCs w:val="22"/>
        </w:rPr>
        <w:t>9 – DAS CONDIÇÕES MÍNIMAS EXIGIDAS PARA EXECUÇÃO DOS SERVIÇOS</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9.1 - A localização das instalações físicas da CONTRATADA (OFICINA) não poderá distar mais de 7 (sete) quilômetros de raio, do marco zero do município, qual seja, Praça da Bandeira – Centro, Itatiba – SP, 13250-329 (-23.00591111489462, -46.83872149075086)</w:t>
      </w:r>
    </w:p>
    <w:p>
      <w:pPr>
        <w:pStyle w:val="ListNumber3"/>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 xml:space="preserve">9.1.1 - Caso a licitante vencedora, esteja localizada a uma distância maior, deverá no prazo máximo de 30 (trinta) dias a contar da assinatura do contrato, instalar </w:t>
        <w:tab/>
        <w:t>uma oficina, com estrutura mínima, indicada neste Termo de Referência.</w:t>
      </w:r>
    </w:p>
    <w:p>
      <w:pPr>
        <w:pStyle w:val="Corpodotexto"/>
        <w:spacing w:lineRule="auto" w:line="360" w:before="0" w:after="0"/>
        <w:jc w:val="both"/>
        <w:rPr>
          <w:rFonts w:ascii="Arial" w:hAnsi="Arial" w:cs="Arial"/>
          <w:sz w:val="22"/>
          <w:szCs w:val="22"/>
        </w:rPr>
      </w:pPr>
      <w:r>
        <w:rPr>
          <w:rFonts w:eastAsia="Arial" w:cs="Arial" w:ascii="Arial" w:hAnsi="Arial"/>
          <w:sz w:val="22"/>
          <w:szCs w:val="22"/>
        </w:rPr>
        <w:t>a) Os serviços de assistência técnica e manutenção deverão ser prestados em dias úteis, no período de 8h às 18h;</w:t>
      </w:r>
    </w:p>
    <w:p>
      <w:pPr>
        <w:pStyle w:val="Corpodotexto"/>
        <w:spacing w:lineRule="auto" w:line="360" w:before="0" w:after="0"/>
        <w:jc w:val="both"/>
        <w:rPr>
          <w:rFonts w:ascii="Arial" w:hAnsi="Arial" w:cs="Arial"/>
          <w:sz w:val="22"/>
          <w:szCs w:val="22"/>
        </w:rPr>
      </w:pPr>
      <w:r>
        <w:rPr>
          <w:rFonts w:eastAsia="Arial" w:cs="Arial" w:ascii="Arial" w:hAnsi="Arial"/>
          <w:sz w:val="22"/>
          <w:szCs w:val="22"/>
        </w:rPr>
        <w:t>b) A CONTRATADA deverá, no ato da assinatura do contrato e durante seu prazo de execução, comprovar a contratação de seguro de responsabilidade civil com cobertura para roubo, furto e demais danos aos veículos que estiverem sob sua custódia;</w:t>
      </w:r>
    </w:p>
    <w:p>
      <w:pPr>
        <w:pStyle w:val="ListNumber"/>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 xml:space="preserve">c) A CONTRATADA deverá, através da ferramenta </w:t>
      </w:r>
      <w:r>
        <w:rPr>
          <w:rFonts w:eastAsia="Arial" w:cs="Arial" w:ascii="Arial" w:hAnsi="Arial"/>
          <w:i/>
          <w:sz w:val="22"/>
          <w:szCs w:val="22"/>
        </w:rPr>
        <w:t xml:space="preserve">Rotas </w:t>
      </w:r>
      <w:r>
        <w:rPr>
          <w:rFonts w:eastAsia="Arial" w:cs="Arial" w:ascii="Arial" w:hAnsi="Arial"/>
          <w:sz w:val="22"/>
          <w:szCs w:val="22"/>
        </w:rPr>
        <w:t xml:space="preserve">do site </w:t>
      </w:r>
      <w:r>
        <w:rPr>
          <w:rFonts w:eastAsia="Arial" w:cs="Arial" w:ascii="Arial" w:hAnsi="Arial"/>
          <w:i/>
          <w:sz w:val="22"/>
          <w:szCs w:val="22"/>
        </w:rPr>
        <w:t xml:space="preserve">Google Maps, </w:t>
        <w:tab/>
      </w:r>
      <w:r>
        <w:rPr>
          <w:rFonts w:eastAsia="Arial" w:cs="Arial" w:ascii="Arial" w:hAnsi="Arial"/>
          <w:sz w:val="22"/>
          <w:szCs w:val="22"/>
        </w:rPr>
        <w:t>comprovar a distância máxima de 7 (sete) quilômetros de raio entre a localização de suas instalações físicas e o Marco Zero (Praça da Bandeira), independentemente do trajeto.</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9.2 - Possuir instalações físicas próprias com equipamentos, ferramentas e técnicos especializados para execução dos serviços contratados, dentre eles, no mínimo:</w:t>
      </w:r>
    </w:p>
    <w:p>
      <w:pPr>
        <w:pStyle w:val="LO-normal"/>
        <w:spacing w:lineRule="auto" w:line="360"/>
        <w:jc w:val="both"/>
        <w:rPr>
          <w:rFonts w:ascii="Arial" w:hAnsi="Arial" w:cs="Arial"/>
          <w:sz w:val="22"/>
          <w:szCs w:val="22"/>
        </w:rPr>
      </w:pPr>
      <w:r>
        <w:rPr>
          <w:rFonts w:eastAsia="Arial" w:cs="Arial" w:ascii="Arial" w:hAnsi="Arial"/>
          <w:sz w:val="22"/>
          <w:szCs w:val="22"/>
        </w:rPr>
        <w:t>a) Prensa</w:t>
      </w:r>
    </w:p>
    <w:p>
      <w:pPr>
        <w:pStyle w:val="LO-normal"/>
        <w:spacing w:lineRule="auto" w:line="360"/>
        <w:jc w:val="both"/>
        <w:rPr>
          <w:rFonts w:ascii="Arial" w:hAnsi="Arial" w:cs="Arial"/>
          <w:sz w:val="22"/>
          <w:szCs w:val="22"/>
        </w:rPr>
      </w:pPr>
      <w:r>
        <w:rPr>
          <w:rFonts w:eastAsia="Arial" w:cs="Arial" w:ascii="Arial" w:hAnsi="Arial"/>
          <w:sz w:val="22"/>
          <w:szCs w:val="22"/>
        </w:rPr>
        <w:t>b) Bancada com morsa</w:t>
      </w:r>
    </w:p>
    <w:p>
      <w:pPr>
        <w:pStyle w:val="LO-normal"/>
        <w:spacing w:lineRule="auto" w:line="360"/>
        <w:jc w:val="both"/>
        <w:rPr>
          <w:rFonts w:ascii="Arial" w:hAnsi="Arial" w:cs="Arial"/>
          <w:sz w:val="22"/>
          <w:szCs w:val="22"/>
        </w:rPr>
      </w:pPr>
      <w:r>
        <w:rPr>
          <w:rFonts w:eastAsia="Arial" w:cs="Arial" w:ascii="Arial" w:hAnsi="Arial"/>
          <w:sz w:val="22"/>
          <w:szCs w:val="22"/>
        </w:rPr>
        <w:t>c) Macaco tipo jacaré (02 toneladas ou mais)</w:t>
      </w:r>
    </w:p>
    <w:p>
      <w:pPr>
        <w:pStyle w:val="LO-normal"/>
        <w:spacing w:lineRule="auto" w:line="360"/>
        <w:jc w:val="both"/>
        <w:rPr>
          <w:rFonts w:ascii="Arial" w:hAnsi="Arial" w:cs="Arial"/>
          <w:sz w:val="22"/>
          <w:szCs w:val="22"/>
        </w:rPr>
      </w:pPr>
      <w:r>
        <w:rPr>
          <w:rFonts w:eastAsia="Arial" w:cs="Arial" w:ascii="Arial" w:hAnsi="Arial"/>
          <w:sz w:val="22"/>
          <w:szCs w:val="22"/>
        </w:rPr>
        <w:t>d) Coletor de óleo com carrinho</w:t>
      </w:r>
    </w:p>
    <w:p>
      <w:pPr>
        <w:pStyle w:val="LO-normal"/>
        <w:spacing w:lineRule="auto" w:line="360"/>
        <w:jc w:val="both"/>
        <w:rPr>
          <w:rFonts w:ascii="Arial" w:hAnsi="Arial" w:cs="Arial"/>
          <w:sz w:val="22"/>
          <w:szCs w:val="22"/>
        </w:rPr>
      </w:pPr>
      <w:r>
        <w:rPr>
          <w:rFonts w:eastAsia="Arial" w:cs="Arial" w:ascii="Arial" w:hAnsi="Arial"/>
          <w:sz w:val="22"/>
          <w:szCs w:val="22"/>
        </w:rPr>
        <w:t>e) 02 Máquinas pneumáticas profissional (3/4” e ½”)</w:t>
      </w:r>
    </w:p>
    <w:p>
      <w:pPr>
        <w:pStyle w:val="LO-normal"/>
        <w:spacing w:lineRule="auto" w:line="360"/>
        <w:jc w:val="both"/>
        <w:rPr>
          <w:rFonts w:ascii="Arial" w:hAnsi="Arial" w:cs="Arial"/>
          <w:sz w:val="22"/>
          <w:szCs w:val="22"/>
        </w:rPr>
      </w:pPr>
      <w:r>
        <w:rPr>
          <w:rFonts w:eastAsia="Arial" w:cs="Arial" w:ascii="Arial" w:hAnsi="Arial"/>
          <w:sz w:val="22"/>
          <w:szCs w:val="22"/>
        </w:rPr>
        <w:t>f) Elevador hidráulico (04 toneladas ou mais)</w:t>
      </w:r>
    </w:p>
    <w:p>
      <w:pPr>
        <w:pStyle w:val="LO-normal"/>
        <w:spacing w:lineRule="auto" w:line="360"/>
        <w:jc w:val="both"/>
        <w:rPr>
          <w:rFonts w:ascii="Arial" w:hAnsi="Arial" w:cs="Arial"/>
          <w:sz w:val="22"/>
          <w:szCs w:val="22"/>
        </w:rPr>
      </w:pPr>
      <w:r>
        <w:rPr>
          <w:rFonts w:eastAsia="Arial" w:cs="Arial" w:ascii="Arial" w:hAnsi="Arial"/>
          <w:sz w:val="22"/>
          <w:szCs w:val="22"/>
        </w:rPr>
        <w:t>g)Carregador de bateria (até 150 amperes)</w:t>
      </w:r>
    </w:p>
    <w:p>
      <w:pPr>
        <w:pStyle w:val="LO-normal"/>
        <w:spacing w:lineRule="auto" w:line="360"/>
        <w:jc w:val="both"/>
        <w:rPr>
          <w:rFonts w:ascii="Arial" w:hAnsi="Arial" w:cs="Arial"/>
          <w:sz w:val="22"/>
          <w:szCs w:val="22"/>
        </w:rPr>
      </w:pPr>
      <w:r>
        <w:rPr>
          <w:rFonts w:eastAsia="Arial" w:cs="Arial" w:ascii="Arial" w:hAnsi="Arial"/>
          <w:sz w:val="22"/>
          <w:szCs w:val="22"/>
        </w:rPr>
        <w:t xml:space="preserve">h)Cabo de carga para bateria </w:t>
      </w:r>
    </w:p>
    <w:p>
      <w:pPr>
        <w:pStyle w:val="LO-normal"/>
        <w:spacing w:lineRule="auto" w:line="360"/>
        <w:jc w:val="both"/>
        <w:rPr>
          <w:rFonts w:ascii="Arial" w:hAnsi="Arial" w:cs="Arial"/>
          <w:sz w:val="22"/>
          <w:szCs w:val="22"/>
        </w:rPr>
      </w:pPr>
      <w:r>
        <w:rPr>
          <w:rFonts w:eastAsia="Arial" w:cs="Arial" w:ascii="Arial" w:hAnsi="Arial"/>
          <w:sz w:val="22"/>
          <w:szCs w:val="22"/>
        </w:rPr>
        <w:t>i) Equipamento para limpeza do sistema de injeção, scanner</w:t>
      </w:r>
    </w:p>
    <w:p>
      <w:pPr>
        <w:pStyle w:val="LO-normal"/>
        <w:spacing w:lineRule="auto" w:line="360"/>
        <w:jc w:val="both"/>
        <w:rPr>
          <w:rFonts w:ascii="Arial" w:hAnsi="Arial" w:cs="Arial"/>
          <w:sz w:val="22"/>
          <w:szCs w:val="22"/>
        </w:rPr>
      </w:pPr>
      <w:r>
        <w:rPr>
          <w:rFonts w:eastAsia="Arial" w:cs="Arial" w:ascii="Arial" w:hAnsi="Arial"/>
          <w:sz w:val="22"/>
          <w:szCs w:val="22"/>
        </w:rPr>
        <w:t>j) Multímetro digital</w:t>
      </w:r>
    </w:p>
    <w:p>
      <w:pPr>
        <w:pStyle w:val="LO-normal"/>
        <w:spacing w:lineRule="auto" w:line="360"/>
        <w:jc w:val="both"/>
        <w:rPr>
          <w:rFonts w:ascii="Arial" w:hAnsi="Arial" w:cs="Arial"/>
          <w:sz w:val="22"/>
          <w:szCs w:val="22"/>
        </w:rPr>
      </w:pPr>
      <w:r>
        <w:rPr>
          <w:rFonts w:eastAsia="Arial" w:cs="Arial" w:ascii="Arial" w:hAnsi="Arial"/>
          <w:sz w:val="22"/>
          <w:szCs w:val="22"/>
        </w:rPr>
        <w:t>k) Cavalete de montar motor</w:t>
      </w:r>
    </w:p>
    <w:p>
      <w:pPr>
        <w:pStyle w:val="LO-normal"/>
        <w:spacing w:lineRule="auto" w:line="360"/>
        <w:jc w:val="both"/>
        <w:rPr>
          <w:rFonts w:ascii="Arial" w:hAnsi="Arial" w:cs="Arial"/>
          <w:sz w:val="22"/>
          <w:szCs w:val="22"/>
        </w:rPr>
      </w:pPr>
      <w:r>
        <w:rPr>
          <w:rFonts w:eastAsia="Arial" w:cs="Arial" w:ascii="Arial" w:hAnsi="Arial"/>
          <w:sz w:val="22"/>
          <w:szCs w:val="22"/>
        </w:rPr>
        <w:t>l) Compressor de ar</w:t>
      </w:r>
    </w:p>
    <w:p>
      <w:pPr>
        <w:pStyle w:val="LO-normal"/>
        <w:spacing w:lineRule="auto" w:line="360"/>
        <w:jc w:val="both"/>
        <w:rPr>
          <w:rFonts w:ascii="Arial" w:hAnsi="Arial" w:cs="Arial"/>
          <w:sz w:val="22"/>
          <w:szCs w:val="22"/>
        </w:rPr>
      </w:pPr>
      <w:r>
        <w:rPr>
          <w:rFonts w:eastAsia="Arial" w:cs="Arial" w:ascii="Arial" w:hAnsi="Arial"/>
          <w:sz w:val="22"/>
          <w:szCs w:val="22"/>
        </w:rPr>
        <w:t>m) Caixa de ferramentas completa para desenvolver os serviços ora licitados</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9.3 - Arcar com os ônus decorrentes da utilização de materiais, equipamentos, ferramentas ou produtos utilizados na execução dos serviços, sem possibilidade de ressarcimento pelo CONTRATANTE.</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9.4 - Possuir instalações físicas próprias com área pavimentada suficiente para atendimento da frota descrita neste Termo de Referência, sendo vedada a utilização de vias públicas para o estacionamento dos veículos.</w:t>
      </w:r>
    </w:p>
    <w:p>
      <w:pPr>
        <w:pStyle w:val="ListNumber3"/>
        <w:numPr>
          <w:ilvl w:val="0"/>
          <w:numId w:val="0"/>
        </w:numPr>
        <w:spacing w:lineRule="auto" w:line="360"/>
        <w:ind w:left="0" w:firstLine="709"/>
        <w:jc w:val="both"/>
        <w:rPr>
          <w:rFonts w:ascii="Arial" w:hAnsi="Arial" w:cs="Arial"/>
          <w:sz w:val="22"/>
          <w:szCs w:val="22"/>
        </w:rPr>
      </w:pPr>
      <w:r>
        <w:rPr>
          <w:rFonts w:eastAsia="Arial" w:cs="Arial" w:ascii="Arial" w:hAnsi="Arial"/>
          <w:sz w:val="22"/>
          <w:szCs w:val="22"/>
        </w:rPr>
        <w:t xml:space="preserve">9.4.1 - As instalações físicas deverão comportar simultaneamente a quantidade </w:t>
        <w:tab/>
        <w:t>mínima de veículos indica abaixo:</w:t>
      </w:r>
    </w:p>
    <w:tbl>
      <w:tblPr>
        <w:tblW w:w="9431" w:type="dxa"/>
        <w:jc w:val="left"/>
        <w:tblInd w:w="171" w:type="dxa"/>
        <w:tblLayout w:type="fixed"/>
        <w:tblCellMar>
          <w:top w:w="0" w:type="dxa"/>
          <w:left w:w="108" w:type="dxa"/>
          <w:bottom w:w="0" w:type="dxa"/>
          <w:right w:w="108" w:type="dxa"/>
        </w:tblCellMar>
        <w:tblLook w:firstRow="0" w:noVBand="0" w:lastRow="0" w:firstColumn="0" w:lastColumn="0" w:noHBand="0" w:val="0000"/>
      </w:tblPr>
      <w:tblGrid>
        <w:gridCol w:w="1785"/>
        <w:gridCol w:w="5805"/>
        <w:gridCol w:w="1841"/>
      </w:tblGrid>
      <w:tr>
        <w:trPr>
          <w:trHeight w:val="915" w:hRule="atLeast"/>
        </w:trPr>
        <w:tc>
          <w:tcPr>
            <w:tcW w:w="178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LO-normal"/>
              <w:widowControl w:val="false"/>
              <w:jc w:val="both"/>
              <w:rPr>
                <w:rFonts w:ascii="Arial" w:hAnsi="Arial" w:cs="Arial"/>
                <w:sz w:val="18"/>
                <w:szCs w:val="18"/>
              </w:rPr>
            </w:pPr>
            <w:r>
              <w:rPr>
                <w:rFonts w:eastAsia="Arial" w:cs="Arial" w:ascii="Arial" w:hAnsi="Arial"/>
                <w:b/>
                <w:sz w:val="18"/>
                <w:szCs w:val="18"/>
              </w:rPr>
              <w:t>LOTE 01</w:t>
            </w:r>
          </w:p>
        </w:tc>
        <w:tc>
          <w:tcPr>
            <w:tcW w:w="5805" w:type="dxa"/>
            <w:tcBorders>
              <w:top w:val="single" w:sz="4" w:space="0" w:color="000000"/>
              <w:bottom w:val="single" w:sz="4" w:space="0" w:color="000000"/>
              <w:right w:val="single" w:sz="4" w:space="0" w:color="000000"/>
            </w:tcBorders>
            <w:shd w:color="auto" w:fill="FFFFFF" w:val="clear"/>
            <w:vAlign w:val="center"/>
          </w:tcPr>
          <w:p>
            <w:pPr>
              <w:pStyle w:val="LO-normal"/>
              <w:widowControl w:val="false"/>
              <w:jc w:val="both"/>
              <w:rPr>
                <w:rFonts w:ascii="Arial" w:hAnsi="Arial" w:cs="Arial"/>
                <w:sz w:val="18"/>
                <w:szCs w:val="18"/>
              </w:rPr>
            </w:pPr>
            <w:r>
              <w:rPr>
                <w:rFonts w:eastAsia="Arial" w:cs="Arial" w:ascii="Arial" w:hAnsi="Arial"/>
                <w:b/>
                <w:sz w:val="18"/>
                <w:szCs w:val="18"/>
              </w:rPr>
              <w:t>SERVIÇOS MECÂNICOS - VEÍCULOS PESADOS</w:t>
            </w:r>
          </w:p>
        </w:tc>
        <w:tc>
          <w:tcPr>
            <w:tcW w:w="1841" w:type="dxa"/>
            <w:tcBorders>
              <w:top w:val="single" w:sz="4" w:space="0" w:color="000000"/>
              <w:bottom w:val="single" w:sz="4" w:space="0" w:color="000000"/>
              <w:right w:val="single" w:sz="4" w:space="0" w:color="000000"/>
            </w:tcBorders>
            <w:shd w:color="auto" w:fill="auto" w:val="clear"/>
            <w:vAlign w:val="center"/>
          </w:tcPr>
          <w:p>
            <w:pPr>
              <w:pStyle w:val="LO-normal"/>
              <w:widowControl w:val="false"/>
              <w:jc w:val="both"/>
              <w:rPr>
                <w:rFonts w:ascii="Arial" w:hAnsi="Arial" w:cs="Arial"/>
                <w:sz w:val="18"/>
                <w:szCs w:val="18"/>
              </w:rPr>
            </w:pPr>
            <w:r>
              <w:rPr>
                <w:rFonts w:eastAsia="Arial" w:cs="Arial" w:ascii="Arial" w:hAnsi="Arial"/>
                <w:b/>
                <w:sz w:val="18"/>
                <w:szCs w:val="18"/>
              </w:rPr>
              <w:t>04 veículos</w:t>
            </w:r>
          </w:p>
        </w:tc>
      </w:tr>
      <w:tr>
        <w:trPr>
          <w:trHeight w:val="915" w:hRule="atLeast"/>
        </w:trPr>
        <w:tc>
          <w:tcPr>
            <w:tcW w:w="1785" w:type="dxa"/>
            <w:tcBorders>
              <w:left w:val="single" w:sz="4" w:space="0" w:color="000000"/>
              <w:bottom w:val="single" w:sz="4" w:space="0" w:color="000000"/>
              <w:right w:val="single" w:sz="4" w:space="0" w:color="000000"/>
            </w:tcBorders>
            <w:shd w:color="auto" w:fill="FFFFFF" w:val="clear"/>
            <w:vAlign w:val="center"/>
          </w:tcPr>
          <w:p>
            <w:pPr>
              <w:pStyle w:val="LO-normal"/>
              <w:widowControl w:val="false"/>
              <w:jc w:val="both"/>
              <w:rPr>
                <w:rFonts w:ascii="Arial" w:hAnsi="Arial" w:cs="Arial"/>
                <w:sz w:val="18"/>
                <w:szCs w:val="18"/>
              </w:rPr>
            </w:pPr>
            <w:r>
              <w:rPr>
                <w:rFonts w:eastAsia="Arial" w:cs="Arial" w:ascii="Arial" w:hAnsi="Arial"/>
                <w:b/>
                <w:sz w:val="18"/>
                <w:szCs w:val="18"/>
              </w:rPr>
              <w:t>LOTE 02</w:t>
            </w:r>
          </w:p>
        </w:tc>
        <w:tc>
          <w:tcPr>
            <w:tcW w:w="5805" w:type="dxa"/>
            <w:tcBorders>
              <w:bottom w:val="single" w:sz="4" w:space="0" w:color="000000"/>
              <w:right w:val="single" w:sz="4" w:space="0" w:color="000000"/>
            </w:tcBorders>
            <w:shd w:color="auto" w:fill="FFFFFF" w:val="clear"/>
            <w:vAlign w:val="center"/>
          </w:tcPr>
          <w:p>
            <w:pPr>
              <w:pStyle w:val="LO-normal"/>
              <w:widowControl w:val="false"/>
              <w:jc w:val="both"/>
              <w:rPr>
                <w:rFonts w:ascii="Arial" w:hAnsi="Arial" w:cs="Arial"/>
                <w:sz w:val="18"/>
                <w:szCs w:val="18"/>
              </w:rPr>
            </w:pPr>
            <w:r>
              <w:rPr>
                <w:rFonts w:eastAsia="Arial" w:cs="Arial" w:ascii="Arial" w:hAnsi="Arial"/>
                <w:b/>
                <w:sz w:val="18"/>
                <w:szCs w:val="18"/>
              </w:rPr>
              <w:t xml:space="preserve">SERVIÇOS ELÉTRICOS - VEÍCULOS PESADOS </w:t>
            </w:r>
          </w:p>
        </w:tc>
        <w:tc>
          <w:tcPr>
            <w:tcW w:w="1841" w:type="dxa"/>
            <w:tcBorders>
              <w:bottom w:val="single" w:sz="4" w:space="0" w:color="000000"/>
              <w:right w:val="single" w:sz="4" w:space="0" w:color="000000"/>
            </w:tcBorders>
            <w:shd w:color="auto" w:fill="auto" w:val="clear"/>
            <w:vAlign w:val="center"/>
          </w:tcPr>
          <w:p>
            <w:pPr>
              <w:pStyle w:val="LO-normal"/>
              <w:widowControl w:val="false"/>
              <w:jc w:val="both"/>
              <w:rPr>
                <w:rFonts w:ascii="Arial" w:hAnsi="Arial" w:cs="Arial"/>
                <w:sz w:val="18"/>
                <w:szCs w:val="18"/>
              </w:rPr>
            </w:pPr>
            <w:r>
              <w:rPr>
                <w:rFonts w:eastAsia="Arial" w:cs="Arial" w:ascii="Arial" w:hAnsi="Arial"/>
                <w:b/>
                <w:sz w:val="18"/>
                <w:szCs w:val="18"/>
              </w:rPr>
              <w:t>02 veículos</w:t>
            </w:r>
          </w:p>
        </w:tc>
      </w:tr>
      <w:tr>
        <w:trPr>
          <w:trHeight w:val="915" w:hRule="atLeast"/>
        </w:trPr>
        <w:tc>
          <w:tcPr>
            <w:tcW w:w="1785" w:type="dxa"/>
            <w:tcBorders>
              <w:left w:val="single" w:sz="4" w:space="0" w:color="000000"/>
              <w:bottom w:val="single" w:sz="4" w:space="0" w:color="000000"/>
              <w:right w:val="single" w:sz="4" w:space="0" w:color="000000"/>
            </w:tcBorders>
            <w:shd w:color="auto" w:fill="FFFFFF" w:val="clear"/>
            <w:vAlign w:val="center"/>
          </w:tcPr>
          <w:p>
            <w:pPr>
              <w:pStyle w:val="LO-normal"/>
              <w:widowControl w:val="false"/>
              <w:jc w:val="both"/>
              <w:rPr>
                <w:rFonts w:ascii="Arial" w:hAnsi="Arial" w:cs="Arial"/>
                <w:sz w:val="18"/>
                <w:szCs w:val="18"/>
              </w:rPr>
            </w:pPr>
            <w:r>
              <w:rPr>
                <w:rFonts w:eastAsia="Arial" w:cs="Arial" w:ascii="Arial" w:hAnsi="Arial"/>
                <w:b/>
                <w:sz w:val="18"/>
                <w:szCs w:val="18"/>
              </w:rPr>
              <w:t>LOTE 03</w:t>
            </w:r>
          </w:p>
        </w:tc>
        <w:tc>
          <w:tcPr>
            <w:tcW w:w="5805" w:type="dxa"/>
            <w:tcBorders>
              <w:bottom w:val="single" w:sz="4" w:space="0" w:color="000000"/>
              <w:right w:val="single" w:sz="4" w:space="0" w:color="000000"/>
            </w:tcBorders>
            <w:shd w:color="auto" w:fill="FFFFFF" w:val="clear"/>
            <w:vAlign w:val="center"/>
          </w:tcPr>
          <w:p>
            <w:pPr>
              <w:pStyle w:val="LO-normal"/>
              <w:widowControl w:val="false"/>
              <w:jc w:val="both"/>
              <w:rPr>
                <w:rFonts w:ascii="Arial" w:hAnsi="Arial" w:cs="Arial"/>
                <w:sz w:val="18"/>
                <w:szCs w:val="18"/>
              </w:rPr>
            </w:pPr>
            <w:r>
              <w:rPr>
                <w:rFonts w:eastAsia="Arial" w:cs="Arial" w:ascii="Arial" w:hAnsi="Arial"/>
                <w:b/>
                <w:sz w:val="18"/>
                <w:szCs w:val="18"/>
              </w:rPr>
              <w:t>SERVIÇOS MECÂNICOS - VEÍCULOS LEVES</w:t>
            </w:r>
          </w:p>
        </w:tc>
        <w:tc>
          <w:tcPr>
            <w:tcW w:w="1841" w:type="dxa"/>
            <w:tcBorders>
              <w:bottom w:val="single" w:sz="4" w:space="0" w:color="000000"/>
              <w:right w:val="single" w:sz="4" w:space="0" w:color="000000"/>
            </w:tcBorders>
            <w:shd w:color="auto" w:fill="auto" w:val="clear"/>
            <w:vAlign w:val="center"/>
          </w:tcPr>
          <w:p>
            <w:pPr>
              <w:pStyle w:val="LO-normal"/>
              <w:widowControl w:val="false"/>
              <w:jc w:val="both"/>
              <w:rPr>
                <w:rFonts w:ascii="Arial" w:hAnsi="Arial" w:cs="Arial"/>
                <w:sz w:val="18"/>
                <w:szCs w:val="18"/>
              </w:rPr>
            </w:pPr>
            <w:r>
              <w:rPr>
                <w:rFonts w:eastAsia="Arial" w:cs="Arial" w:ascii="Arial" w:hAnsi="Arial"/>
                <w:b/>
                <w:sz w:val="18"/>
                <w:szCs w:val="18"/>
              </w:rPr>
              <w:t>08 veículos</w:t>
            </w:r>
          </w:p>
        </w:tc>
      </w:tr>
      <w:tr>
        <w:trPr>
          <w:trHeight w:val="915" w:hRule="atLeast"/>
        </w:trPr>
        <w:tc>
          <w:tcPr>
            <w:tcW w:w="1785" w:type="dxa"/>
            <w:tcBorders>
              <w:left w:val="single" w:sz="4" w:space="0" w:color="000000"/>
              <w:bottom w:val="single" w:sz="4" w:space="0" w:color="000000"/>
              <w:right w:val="single" w:sz="4" w:space="0" w:color="000000"/>
            </w:tcBorders>
            <w:shd w:color="auto" w:fill="FFFFFF" w:val="clear"/>
            <w:vAlign w:val="center"/>
          </w:tcPr>
          <w:p>
            <w:pPr>
              <w:pStyle w:val="LO-normal"/>
              <w:widowControl w:val="false"/>
              <w:jc w:val="both"/>
              <w:rPr>
                <w:rFonts w:ascii="Arial" w:hAnsi="Arial" w:cs="Arial"/>
                <w:sz w:val="18"/>
                <w:szCs w:val="18"/>
              </w:rPr>
            </w:pPr>
            <w:r>
              <w:rPr>
                <w:rFonts w:eastAsia="Arial" w:cs="Arial" w:ascii="Arial" w:hAnsi="Arial"/>
                <w:b/>
                <w:sz w:val="18"/>
                <w:szCs w:val="18"/>
              </w:rPr>
              <w:t>LOTE 04</w:t>
            </w:r>
          </w:p>
        </w:tc>
        <w:tc>
          <w:tcPr>
            <w:tcW w:w="5805" w:type="dxa"/>
            <w:tcBorders>
              <w:bottom w:val="single" w:sz="4" w:space="0" w:color="000000"/>
              <w:right w:val="single" w:sz="4" w:space="0" w:color="000000"/>
            </w:tcBorders>
            <w:shd w:color="auto" w:fill="FFFFFF" w:val="clear"/>
            <w:vAlign w:val="center"/>
          </w:tcPr>
          <w:p>
            <w:pPr>
              <w:pStyle w:val="LO-normal"/>
              <w:widowControl w:val="false"/>
              <w:jc w:val="both"/>
              <w:rPr>
                <w:rFonts w:ascii="Arial" w:hAnsi="Arial" w:cs="Arial"/>
                <w:sz w:val="18"/>
                <w:szCs w:val="18"/>
              </w:rPr>
            </w:pPr>
            <w:r>
              <w:rPr>
                <w:rFonts w:eastAsia="Arial" w:cs="Arial" w:ascii="Arial" w:hAnsi="Arial"/>
                <w:b/>
                <w:sz w:val="18"/>
                <w:szCs w:val="18"/>
              </w:rPr>
              <w:t>SERVIÇOS ELÉTRICOS - VEÍCULOS LEVES</w:t>
            </w:r>
          </w:p>
        </w:tc>
        <w:tc>
          <w:tcPr>
            <w:tcW w:w="1841" w:type="dxa"/>
            <w:tcBorders>
              <w:bottom w:val="single" w:sz="4" w:space="0" w:color="000000"/>
              <w:right w:val="single" w:sz="4" w:space="0" w:color="000000"/>
            </w:tcBorders>
            <w:shd w:color="auto" w:fill="auto" w:val="clear"/>
            <w:vAlign w:val="center"/>
          </w:tcPr>
          <w:p>
            <w:pPr>
              <w:pStyle w:val="LO-normal"/>
              <w:widowControl w:val="false"/>
              <w:jc w:val="both"/>
              <w:rPr>
                <w:rFonts w:ascii="Arial" w:hAnsi="Arial" w:cs="Arial"/>
                <w:sz w:val="18"/>
                <w:szCs w:val="18"/>
              </w:rPr>
            </w:pPr>
            <w:r>
              <w:rPr>
                <w:rFonts w:eastAsia="Arial" w:cs="Arial" w:ascii="Arial" w:hAnsi="Arial"/>
                <w:b/>
                <w:sz w:val="18"/>
                <w:szCs w:val="18"/>
              </w:rPr>
              <w:t>04 veículos</w:t>
            </w:r>
          </w:p>
        </w:tc>
      </w:tr>
      <w:tr>
        <w:trPr>
          <w:trHeight w:val="915" w:hRule="atLeast"/>
        </w:trPr>
        <w:tc>
          <w:tcPr>
            <w:tcW w:w="1785" w:type="dxa"/>
            <w:tcBorders>
              <w:left w:val="single" w:sz="4" w:space="0" w:color="000000"/>
              <w:bottom w:val="single" w:sz="4" w:space="0" w:color="000000"/>
              <w:right w:val="single" w:sz="4" w:space="0" w:color="000000"/>
            </w:tcBorders>
            <w:shd w:color="auto" w:fill="FFFFFF" w:val="clear"/>
            <w:vAlign w:val="center"/>
          </w:tcPr>
          <w:p>
            <w:pPr>
              <w:pStyle w:val="LO-normal"/>
              <w:widowControl w:val="false"/>
              <w:jc w:val="both"/>
              <w:rPr>
                <w:rFonts w:ascii="Arial" w:hAnsi="Arial" w:cs="Arial"/>
                <w:sz w:val="18"/>
                <w:szCs w:val="18"/>
              </w:rPr>
            </w:pPr>
            <w:r>
              <w:rPr>
                <w:rFonts w:eastAsia="Arial" w:cs="Arial" w:ascii="Arial" w:hAnsi="Arial"/>
                <w:b/>
                <w:sz w:val="18"/>
                <w:szCs w:val="18"/>
              </w:rPr>
              <w:t>LOTE 05</w:t>
            </w:r>
          </w:p>
        </w:tc>
        <w:tc>
          <w:tcPr>
            <w:tcW w:w="5805" w:type="dxa"/>
            <w:tcBorders>
              <w:bottom w:val="single" w:sz="4" w:space="0" w:color="000000"/>
              <w:right w:val="single" w:sz="4" w:space="0" w:color="000000"/>
            </w:tcBorders>
            <w:shd w:color="auto" w:fill="FFFFFF" w:val="clear"/>
            <w:vAlign w:val="center"/>
          </w:tcPr>
          <w:p>
            <w:pPr>
              <w:pStyle w:val="LO-normal"/>
              <w:widowControl w:val="false"/>
              <w:jc w:val="both"/>
              <w:rPr>
                <w:rFonts w:ascii="Arial" w:hAnsi="Arial" w:cs="Arial"/>
                <w:sz w:val="18"/>
                <w:szCs w:val="18"/>
              </w:rPr>
            </w:pPr>
            <w:r>
              <w:rPr>
                <w:rFonts w:eastAsia="Arial" w:cs="Arial" w:ascii="Arial" w:hAnsi="Arial"/>
                <w:b/>
                <w:sz w:val="18"/>
                <w:szCs w:val="18"/>
              </w:rPr>
              <w:t>SERVIÇOS MECÂNICOS - MÁQUINAS</w:t>
            </w:r>
          </w:p>
        </w:tc>
        <w:tc>
          <w:tcPr>
            <w:tcW w:w="1841" w:type="dxa"/>
            <w:tcBorders>
              <w:bottom w:val="single" w:sz="4" w:space="0" w:color="000000"/>
              <w:right w:val="single" w:sz="4" w:space="0" w:color="000000"/>
            </w:tcBorders>
            <w:shd w:color="auto" w:fill="auto" w:val="clear"/>
            <w:vAlign w:val="center"/>
          </w:tcPr>
          <w:p>
            <w:pPr>
              <w:pStyle w:val="LO-normal"/>
              <w:widowControl w:val="false"/>
              <w:jc w:val="both"/>
              <w:rPr>
                <w:rFonts w:ascii="Arial" w:hAnsi="Arial" w:cs="Arial"/>
                <w:sz w:val="18"/>
                <w:szCs w:val="18"/>
              </w:rPr>
            </w:pPr>
            <w:r>
              <w:rPr>
                <w:rFonts w:eastAsia="Arial" w:cs="Arial" w:ascii="Arial" w:hAnsi="Arial"/>
                <w:b/>
                <w:sz w:val="18"/>
                <w:szCs w:val="18"/>
              </w:rPr>
              <w:t>04 veículos</w:t>
            </w:r>
          </w:p>
        </w:tc>
      </w:tr>
      <w:tr>
        <w:trPr>
          <w:trHeight w:val="915" w:hRule="atLeast"/>
        </w:trPr>
        <w:tc>
          <w:tcPr>
            <w:tcW w:w="1785" w:type="dxa"/>
            <w:tcBorders>
              <w:left w:val="single" w:sz="4" w:space="0" w:color="000000"/>
              <w:bottom w:val="single" w:sz="4" w:space="0" w:color="000000"/>
              <w:right w:val="single" w:sz="4" w:space="0" w:color="000000"/>
            </w:tcBorders>
            <w:shd w:color="auto" w:fill="FFFFFF" w:val="clear"/>
            <w:vAlign w:val="center"/>
          </w:tcPr>
          <w:p>
            <w:pPr>
              <w:pStyle w:val="LO-normal"/>
              <w:widowControl w:val="false"/>
              <w:jc w:val="both"/>
              <w:rPr>
                <w:rFonts w:ascii="Arial" w:hAnsi="Arial" w:cs="Arial"/>
                <w:sz w:val="18"/>
                <w:szCs w:val="18"/>
              </w:rPr>
            </w:pPr>
            <w:r>
              <w:rPr>
                <w:rFonts w:eastAsia="Arial" w:cs="Arial" w:ascii="Arial" w:hAnsi="Arial"/>
                <w:b/>
                <w:sz w:val="18"/>
                <w:szCs w:val="18"/>
              </w:rPr>
              <w:t>LOTE 06</w:t>
            </w:r>
          </w:p>
        </w:tc>
        <w:tc>
          <w:tcPr>
            <w:tcW w:w="5805" w:type="dxa"/>
            <w:tcBorders>
              <w:bottom w:val="single" w:sz="4" w:space="0" w:color="000000"/>
              <w:right w:val="single" w:sz="4" w:space="0" w:color="000000"/>
            </w:tcBorders>
            <w:shd w:color="auto" w:fill="FFFFFF" w:val="clear"/>
            <w:vAlign w:val="center"/>
          </w:tcPr>
          <w:p>
            <w:pPr>
              <w:pStyle w:val="LO-normal"/>
              <w:widowControl w:val="false"/>
              <w:jc w:val="both"/>
              <w:rPr>
                <w:rFonts w:ascii="Arial" w:hAnsi="Arial" w:cs="Arial"/>
                <w:sz w:val="18"/>
                <w:szCs w:val="18"/>
              </w:rPr>
            </w:pPr>
            <w:r>
              <w:rPr>
                <w:rFonts w:eastAsia="Arial" w:cs="Arial" w:ascii="Arial" w:hAnsi="Arial"/>
                <w:b/>
                <w:sz w:val="18"/>
                <w:szCs w:val="18"/>
              </w:rPr>
              <w:t>SERVIÇOS ELÉTRICOS - MÁQUINAS</w:t>
            </w:r>
          </w:p>
        </w:tc>
        <w:tc>
          <w:tcPr>
            <w:tcW w:w="1841" w:type="dxa"/>
            <w:tcBorders>
              <w:bottom w:val="single" w:sz="4" w:space="0" w:color="000000"/>
              <w:right w:val="single" w:sz="4" w:space="0" w:color="000000"/>
            </w:tcBorders>
            <w:shd w:color="auto" w:fill="auto" w:val="clear"/>
            <w:vAlign w:val="center"/>
          </w:tcPr>
          <w:p>
            <w:pPr>
              <w:pStyle w:val="LO-normal"/>
              <w:widowControl w:val="false"/>
              <w:jc w:val="both"/>
              <w:rPr>
                <w:rFonts w:ascii="Arial" w:hAnsi="Arial" w:cs="Arial"/>
                <w:sz w:val="18"/>
                <w:szCs w:val="18"/>
              </w:rPr>
            </w:pPr>
            <w:r>
              <w:rPr>
                <w:rFonts w:eastAsia="Arial" w:cs="Arial" w:ascii="Arial" w:hAnsi="Arial"/>
                <w:b/>
                <w:sz w:val="18"/>
                <w:szCs w:val="18"/>
              </w:rPr>
              <w:t>02 veículos</w:t>
            </w:r>
          </w:p>
        </w:tc>
      </w:tr>
      <w:tr>
        <w:trPr>
          <w:trHeight w:val="915" w:hRule="atLeast"/>
        </w:trPr>
        <w:tc>
          <w:tcPr>
            <w:tcW w:w="1785" w:type="dxa"/>
            <w:tcBorders>
              <w:left w:val="single" w:sz="4" w:space="0" w:color="000000"/>
              <w:bottom w:val="single" w:sz="4" w:space="0" w:color="000000"/>
              <w:right w:val="single" w:sz="4" w:space="0" w:color="000000"/>
            </w:tcBorders>
            <w:shd w:color="auto" w:fill="FFFFFF" w:val="clear"/>
            <w:vAlign w:val="center"/>
          </w:tcPr>
          <w:p>
            <w:pPr>
              <w:pStyle w:val="LO-normal"/>
              <w:widowControl w:val="false"/>
              <w:jc w:val="both"/>
              <w:rPr>
                <w:rFonts w:ascii="Arial" w:hAnsi="Arial" w:cs="Arial"/>
                <w:sz w:val="18"/>
                <w:szCs w:val="18"/>
              </w:rPr>
            </w:pPr>
            <w:r>
              <w:rPr>
                <w:rFonts w:eastAsia="Arial" w:cs="Arial" w:ascii="Arial" w:hAnsi="Arial"/>
                <w:b/>
                <w:sz w:val="18"/>
                <w:szCs w:val="18"/>
              </w:rPr>
              <w:t>LOTE 07</w:t>
            </w:r>
          </w:p>
        </w:tc>
        <w:tc>
          <w:tcPr>
            <w:tcW w:w="5805" w:type="dxa"/>
            <w:tcBorders>
              <w:bottom w:val="single" w:sz="4" w:space="0" w:color="000000"/>
              <w:right w:val="single" w:sz="4" w:space="0" w:color="000000"/>
            </w:tcBorders>
            <w:shd w:color="auto" w:fill="FFFFFF" w:val="clear"/>
            <w:vAlign w:val="center"/>
          </w:tcPr>
          <w:p>
            <w:pPr>
              <w:pStyle w:val="LO-normal"/>
              <w:widowControl w:val="false"/>
              <w:jc w:val="both"/>
              <w:rPr>
                <w:rFonts w:ascii="Arial" w:hAnsi="Arial" w:cs="Arial"/>
                <w:sz w:val="18"/>
                <w:szCs w:val="18"/>
              </w:rPr>
            </w:pPr>
            <w:r>
              <w:rPr>
                <w:rFonts w:eastAsia="Arial" w:cs="Arial" w:ascii="Arial" w:hAnsi="Arial"/>
                <w:b/>
                <w:sz w:val="18"/>
                <w:szCs w:val="18"/>
              </w:rPr>
              <w:t>SERVIÇOS DE MANUTENÇÃO MECÂNICA E ELÉTRICA - MOTOCICLETAS</w:t>
            </w:r>
          </w:p>
        </w:tc>
        <w:tc>
          <w:tcPr>
            <w:tcW w:w="1841" w:type="dxa"/>
            <w:tcBorders>
              <w:bottom w:val="single" w:sz="4" w:space="0" w:color="000000"/>
              <w:right w:val="single" w:sz="4" w:space="0" w:color="000000"/>
            </w:tcBorders>
            <w:shd w:color="auto" w:fill="auto" w:val="clear"/>
            <w:vAlign w:val="center"/>
          </w:tcPr>
          <w:p>
            <w:pPr>
              <w:pStyle w:val="LO-normal"/>
              <w:widowControl w:val="false"/>
              <w:jc w:val="both"/>
              <w:rPr>
                <w:rFonts w:ascii="Arial" w:hAnsi="Arial" w:cs="Arial"/>
                <w:sz w:val="18"/>
                <w:szCs w:val="18"/>
              </w:rPr>
            </w:pPr>
            <w:r>
              <w:rPr>
                <w:rFonts w:eastAsia="Arial" w:cs="Arial" w:ascii="Arial" w:hAnsi="Arial"/>
                <w:b/>
                <w:sz w:val="18"/>
                <w:szCs w:val="18"/>
              </w:rPr>
              <w:t>02 veículos</w:t>
            </w:r>
          </w:p>
        </w:tc>
      </w:tr>
      <w:tr>
        <w:trPr>
          <w:trHeight w:val="915" w:hRule="atLeast"/>
        </w:trPr>
        <w:tc>
          <w:tcPr>
            <w:tcW w:w="1785" w:type="dxa"/>
            <w:tcBorders>
              <w:left w:val="single" w:sz="4" w:space="0" w:color="000000"/>
              <w:bottom w:val="single" w:sz="4" w:space="0" w:color="000000"/>
              <w:right w:val="single" w:sz="4" w:space="0" w:color="000000"/>
            </w:tcBorders>
            <w:shd w:color="auto" w:fill="FFFFFF" w:val="clear"/>
            <w:vAlign w:val="center"/>
          </w:tcPr>
          <w:p>
            <w:pPr>
              <w:pStyle w:val="LO-normal"/>
              <w:widowControl w:val="false"/>
              <w:jc w:val="both"/>
              <w:rPr>
                <w:rFonts w:ascii="Arial" w:hAnsi="Arial" w:cs="Arial"/>
                <w:sz w:val="18"/>
                <w:szCs w:val="18"/>
              </w:rPr>
            </w:pPr>
            <w:r>
              <w:rPr>
                <w:rFonts w:eastAsia="Arial" w:cs="Arial" w:ascii="Arial" w:hAnsi="Arial"/>
                <w:b/>
                <w:sz w:val="18"/>
                <w:szCs w:val="18"/>
              </w:rPr>
              <w:t>LOTE 08</w:t>
            </w:r>
          </w:p>
        </w:tc>
        <w:tc>
          <w:tcPr>
            <w:tcW w:w="5805" w:type="dxa"/>
            <w:tcBorders>
              <w:bottom w:val="single" w:sz="4" w:space="0" w:color="000000"/>
              <w:right w:val="single" w:sz="4" w:space="0" w:color="000000"/>
            </w:tcBorders>
            <w:shd w:color="auto" w:fill="FFFFFF" w:val="clear"/>
            <w:vAlign w:val="center"/>
          </w:tcPr>
          <w:p>
            <w:pPr>
              <w:pStyle w:val="LO-normal"/>
              <w:widowControl w:val="false"/>
              <w:jc w:val="both"/>
              <w:rPr>
                <w:rFonts w:ascii="Arial" w:hAnsi="Arial" w:cs="Arial"/>
                <w:sz w:val="18"/>
                <w:szCs w:val="18"/>
              </w:rPr>
            </w:pPr>
            <w:r>
              <w:rPr>
                <w:rFonts w:eastAsia="Arial" w:cs="Arial" w:ascii="Arial" w:hAnsi="Arial"/>
                <w:b/>
                <w:sz w:val="18"/>
                <w:szCs w:val="18"/>
              </w:rPr>
              <w:t>SERVIÇO DE INSTALAÇÃO E MANUTENÇÃO - ACESSÓRIOS</w:t>
            </w:r>
          </w:p>
        </w:tc>
        <w:tc>
          <w:tcPr>
            <w:tcW w:w="1841" w:type="dxa"/>
            <w:tcBorders>
              <w:bottom w:val="single" w:sz="4" w:space="0" w:color="000000"/>
              <w:right w:val="single" w:sz="4" w:space="0" w:color="000000"/>
            </w:tcBorders>
            <w:shd w:color="auto" w:fill="auto" w:val="clear"/>
            <w:vAlign w:val="center"/>
          </w:tcPr>
          <w:p>
            <w:pPr>
              <w:pStyle w:val="LO-normal"/>
              <w:widowControl w:val="false"/>
              <w:jc w:val="both"/>
              <w:rPr>
                <w:rFonts w:ascii="Arial" w:hAnsi="Arial" w:cs="Arial"/>
                <w:sz w:val="18"/>
                <w:szCs w:val="18"/>
              </w:rPr>
            </w:pPr>
            <w:r>
              <w:rPr>
                <w:rFonts w:eastAsia="Arial" w:cs="Arial" w:ascii="Arial" w:hAnsi="Arial"/>
                <w:b/>
                <w:sz w:val="18"/>
                <w:szCs w:val="18"/>
              </w:rPr>
              <w:t>04 veículos</w:t>
            </w:r>
          </w:p>
        </w:tc>
      </w:tr>
    </w:tbl>
    <w:p>
      <w:pPr>
        <w:pStyle w:val="LO-normal"/>
        <w:spacing w:lineRule="auto" w:line="360"/>
        <w:jc w:val="both"/>
        <w:rPr>
          <w:rFonts w:ascii="Arial" w:hAnsi="Arial" w:eastAsia="Arial" w:cs="Arial"/>
          <w:sz w:val="22"/>
          <w:szCs w:val="22"/>
        </w:rPr>
      </w:pPr>
      <w:r>
        <w:rPr>
          <w:rFonts w:eastAsia="Arial" w:cs="Arial" w:ascii="Arial" w:hAnsi="Arial"/>
          <w:sz w:val="22"/>
          <w:szCs w:val="22"/>
        </w:rPr>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9.5 - Adotar todos os procedimentos necessários a preservar a integridade e segurança dos veículos sob sua guarda.</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9.6 - Designar formalmente e manter um representante, ou preposto, a fim de prestar esclarecimentos e atender às solicitações que surgirem durante a execução do contrato.</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9.7 - Possuir instalações, aparelhamento e pessoal técnico adequados e disponíveis para a realização do objeto da licitação.</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9.8 -Prover todos os meios necessários à garantia da plena operacionalidade do fornecimento de materiais e prestação de serviços.</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9.9 - Executar fielmente, dentro dos prazos previstos, todos os serviços que lhe foram confiados, em observância com as normas técnicas e em conformidade com as especificações de fábrica, bem como em consonância com as determinações do Gestor de Contrato e da Comissão de Fiscalização do CONTRATANTE.</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9.10 -Manter os veículos e seus acessórios, além dos equipamentos necessários ao funcionamento daqueles, em condições normais de funcionamento, procedendo a exames periódicos nos mesmos, ajustando os dispositivos de segurança, demais peças e componentes, mediante manutenção preventiva, corretiva e assistência técnica de forma a mantê-los em bom funcionamento e dentro dos padrões exigidos pela legislação de trânsito, além das obrigações legais e regulamentares.</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9.11 - Submeter à aprovação, no prazo máximo de 24 (vinte e quatro) horas contados do ingresso dos veículos na oficina, os orçamentos solicitados, discriminando de forma clara padronizada e detalhada os serviços a serem executados bem como as peças, componentes, acessórios, trocas de óleo e materiais a serem fornecidos, observando-se, na formulação dos preços, os valores compatíveis com o mercado e especificados no contrato.</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9.12 -Executar os serviços especificados no orçamento somente quando houver a autorização pela CONTRATANTE.</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9.13 -Prestar os serviços objeto do presente Contrato dentro de elevados padrões, empregando e fornecendo peças, componentes, acessórios, trocas de óleo e materiais recomendados pela montadora, bem como observar rigorosamente as especificações técnicas e a regulamentação aplicável, executando todos os serviços com esmero e perfeição, refazendo tudo quanto for impugnado pelo  Gestor do contrato, quer em razão do material, quer da mão de obra.</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9.14 - Fornecer quando solicitado pelo CONTRATANTE, laudo técnico concernente às condições de veículos ou componentes que o integrem, no prazo de até 05 (cinco) dias úteis contados a partir da solicitação.</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9.15 - Executar os serviços com pessoal habilitado e devidamente identificado.</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9.16 - Fornecer todos os esclarecimentos e as informações técnicas que venham a ser solicitados pelo CONTRATANTE sobre os serviços executados.</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9.17 -Fornecer a seus empregados os equipamentos de segurança (EPI’s) que se fizerem necessários para execução dos serviços, e fiscalizar o seu uso.</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9.18 - Manter em boas condições veículos, instalações e equipamentos necessários ao atendimento dos serviços ora contratados.</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9.19 - Conservar e guardar com extrema responsabilidade e cuidado os veículos do CONTRATANTE em sua oficina durante a prestação de serviços.</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9.20 - Informar ao CONTRATANTE quaisquer danos causados a quaisquer de seus bens.</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9.21 - Responsabilizar-se pelos prejuízos de qualquer natureza causados ao patrimônio do CONTRATANTE ou de terceiros, inclusive danos à integridade física das pessoas, originados direta ou indiretamente da execução deste Contrato, por culpa ou dolo de seus empregados, prepostos ou representantes, ficando obrigada a promover o ressarcimento a preços atualizados dentro de 30 (trinta) dias contados a partir da comprovação de sua responsabilidade.</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9.22 - Manter durante a execução do Contrato todas as condições de habilitação e qualificação exigidas na licitação.</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9.23 - Executar o serviço atendendo aos parâmetros definidos pelas normas da ABNT – Associação Brasileira de Normas Técnicas, ou, na falta dessas, de acordo com normas plenamente reconhecidas pelo fabricante.</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9.24 - Respeitar e fazer cumprir a legislação de segurança e saúde no trabalho e as normas de segurança do trabalho, fornecendo a seu pessoal equipamento individual de segurança, orientando e fiscalizando o uso, conforme determinações constantes nas normas de segurança, higiene e medicina do trabalho.</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9.25 - Respeitar e fazer cumprir a legislação de proteção ao meio ambiente, previstas nas normas regulamentadoras pertinentes.</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9.26 -Providenciar o recolhimento e o adequado descarte dos frascos de aerossol originários da contratação, recolhendo-os ao sistema de coleta montado pelo respectivo fabricante, distribuidor, importador, comerciante ou revendedor, para fins de sua destinação final ambientalmente adequada.</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9.27 -Respeitar as Normas Brasileiras – NBR publicadas pela Associação Brasileira de Normas Técnicas sobre resíduos sólidos.</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9.28 -Manter cadastros atualizados para os veículos, onde serão registradas as correções e substituições de peças, com o fim de permitir ao CONTRATANTE avaliar as frequências daqueles serviços e reposições de peças.</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9.29 - Fornecer ao CONTRATANTE relatório técnico mensal com a descrição de todos os serviços executados, contendo inclusive a relação das peças substituídas, ou sempre que solicitado, encaminhando cópia para a fiscalização do CONTRATANTE.</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9.30 -Registrar as ocorrências em formulário próprio (Livro de Ocorrências), onde constem, no mínimo, as seguintes informações:</w:t>
      </w:r>
    </w:p>
    <w:p>
      <w:pPr>
        <w:pStyle w:val="Corpodotexto"/>
        <w:spacing w:lineRule="auto" w:line="360" w:before="0" w:after="0"/>
        <w:jc w:val="both"/>
        <w:rPr>
          <w:rFonts w:ascii="Arial" w:hAnsi="Arial" w:cs="Arial"/>
          <w:sz w:val="22"/>
          <w:szCs w:val="22"/>
        </w:rPr>
      </w:pPr>
      <w:r>
        <w:rPr>
          <w:rFonts w:eastAsia="Arial" w:cs="Arial" w:ascii="Arial" w:hAnsi="Arial"/>
          <w:sz w:val="22"/>
          <w:szCs w:val="22"/>
        </w:rPr>
        <w:t>a) Identificação do veículo;</w:t>
      </w:r>
    </w:p>
    <w:p>
      <w:pPr>
        <w:pStyle w:val="Corpodotexto"/>
        <w:spacing w:lineRule="auto" w:line="360" w:before="0" w:after="0"/>
        <w:jc w:val="both"/>
        <w:rPr>
          <w:rFonts w:ascii="Arial" w:hAnsi="Arial" w:cs="Arial"/>
          <w:sz w:val="22"/>
          <w:szCs w:val="22"/>
        </w:rPr>
      </w:pPr>
      <w:r>
        <w:rPr>
          <w:rFonts w:eastAsia="Arial" w:cs="Arial" w:ascii="Arial" w:hAnsi="Arial"/>
          <w:sz w:val="22"/>
          <w:szCs w:val="22"/>
        </w:rPr>
        <w:t>b) Data da manutenção;</w:t>
      </w:r>
    </w:p>
    <w:p>
      <w:pPr>
        <w:pStyle w:val="ListNumber"/>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c) Horário do início e do término dos serviços;</w:t>
      </w:r>
    </w:p>
    <w:p>
      <w:pPr>
        <w:pStyle w:val="ListNumber"/>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d) Nome do funcionário da CONTRATADA que efetuou os serviços; e) Problema apresentado;</w:t>
      </w:r>
    </w:p>
    <w:p>
      <w:pPr>
        <w:pStyle w:val="Corpodotexto"/>
        <w:spacing w:lineRule="auto" w:line="360" w:before="0" w:after="0"/>
        <w:jc w:val="both"/>
        <w:rPr>
          <w:rFonts w:ascii="Arial" w:hAnsi="Arial" w:cs="Arial"/>
          <w:sz w:val="22"/>
          <w:szCs w:val="22"/>
        </w:rPr>
      </w:pPr>
      <w:r>
        <w:rPr>
          <w:rFonts w:eastAsia="Arial" w:cs="Arial" w:ascii="Arial" w:hAnsi="Arial"/>
          <w:sz w:val="22"/>
          <w:szCs w:val="22"/>
        </w:rPr>
        <w:t>e) Recebimento dos serviços pelo CONTRATANTE.</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9.31 - Responder por danos e desaparecimentos de bens materiais, acessórios e avarias causadas por seus empregados ou preposto aos bens do CONTRATANTE ou a terceiros, desde que fique comprovada sua responsabilidade.</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9.32 - Quando necessário, disponibilizar profissional competente para acompanhar o representante do CONTRATANTE na realização de “prova de rua”, quando os serviços efetuados serão testados com o veículo trafegando.</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9.33 - Todo e qualquer assunto relativo à execução do contrato deverá ser tratado e negociado com o Gestor do Contrato, sem que haja ingerência de terceiros não credenciados para tal fim.</w:t>
      </w:r>
    </w:p>
    <w:p>
      <w:pPr>
        <w:pStyle w:val="LO-normal"/>
        <w:spacing w:lineRule="auto" w:line="360"/>
        <w:jc w:val="both"/>
        <w:rPr>
          <w:rFonts w:ascii="Arial" w:hAnsi="Arial" w:eastAsia="Arial" w:cs="Arial"/>
          <w:sz w:val="22"/>
          <w:szCs w:val="22"/>
        </w:rPr>
      </w:pPr>
      <w:r>
        <w:rPr>
          <w:rFonts w:eastAsia="Arial" w:cs="Arial" w:ascii="Arial" w:hAnsi="Arial"/>
          <w:sz w:val="22"/>
          <w:szCs w:val="22"/>
        </w:rPr>
      </w:r>
    </w:p>
    <w:p>
      <w:pPr>
        <w:pStyle w:val="Corpodotexto"/>
        <w:spacing w:lineRule="auto" w:line="360" w:before="0" w:after="0"/>
        <w:jc w:val="both"/>
        <w:rPr>
          <w:rFonts w:ascii="Arial" w:hAnsi="Arial" w:cs="Arial"/>
          <w:sz w:val="22"/>
          <w:szCs w:val="22"/>
        </w:rPr>
      </w:pPr>
      <w:r>
        <w:rPr>
          <w:rFonts w:eastAsia="Arial" w:cs="Arial" w:ascii="Arial" w:hAnsi="Arial"/>
          <w:b/>
          <w:sz w:val="22"/>
          <w:szCs w:val="22"/>
        </w:rPr>
        <w:t>10 – DA LOGÍSTICA REVERSA</w:t>
      </w:r>
    </w:p>
    <w:p>
      <w:pPr>
        <w:pStyle w:val="Corpodotexto"/>
        <w:spacing w:lineRule="auto" w:line="360" w:before="0" w:after="0"/>
        <w:jc w:val="both"/>
        <w:rPr>
          <w:rFonts w:ascii="Arial" w:hAnsi="Arial" w:cs="Arial"/>
          <w:sz w:val="22"/>
          <w:szCs w:val="22"/>
        </w:rPr>
      </w:pPr>
      <w:r>
        <w:rPr>
          <w:rFonts w:eastAsia="Arial" w:cs="Arial" w:ascii="Arial" w:hAnsi="Arial"/>
          <w:sz w:val="22"/>
          <w:szCs w:val="22"/>
        </w:rPr>
        <w:t>10.1 - No que for aplicável, considerando a natureza do objeto e a necessidade de destinação ambientalmente adequada, a CONTRATADA adotará o procedimento de logística reversa, em atendimento à legislação pertinente, especialmente: artigos nº s 31 a 33 da Lei nº 12.305/2010, que institui a Política Nacional de Resíduos Sólidos e artigos de nº s 13 a 18 do Decreto nº 7.404 de 23 de dezembro de 2010.</w:t>
      </w:r>
    </w:p>
    <w:p>
      <w:pPr>
        <w:pStyle w:val="LO-normal"/>
        <w:spacing w:lineRule="auto" w:line="360"/>
        <w:jc w:val="both"/>
        <w:rPr>
          <w:rFonts w:ascii="Arial" w:hAnsi="Arial" w:eastAsia="Arial" w:cs="Arial"/>
          <w:sz w:val="22"/>
          <w:szCs w:val="22"/>
        </w:rPr>
      </w:pPr>
      <w:r>
        <w:rPr>
          <w:rFonts w:eastAsia="Arial" w:cs="Arial" w:ascii="Arial" w:hAnsi="Arial"/>
          <w:sz w:val="22"/>
          <w:szCs w:val="22"/>
        </w:rPr>
      </w:r>
    </w:p>
    <w:p>
      <w:pPr>
        <w:pStyle w:val="Corpodotexto"/>
        <w:spacing w:lineRule="auto" w:line="360" w:before="0" w:after="0"/>
        <w:jc w:val="both"/>
        <w:rPr>
          <w:rFonts w:ascii="Arial" w:hAnsi="Arial" w:cs="Arial"/>
          <w:sz w:val="22"/>
          <w:szCs w:val="22"/>
        </w:rPr>
      </w:pPr>
      <w:r>
        <w:rPr>
          <w:rFonts w:eastAsia="Arial" w:cs="Arial" w:ascii="Arial" w:hAnsi="Arial"/>
          <w:b/>
          <w:sz w:val="22"/>
          <w:szCs w:val="22"/>
        </w:rPr>
        <w:t>11 – DA RESPONSABILIDADE AMBIENTAL</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11.1 - A CONTRATADA deverá adotar boas práticas de otimização de recursos/redução de desperdício/menor poluição, tais como:</w:t>
      </w:r>
    </w:p>
    <w:p>
      <w:pPr>
        <w:pStyle w:val="Corpodotexto"/>
        <w:spacing w:lineRule="auto" w:line="360" w:before="0" w:after="0"/>
        <w:jc w:val="both"/>
        <w:rPr>
          <w:rFonts w:ascii="Arial" w:hAnsi="Arial" w:cs="Arial"/>
          <w:sz w:val="22"/>
          <w:szCs w:val="22"/>
        </w:rPr>
      </w:pPr>
      <w:r>
        <w:rPr>
          <w:rFonts w:eastAsia="Arial" w:cs="Arial" w:ascii="Arial" w:hAnsi="Arial"/>
          <w:sz w:val="22"/>
          <w:szCs w:val="22"/>
        </w:rPr>
        <w:t>a) racionalização do uso de substâncias potencialmente tóxico-poluentes e substituição de substâncias tóxicas por outras atóxicas ou de menor toxicidade;</w:t>
      </w:r>
    </w:p>
    <w:p>
      <w:pPr>
        <w:pStyle w:val="Corpodotexto"/>
        <w:spacing w:lineRule="auto" w:line="360" w:before="0" w:after="0"/>
        <w:jc w:val="both"/>
        <w:rPr>
          <w:rFonts w:ascii="Arial" w:hAnsi="Arial" w:cs="Arial"/>
          <w:sz w:val="22"/>
          <w:szCs w:val="22"/>
        </w:rPr>
      </w:pPr>
      <w:r>
        <w:rPr>
          <w:rFonts w:eastAsia="Arial" w:cs="Arial" w:ascii="Arial" w:hAnsi="Arial"/>
          <w:sz w:val="22"/>
          <w:szCs w:val="22"/>
        </w:rPr>
        <w:t xml:space="preserve">b) usar produtos de limpeza e conservação de superfície e objetos inanimados </w:t>
        <w:tab/>
        <w:t>que obedeçam às classificações e especificações determinadas pela ANVISA;</w:t>
      </w:r>
    </w:p>
    <w:p>
      <w:pPr>
        <w:pStyle w:val="ListNumber"/>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c) respeitar as Normas Brasileiras – NBR publicadas pela Associação Brasileira de Normas Técnicas sobre resíduos sólidos e desenvolver ou adotar manuais de procedimentos de descarte de materiais potencialmente poluidores, tais como  pilhas e baterias dispostas para descarte que contenham, em suas composições, chumbo, mercúrio e seus compostos, remetendo-os para os estabelecimentos que comercializam ou à rede de assistência técnica autorizada pelas respectivas indústrias;</w:t>
      </w:r>
    </w:p>
    <w:p>
      <w:pPr>
        <w:pStyle w:val="ListNumber"/>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 xml:space="preserve">d) Adotar procedimento ambientalmente adequado para o descarte de materiais potencialmente poluidores provenientes dos serviços (sucata), tais como: pilhas, baterias, lâmpadas, circuitos impressos, lubrificantes, etc. Que </w:t>
        <w:tab/>
        <w:t>contenham, em suas composições, chumbo, mercúrio e seus compostos ou outros elementos tóxicos, remetendo-os, sem ônus para o CONTRATANTE, para os estabelecimentos que as comercializam, empresas de reciclagem ou à rede de assistência técnica autorizada pelas respectivas indústrias;</w:t>
      </w:r>
    </w:p>
    <w:p>
      <w:pPr>
        <w:pStyle w:val="Corpodotexto"/>
        <w:spacing w:lineRule="auto" w:line="360" w:before="0" w:after="0"/>
        <w:jc w:val="both"/>
        <w:rPr>
          <w:rFonts w:ascii="Arial" w:hAnsi="Arial" w:cs="Arial"/>
          <w:sz w:val="22"/>
          <w:szCs w:val="22"/>
        </w:rPr>
      </w:pPr>
      <w:r>
        <w:rPr>
          <w:rFonts w:eastAsia="Arial" w:cs="Arial" w:ascii="Arial" w:hAnsi="Arial"/>
          <w:sz w:val="22"/>
          <w:szCs w:val="22"/>
        </w:rPr>
        <w:t xml:space="preserve">e) Abster-se de utilizar as seguintes formas de destinação ou disposição final de resíduos sólidos ou rejeitos: lançamento </w:t>
      </w:r>
      <w:r>
        <w:rPr>
          <w:rFonts w:eastAsia="Arial" w:cs="Arial" w:ascii="Arial" w:hAnsi="Arial"/>
          <w:i/>
          <w:sz w:val="22"/>
          <w:szCs w:val="22"/>
        </w:rPr>
        <w:t xml:space="preserve">in natura </w:t>
      </w:r>
      <w:r>
        <w:rPr>
          <w:rFonts w:eastAsia="Arial" w:cs="Arial" w:ascii="Arial" w:hAnsi="Arial"/>
          <w:sz w:val="22"/>
          <w:szCs w:val="22"/>
        </w:rPr>
        <w:t>a céu aberto; queima a céu aberto ou em recipientes, instalações e equipamentos não licenciados para essa finalidade; deposição inadequada no solo; deposição em áreas sob regime de proteção especial e áreas sujeitas a inundação; lançamentos em sistemas de redes de drenagem de águas pluviais, de esgotos, de eletricidade, de telecomunicações e assemelhados; infiltração no solo sem tratamento prévio e projeto aprovado pelo órgão de controle ambiental estadual competente;</w:t>
      </w:r>
    </w:p>
    <w:p>
      <w:pPr>
        <w:pStyle w:val="Corpodotexto"/>
        <w:spacing w:lineRule="auto" w:line="360" w:before="0" w:after="0"/>
        <w:jc w:val="both"/>
        <w:rPr>
          <w:rFonts w:ascii="Arial" w:hAnsi="Arial" w:cs="Arial"/>
          <w:sz w:val="22"/>
          <w:szCs w:val="22"/>
        </w:rPr>
      </w:pPr>
      <w:r>
        <w:rPr>
          <w:rFonts w:eastAsia="Arial" w:cs="Arial" w:ascii="Arial" w:hAnsi="Arial"/>
          <w:sz w:val="22"/>
          <w:szCs w:val="22"/>
        </w:rPr>
        <w:t xml:space="preserve">f) A fiscalização poderá solicitar a qualquer tempo a comprovação do descarte </w:t>
        <w:tab/>
        <w:t>adequado dos materiais sob pena da aplicação de sanções;</w:t>
      </w:r>
    </w:p>
    <w:p>
      <w:pPr>
        <w:pStyle w:val="Corpodotexto"/>
        <w:spacing w:lineRule="auto" w:line="360" w:before="0" w:after="0"/>
        <w:jc w:val="both"/>
        <w:rPr>
          <w:rFonts w:ascii="Arial" w:hAnsi="Arial" w:cs="Arial"/>
          <w:sz w:val="22"/>
          <w:szCs w:val="22"/>
        </w:rPr>
      </w:pPr>
      <w:r>
        <w:rPr>
          <w:rFonts w:eastAsia="Arial" w:cs="Arial" w:ascii="Arial" w:hAnsi="Arial"/>
          <w:sz w:val="22"/>
          <w:szCs w:val="22"/>
        </w:rPr>
        <w:t xml:space="preserve">g) Cumprir, além das normas de segurança constantes destas especificações, </w:t>
        <w:tab/>
        <w:t xml:space="preserve">todas as outras disposições legais, federais e municipais pertinentes, sendo de </w:t>
        <w:tab/>
        <w:t xml:space="preserve">sua inteira responsabilidade os processos, ações ou reclamações movidas por </w:t>
        <w:tab/>
        <w:t xml:space="preserve">pessoas físicas ou jurídicas em decorrência de negligência, imprudência ou </w:t>
        <w:tab/>
        <w:t xml:space="preserve">imperícia quantos às precauções exigidas no trabalho ou da utilização de </w:t>
        <w:tab/>
        <w:t>materiais na execução dos serviços;</w:t>
      </w:r>
    </w:p>
    <w:p>
      <w:pPr>
        <w:pStyle w:val="ListNumber"/>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 xml:space="preserve">h) Aplicar a legislação vigente quanto ao recolhimento, armazenamento, coleta e destinação do óleo lubrificante usado ou contaminado, especialmente as </w:t>
        <w:tab/>
        <w:t xml:space="preserve">previsões do artigo 18 da Resolução CONAMA n° 362, de 23/06/2005, e </w:t>
        <w:tab/>
        <w:t>legislação correlata;</w:t>
      </w:r>
    </w:p>
    <w:p>
      <w:pPr>
        <w:pStyle w:val="Corpodotexto"/>
        <w:spacing w:lineRule="auto" w:line="360" w:before="0" w:after="0"/>
        <w:jc w:val="both"/>
        <w:rPr>
          <w:rFonts w:ascii="Arial" w:hAnsi="Arial" w:cs="Arial"/>
          <w:sz w:val="22"/>
          <w:szCs w:val="22"/>
        </w:rPr>
      </w:pPr>
      <w:r>
        <w:rPr>
          <w:rFonts w:eastAsia="Arial" w:cs="Arial" w:ascii="Arial" w:hAnsi="Arial"/>
          <w:sz w:val="22"/>
          <w:szCs w:val="22"/>
        </w:rPr>
        <w:t xml:space="preserve">i) Providenciar o adequado recolhimento das pilhas e baterias originárias da </w:t>
        <w:tab/>
        <w:t xml:space="preserve">contratação, para fins de repasse ao respectivo fabricante ou importador, </w:t>
        <w:tab/>
        <w:t>responsável pela destinação ambientalmente adequada, nos termos da Instrução Normativa IBAMA n° 08, de 03/09/2012 e atualizações, conforme artigo 33, inciso II, da Lei n° 12.305, de 2010 – Política Nacional de Resíduos Sólidos, artigos 4° e 6° da Resolução CONAMA n° 401, de 04/11/2008 e atualizações, e legislação correlata;</w:t>
      </w:r>
    </w:p>
    <w:p>
      <w:pPr>
        <w:pStyle w:val="Corpodotexto"/>
        <w:spacing w:lineRule="auto" w:line="360" w:before="0" w:after="0"/>
        <w:jc w:val="both"/>
        <w:rPr>
          <w:rFonts w:ascii="Arial" w:hAnsi="Arial" w:cs="Arial"/>
          <w:sz w:val="22"/>
          <w:szCs w:val="22"/>
        </w:rPr>
      </w:pPr>
      <w:r>
        <w:rPr>
          <w:rFonts w:eastAsia="Arial" w:cs="Arial" w:ascii="Arial" w:hAnsi="Arial"/>
          <w:sz w:val="22"/>
          <w:szCs w:val="22"/>
        </w:rPr>
        <w:t>j) Utilizar na execução dos serviços, baterias cuja composição respeite os limites máximos de chumbo, cádmio e mercúrio admitidos na Resolução CONAMA n° 401, de 04/11/2008, para cada tipo de produto, conforme laudo físico-químico de composição elaborado por laboratório acreditado pelo INMETRO, nos termos da Instrução Normativa IBAMA n° 08 com atualizações, de 03/09/2012;</w:t>
      </w:r>
    </w:p>
    <w:p>
      <w:pPr>
        <w:pStyle w:val="ListNumber"/>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k) Efetuar o recolhimento do produto ou embalagem oriundos da prestação dos serviços, para fins de destinação final ambientalmente adequada, a cargo dos fabricantes, importadores, distribuidores e comerciantes, conforme artigo 33 da Lei n° 12.305, de 2010, artigos 13 a 32 do Decreto n° 7.404, de 2010 e legislação correlata;</w:t>
      </w:r>
    </w:p>
    <w:p>
      <w:pPr>
        <w:pStyle w:val="ListNumber"/>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 xml:space="preserve">l) Não utilizar na execução dos serviços, de qualquer das Substâncias que Destruam a Camada de Ozônio – SDO abrangidas pelo Protocolo de Montreal, notadamente CFCs, Halons, CTC e tricloroetano, ou de qualquer produto ou </w:t>
        <w:tab/>
        <w:t>equipamento que as contenha ou delas faça uso, à exceção dos usos essenciais permitidos pelo Protocolo de Montreal, conforme artigo 1°, parágrafo único, do Decreto n° 2.783, de 1998, e artigo 4° da Resolução CONAMA n° 267, de 14/11/2000 e legislação correlata.</w:t>
      </w:r>
    </w:p>
    <w:p>
      <w:pPr>
        <w:pStyle w:val="LO-normal"/>
        <w:spacing w:lineRule="auto" w:line="360"/>
        <w:jc w:val="both"/>
        <w:rPr>
          <w:rFonts w:ascii="Arial" w:hAnsi="Arial" w:eastAsia="Arial" w:cs="Arial"/>
          <w:b/>
          <w:sz w:val="22"/>
          <w:szCs w:val="22"/>
        </w:rPr>
      </w:pPr>
      <w:r>
        <w:rPr>
          <w:rFonts w:eastAsia="Arial" w:cs="Arial" w:ascii="Arial" w:hAnsi="Arial"/>
          <w:b/>
          <w:sz w:val="22"/>
          <w:szCs w:val="22"/>
        </w:rPr>
      </w:r>
    </w:p>
    <w:p>
      <w:pPr>
        <w:pStyle w:val="Corpodotexto"/>
        <w:spacing w:lineRule="auto" w:line="360" w:before="0" w:after="0"/>
        <w:jc w:val="both"/>
        <w:rPr>
          <w:rFonts w:ascii="Arial" w:hAnsi="Arial" w:cs="Arial"/>
          <w:sz w:val="22"/>
          <w:szCs w:val="22"/>
        </w:rPr>
      </w:pPr>
      <w:r>
        <w:rPr>
          <w:rFonts w:eastAsia="Arial" w:cs="Arial" w:ascii="Arial" w:hAnsi="Arial"/>
          <w:b/>
          <w:sz w:val="22"/>
          <w:szCs w:val="22"/>
        </w:rPr>
        <w:t>12 – DO PREÇO A SER PAGO PELA EXECUÇÃO DO OBJETO CONTRATUAL</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12.1 - Os serviços e fornecimentos de peças objeto desta licitação deverá ser pagos apenas quando houver a conclusão da execução dos serviços, observando-se o seguinte:</w:t>
      </w:r>
    </w:p>
    <w:p>
      <w:pPr>
        <w:pStyle w:val="Corpodotexto"/>
        <w:spacing w:lineRule="auto" w:line="360" w:before="0" w:after="0"/>
        <w:jc w:val="both"/>
        <w:rPr>
          <w:rFonts w:ascii="Arial" w:hAnsi="Arial" w:cs="Arial"/>
          <w:sz w:val="22"/>
          <w:szCs w:val="22"/>
        </w:rPr>
      </w:pPr>
      <w:r>
        <w:rPr>
          <w:rFonts w:eastAsia="Arial" w:cs="Arial" w:ascii="Arial" w:hAnsi="Arial"/>
          <w:sz w:val="22"/>
          <w:szCs w:val="22"/>
        </w:rPr>
        <w:t>a) O valor a ser pago pelo Serviço de Manutenção será o resultado do produto do preço da Hora Técnica de Manutenção ofertado pela CONTRATADA pelo tempo, descrito em horas, necessário para a execução dos serviços.</w:t>
      </w:r>
    </w:p>
    <w:p>
      <w:pPr>
        <w:pStyle w:val="Corpodotexto"/>
        <w:spacing w:lineRule="auto" w:line="360" w:before="0" w:after="0"/>
        <w:jc w:val="both"/>
        <w:rPr>
          <w:rFonts w:ascii="Arial" w:hAnsi="Arial" w:cs="Arial"/>
          <w:sz w:val="22"/>
          <w:szCs w:val="22"/>
        </w:rPr>
      </w:pPr>
      <w:r>
        <w:rPr>
          <w:rFonts w:eastAsia="Arial" w:cs="Arial" w:ascii="Arial" w:hAnsi="Arial"/>
          <w:sz w:val="22"/>
          <w:szCs w:val="22"/>
        </w:rPr>
        <w:t xml:space="preserve">b) O valor a ser pago pelas peças, componentes, acessórios, trocas de óleo e </w:t>
        <w:tab/>
        <w:t>materiais para a manutenção dos veículos será o previamente aprovado pelo Gestor e/ou Comissão de Fiscalização.</w:t>
      </w:r>
    </w:p>
    <w:p>
      <w:pPr>
        <w:pStyle w:val="LO-normal"/>
        <w:spacing w:lineRule="auto" w:line="360"/>
        <w:jc w:val="both"/>
        <w:rPr>
          <w:rFonts w:ascii="Arial" w:hAnsi="Arial" w:eastAsia="Arial" w:cs="Arial"/>
          <w:sz w:val="22"/>
          <w:szCs w:val="22"/>
        </w:rPr>
      </w:pPr>
      <w:r>
        <w:rPr>
          <w:rFonts w:eastAsia="Arial" w:cs="Arial" w:ascii="Arial" w:hAnsi="Arial"/>
          <w:sz w:val="22"/>
          <w:szCs w:val="22"/>
        </w:rPr>
      </w:r>
    </w:p>
    <w:p>
      <w:pPr>
        <w:pStyle w:val="Corpodotexto"/>
        <w:spacing w:lineRule="auto" w:line="360" w:before="0" w:after="0"/>
        <w:jc w:val="both"/>
        <w:rPr>
          <w:rFonts w:ascii="Arial" w:hAnsi="Arial" w:cs="Arial"/>
          <w:sz w:val="22"/>
          <w:szCs w:val="22"/>
        </w:rPr>
      </w:pPr>
      <w:r>
        <w:rPr>
          <w:rFonts w:eastAsia="Arial" w:cs="Arial" w:ascii="Arial" w:hAnsi="Arial"/>
          <w:b/>
          <w:sz w:val="22"/>
          <w:szCs w:val="22"/>
        </w:rPr>
        <w:t>13 – DA SUBCONTRATAÇÃO</w:t>
      </w:r>
    </w:p>
    <w:p>
      <w:pPr>
        <w:pStyle w:val="ListNumber2"/>
        <w:numPr>
          <w:ilvl w:val="0"/>
          <w:numId w:val="0"/>
        </w:numPr>
        <w:spacing w:lineRule="auto" w:line="360"/>
        <w:ind w:left="0" w:hanging="0"/>
        <w:jc w:val="both"/>
        <w:rPr>
          <w:rFonts w:ascii="Arial" w:hAnsi="Arial" w:cs="Arial"/>
          <w:sz w:val="22"/>
          <w:szCs w:val="22"/>
        </w:rPr>
      </w:pPr>
      <w:r>
        <w:rPr>
          <w:rFonts w:eastAsia="Arial" w:cs="Arial" w:ascii="Arial" w:hAnsi="Arial"/>
          <w:sz w:val="22"/>
          <w:szCs w:val="22"/>
        </w:rPr>
        <w:t>13.1 - Poderão ser subcontratados até 30% dos serviços contratados.</w:t>
      </w:r>
    </w:p>
    <w:p>
      <w:pPr>
        <w:pStyle w:val="LO-normal"/>
        <w:spacing w:lineRule="auto" w:line="360"/>
        <w:jc w:val="both"/>
        <w:rPr>
          <w:rFonts w:ascii="Arial" w:hAnsi="Arial" w:eastAsia="Arial" w:cs="Arial"/>
          <w:sz w:val="22"/>
          <w:szCs w:val="22"/>
        </w:rPr>
      </w:pPr>
      <w:r>
        <w:rPr>
          <w:rFonts w:eastAsia="Arial" w:cs="Arial" w:ascii="Arial" w:hAnsi="Arial"/>
          <w:sz w:val="22"/>
          <w:szCs w:val="22"/>
        </w:rPr>
      </w:r>
    </w:p>
    <w:p>
      <w:pPr>
        <w:pStyle w:val="LO-normal"/>
        <w:spacing w:lineRule="auto" w:line="360"/>
        <w:jc w:val="both"/>
        <w:rPr>
          <w:rFonts w:ascii="Arial" w:hAnsi="Arial" w:eastAsia="Arial" w:cs="Arial"/>
          <w:sz w:val="22"/>
          <w:szCs w:val="22"/>
        </w:rPr>
      </w:pPr>
      <w:r>
        <w:rPr>
          <w:rFonts w:eastAsia="Arial" w:cs="Arial" w:ascii="Arial" w:hAnsi="Arial"/>
          <w:sz w:val="22"/>
          <w:szCs w:val="22"/>
        </w:rPr>
      </w:r>
    </w:p>
    <w:p>
      <w:pPr>
        <w:pStyle w:val="LO-normal"/>
        <w:spacing w:lineRule="auto" w:line="360"/>
        <w:jc w:val="both"/>
        <w:rPr>
          <w:rFonts w:ascii="Arial" w:hAnsi="Arial" w:eastAsia="Arial" w:cs="Arial"/>
          <w:sz w:val="22"/>
          <w:szCs w:val="22"/>
        </w:rPr>
      </w:pPr>
      <w:r>
        <w:rPr>
          <w:rFonts w:eastAsia="Arial" w:cs="Arial" w:ascii="Arial" w:hAnsi="Arial"/>
          <w:sz w:val="22"/>
          <w:szCs w:val="22"/>
        </w:rPr>
      </w:r>
    </w:p>
    <w:p>
      <w:pPr>
        <w:pStyle w:val="LO-normal"/>
        <w:spacing w:lineRule="auto" w:line="360"/>
        <w:jc w:val="both"/>
        <w:rPr>
          <w:rFonts w:ascii="Arial" w:hAnsi="Arial" w:eastAsia="Arial" w:cs="Arial"/>
          <w:sz w:val="22"/>
          <w:szCs w:val="22"/>
        </w:rPr>
      </w:pPr>
      <w:r>
        <w:rPr>
          <w:rFonts w:eastAsia="Arial" w:cs="Arial" w:ascii="Arial" w:hAnsi="Arial"/>
          <w:sz w:val="22"/>
          <w:szCs w:val="22"/>
        </w:rPr>
      </w:r>
    </w:p>
    <w:p>
      <w:pPr>
        <w:pStyle w:val="Corpodotexto"/>
        <w:spacing w:lineRule="auto" w:line="360" w:before="0" w:after="0"/>
        <w:jc w:val="both"/>
        <w:rPr>
          <w:rFonts w:ascii="Arial" w:hAnsi="Arial" w:cs="Arial"/>
          <w:sz w:val="22"/>
          <w:szCs w:val="22"/>
        </w:rPr>
      </w:pPr>
      <w:r>
        <w:rPr>
          <w:rFonts w:eastAsia="Arial" w:cs="Arial" w:ascii="Arial" w:hAnsi="Arial"/>
          <w:b/>
          <w:sz w:val="22"/>
          <w:szCs w:val="22"/>
        </w:rPr>
        <w:t>14 – DA VIGÊNCIA DO CONTRATO</w:t>
      </w:r>
    </w:p>
    <w:p>
      <w:pPr>
        <w:pStyle w:val="Corpodotexto"/>
        <w:spacing w:lineRule="auto" w:line="360" w:before="0" w:after="0"/>
        <w:jc w:val="both"/>
        <w:rPr>
          <w:rFonts w:ascii="Arial" w:hAnsi="Arial" w:cs="Arial"/>
          <w:sz w:val="22"/>
          <w:szCs w:val="22"/>
        </w:rPr>
      </w:pPr>
      <w:r>
        <w:rPr>
          <w:rFonts w:eastAsia="Arial" w:cs="Arial" w:ascii="Arial" w:hAnsi="Arial"/>
          <w:sz w:val="22"/>
          <w:szCs w:val="22"/>
        </w:rPr>
        <w:t>14.1 - O prazo de vigência e execução do Contrato será de 24 (vinte e quatro) meses, podendo ser prorrogado, por mútuo acordo entre as partes, mediante termo aditivo, observados os limites legais.</w:t>
      </w:r>
    </w:p>
    <w:p>
      <w:pPr>
        <w:pStyle w:val="LO-normal"/>
        <w:spacing w:lineRule="auto" w:line="360"/>
        <w:jc w:val="both"/>
        <w:rPr>
          <w:rFonts w:ascii="Arial" w:hAnsi="Arial" w:eastAsia="Arial" w:cs="Arial"/>
          <w:sz w:val="22"/>
          <w:szCs w:val="22"/>
        </w:rPr>
      </w:pPr>
      <w:r>
        <w:rPr>
          <w:rFonts w:eastAsia="Arial" w:cs="Arial" w:ascii="Arial" w:hAnsi="Arial"/>
          <w:sz w:val="22"/>
          <w:szCs w:val="22"/>
        </w:rPr>
      </w:r>
    </w:p>
    <w:p>
      <w:pPr>
        <w:pStyle w:val="Corpodotexto"/>
        <w:spacing w:lineRule="auto" w:line="360" w:before="0" w:after="0"/>
        <w:jc w:val="both"/>
        <w:rPr>
          <w:rFonts w:ascii="Arial" w:hAnsi="Arial" w:cs="Arial"/>
          <w:sz w:val="22"/>
          <w:szCs w:val="22"/>
        </w:rPr>
      </w:pPr>
      <w:r>
        <w:rPr>
          <w:rFonts w:eastAsia="Arial" w:cs="Arial" w:ascii="Arial" w:hAnsi="Arial"/>
          <w:b/>
          <w:sz w:val="22"/>
          <w:szCs w:val="22"/>
        </w:rPr>
        <w:t>15 – DOS ACRÉSCIMOS E SUPRESSÕES</w:t>
      </w:r>
    </w:p>
    <w:p>
      <w:pPr>
        <w:pStyle w:val="Corpodotexto"/>
        <w:spacing w:lineRule="auto" w:line="360" w:before="0" w:after="0"/>
        <w:jc w:val="both"/>
        <w:rPr>
          <w:rFonts w:ascii="Arial" w:hAnsi="Arial" w:cs="Arial"/>
          <w:sz w:val="22"/>
          <w:szCs w:val="22"/>
        </w:rPr>
      </w:pPr>
      <w:r>
        <w:rPr>
          <w:rFonts w:eastAsia="Arial" w:cs="Arial" w:ascii="Arial" w:hAnsi="Arial"/>
          <w:sz w:val="22"/>
          <w:szCs w:val="22"/>
        </w:rPr>
        <w:t xml:space="preserve">15.1 - Respeitados os limites de acréscimos e supressões previstos na Lei nº 14.133/2021, a quantidade de veículos poderá ser alterada em virtude de novas </w:t>
        <w:tab/>
        <w:t>aquisições e/ou desfazimento.</w:t>
      </w:r>
    </w:p>
    <w:p>
      <w:pPr>
        <w:pStyle w:val="LO-normal"/>
        <w:spacing w:lineRule="auto" w:line="360"/>
        <w:jc w:val="both"/>
        <w:rPr>
          <w:rFonts w:ascii="Arial" w:hAnsi="Arial" w:eastAsia="Arial" w:cs="Arial"/>
          <w:sz w:val="22"/>
          <w:szCs w:val="22"/>
        </w:rPr>
      </w:pPr>
      <w:r>
        <w:rPr>
          <w:rFonts w:eastAsia="Arial" w:cs="Arial" w:ascii="Arial" w:hAnsi="Arial"/>
          <w:sz w:val="22"/>
          <w:szCs w:val="22"/>
        </w:rPr>
      </w:r>
    </w:p>
    <w:p>
      <w:pPr>
        <w:pStyle w:val="Corpodotexto"/>
        <w:tabs>
          <w:tab w:val="clear" w:pos="709"/>
          <w:tab w:val="center" w:pos="4419" w:leader="none"/>
          <w:tab w:val="right" w:pos="8838" w:leader="none"/>
        </w:tabs>
        <w:spacing w:lineRule="auto" w:line="360" w:before="0" w:after="0"/>
        <w:jc w:val="both"/>
        <w:rPr>
          <w:rFonts w:ascii="Arial" w:hAnsi="Arial" w:cs="Arial"/>
          <w:sz w:val="22"/>
          <w:szCs w:val="22"/>
        </w:rPr>
      </w:pPr>
      <w:r>
        <w:rPr>
          <w:rFonts w:eastAsia="Arial" w:cs="Arial" w:ascii="Arial" w:hAnsi="Arial"/>
          <w:b/>
          <w:sz w:val="22"/>
          <w:szCs w:val="22"/>
        </w:rPr>
        <w:t>16 – AQUISIÇÃO DE NOVOS VEÍCULOS</w:t>
      </w:r>
    </w:p>
    <w:p>
      <w:pPr>
        <w:pStyle w:val="ListNumber2"/>
        <w:numPr>
          <w:ilvl w:val="0"/>
          <w:numId w:val="0"/>
        </w:numPr>
        <w:tabs>
          <w:tab w:val="clear" w:pos="709"/>
          <w:tab w:val="center" w:pos="4419" w:leader="none"/>
          <w:tab w:val="right" w:pos="8838" w:leader="none"/>
        </w:tabs>
        <w:spacing w:lineRule="auto" w:line="360"/>
        <w:ind w:left="0" w:hanging="0"/>
        <w:jc w:val="both"/>
        <w:rPr>
          <w:rFonts w:ascii="Arial" w:hAnsi="Arial" w:cs="Arial"/>
          <w:sz w:val="22"/>
          <w:szCs w:val="22"/>
        </w:rPr>
      </w:pPr>
      <w:r>
        <w:rPr>
          <w:rFonts w:eastAsia="Arial" w:cs="Arial" w:ascii="Arial" w:hAnsi="Arial"/>
          <w:sz w:val="22"/>
          <w:szCs w:val="22"/>
        </w:rPr>
        <w:t>16.1 - Os veículos adquiridos durante o ano serão comunicados à empresa vencedora, para inclusão nos trabalhos em conformidade com o edital deste Pregão.</w:t>
      </w:r>
    </w:p>
    <w:p>
      <w:pPr>
        <w:pStyle w:val="LO-normal"/>
        <w:tabs>
          <w:tab w:val="clear" w:pos="709"/>
          <w:tab w:val="center" w:pos="4419" w:leader="none"/>
          <w:tab w:val="right" w:pos="8838" w:leader="none"/>
        </w:tabs>
        <w:spacing w:lineRule="auto" w:line="360"/>
        <w:jc w:val="both"/>
        <w:rPr>
          <w:rFonts w:ascii="Arial" w:hAnsi="Arial" w:eastAsia="Arial" w:cs="Arial"/>
          <w:sz w:val="22"/>
          <w:szCs w:val="22"/>
        </w:rPr>
      </w:pPr>
      <w:r>
        <w:rPr>
          <w:rFonts w:eastAsia="Arial" w:cs="Arial" w:ascii="Arial" w:hAnsi="Arial"/>
          <w:sz w:val="22"/>
          <w:szCs w:val="22"/>
        </w:rPr>
      </w:r>
    </w:p>
    <w:p>
      <w:pPr>
        <w:pStyle w:val="Corpodotexto"/>
        <w:spacing w:lineRule="auto" w:line="360" w:before="0" w:after="0"/>
        <w:jc w:val="both"/>
        <w:rPr>
          <w:rFonts w:ascii="Arial" w:hAnsi="Arial" w:cs="Arial"/>
          <w:sz w:val="22"/>
          <w:szCs w:val="22"/>
        </w:rPr>
      </w:pPr>
      <w:r>
        <w:rPr>
          <w:rFonts w:eastAsia="Arial" w:cs="Arial" w:ascii="Arial" w:hAnsi="Arial"/>
          <w:b/>
          <w:smallCaps/>
          <w:sz w:val="22"/>
          <w:szCs w:val="22"/>
        </w:rPr>
        <w:t>17 – CRITÉRIO DE REAJUSTE</w:t>
      </w:r>
    </w:p>
    <w:p>
      <w:pPr>
        <w:pStyle w:val="ListNumber2"/>
        <w:numPr>
          <w:ilvl w:val="0"/>
          <w:numId w:val="0"/>
        </w:numPr>
        <w:tabs>
          <w:tab w:val="clear" w:pos="709"/>
          <w:tab w:val="left" w:pos="921" w:leader="none"/>
        </w:tabs>
        <w:spacing w:lineRule="auto" w:line="360"/>
        <w:ind w:left="0" w:hanging="0"/>
        <w:jc w:val="both"/>
        <w:rPr>
          <w:rFonts w:ascii="Arial" w:hAnsi="Arial" w:cs="Arial"/>
          <w:sz w:val="22"/>
          <w:szCs w:val="22"/>
        </w:rPr>
      </w:pPr>
      <w:r>
        <w:rPr>
          <w:rFonts w:eastAsia="Arial" w:cs="Arial" w:ascii="Arial" w:hAnsi="Arial"/>
          <w:sz w:val="22"/>
          <w:szCs w:val="22"/>
        </w:rPr>
        <w:t>17.1 - A cada período de 12 (doze) meses os preços contratuais poderão ser reajustados com base na IPCA-IBGE, considerando-se como termo inicial o mês correspondente à data de apresentação do orçamento na licitação realizada.</w:t>
      </w:r>
    </w:p>
    <w:p>
      <w:pPr>
        <w:pStyle w:val="Normal"/>
        <w:spacing w:lineRule="auto" w:line="360"/>
        <w:jc w:val="both"/>
        <w:rPr>
          <w:rFonts w:ascii="Arial" w:hAnsi="Arial" w:cs="Arial"/>
          <w:sz w:val="22"/>
          <w:szCs w:val="22"/>
        </w:rPr>
      </w:pPr>
      <w:r>
        <w:rPr>
          <w:rFonts w:cs="Arial" w:ascii="Arial" w:hAnsi="Arial"/>
          <w:sz w:val="22"/>
          <w:szCs w:val="22"/>
        </w:rPr>
      </w:r>
    </w:p>
    <w:p>
      <w:pPr>
        <w:pStyle w:val="Nivel01"/>
        <w:numPr>
          <w:ilvl w:val="0"/>
          <w:numId w:val="0"/>
        </w:numPr>
        <w:spacing w:lineRule="auto" w:line="360" w:before="0" w:after="0"/>
        <w:ind w:left="0" w:hanging="0"/>
        <w:rPr>
          <w:sz w:val="22"/>
          <w:szCs w:val="22"/>
        </w:rPr>
      </w:pPr>
      <w:r>
        <w:rPr>
          <w:sz w:val="22"/>
          <w:szCs w:val="22"/>
        </w:rPr>
        <w:t>18. CRITÉRIOS DE PAGAMENTO</w:t>
      </w:r>
    </w:p>
    <w:p>
      <w:pPr>
        <w:pStyle w:val="Nvel3-R"/>
        <w:spacing w:lineRule="auto" w:line="360" w:before="0" w:after="0"/>
        <w:ind w:left="0" w:hanging="0"/>
        <w:rPr>
          <w:sz w:val="22"/>
          <w:szCs w:val="22"/>
        </w:rPr>
      </w:pPr>
      <w:r>
        <w:rPr>
          <w:rFonts w:eastAsia="MS Mincho"/>
          <w:i w:val="false"/>
          <w:iCs w:val="false"/>
          <w:color w:val="000000"/>
          <w:sz w:val="22"/>
          <w:szCs w:val="22"/>
          <w:lang w:eastAsia="en-US"/>
        </w:rPr>
        <w:t>18.1 O pagamento será efetuado em 10 (dez) dias após a manifestação favorável do Setor Fiscalizante na Nota Fiscal Eletrônica (NFe) apresentada, ficando assegurado o prazo de 05 (cinco) dias para a emissão de tal manifestação.</w:t>
      </w:r>
    </w:p>
    <w:p>
      <w:pPr>
        <w:pStyle w:val="Nvel3-R"/>
        <w:spacing w:lineRule="auto" w:line="360" w:before="0" w:after="0"/>
        <w:ind w:left="0" w:hanging="0"/>
        <w:rPr>
          <w:sz w:val="22"/>
          <w:szCs w:val="22"/>
        </w:rPr>
      </w:pPr>
      <w:r>
        <w:rPr>
          <w:rFonts w:eastAsia="MS Mincho"/>
          <w:i w:val="false"/>
          <w:iCs w:val="false"/>
          <w:color w:val="000000"/>
          <w:sz w:val="22"/>
          <w:szCs w:val="22"/>
          <w:lang w:eastAsia="en-US"/>
        </w:rPr>
        <w:t>18.2 Os pagamentos serão realizados mediante procedimento bancário, em conta do fornecedor contratado.</w:t>
      </w:r>
    </w:p>
    <w:p>
      <w:pPr>
        <w:pStyle w:val="Nvel3-R"/>
        <w:spacing w:lineRule="auto" w:line="360" w:before="0" w:after="0"/>
        <w:ind w:left="0" w:hanging="0"/>
        <w:rPr>
          <w:sz w:val="22"/>
          <w:szCs w:val="22"/>
        </w:rPr>
      </w:pPr>
      <w:r>
        <w:rPr>
          <w:rFonts w:eastAsia="MS Mincho"/>
          <w:i w:val="false"/>
          <w:iCs w:val="false"/>
          <w:color w:val="000000"/>
          <w:sz w:val="22"/>
          <w:szCs w:val="22"/>
          <w:lang w:eastAsia="en-US"/>
        </w:rPr>
        <w:t xml:space="preserve">18.3 Havendo erro na NFe ou descumprimento das condições pactuadas, a tramitação da NFe será suspensa para que a Contratada adote as providências necessárias a sua correção. Passará a ser considerada, para efeito de pagamento, a data do aceite da NFe, reapresentada nos mesmos termos do item 18.1. </w:t>
      </w:r>
    </w:p>
    <w:p>
      <w:pPr>
        <w:pStyle w:val="Nvel3-R"/>
        <w:spacing w:lineRule="auto" w:line="360" w:before="0" w:after="0"/>
        <w:ind w:left="0" w:hanging="0"/>
        <w:rPr>
          <w:sz w:val="22"/>
          <w:szCs w:val="22"/>
        </w:rPr>
      </w:pPr>
      <w:r>
        <w:rPr>
          <w:rFonts w:eastAsia="MS Mincho"/>
          <w:i w:val="false"/>
          <w:iCs w:val="false"/>
          <w:color w:val="000000"/>
          <w:sz w:val="22"/>
          <w:szCs w:val="22"/>
          <w:lang w:eastAsia="en-US"/>
        </w:rPr>
        <w:t xml:space="preserve">18.4 Quaisquer pagamentos não isentarão a Contratada das responsabilidades contratuais. </w:t>
      </w:r>
    </w:p>
    <w:p>
      <w:pPr>
        <w:pStyle w:val="Normal"/>
        <w:tabs>
          <w:tab w:val="clear" w:pos="709"/>
          <w:tab w:val="left" w:pos="1620" w:leader="none"/>
        </w:tabs>
        <w:spacing w:lineRule="auto" w:line="360"/>
        <w:jc w:val="both"/>
        <w:rPr>
          <w:rFonts w:ascii="Arial" w:hAnsi="Arial" w:eastAsia="MS Mincho" w:cs="Arial"/>
          <w:i/>
          <w:i/>
          <w:iCs/>
          <w:color w:val="000000"/>
          <w:kern w:val="0"/>
          <w:sz w:val="22"/>
          <w:szCs w:val="22"/>
          <w:lang w:eastAsia="en-US"/>
        </w:rPr>
      </w:pPr>
      <w:r>
        <w:rPr>
          <w:rFonts w:eastAsia="MS Mincho" w:cs="Arial" w:ascii="Arial" w:hAnsi="Arial"/>
          <w:i/>
          <w:iCs/>
          <w:color w:val="000000"/>
          <w:kern w:val="0"/>
          <w:sz w:val="22"/>
          <w:szCs w:val="22"/>
          <w:lang w:eastAsia="en-US"/>
        </w:rPr>
      </w:r>
    </w:p>
    <w:p>
      <w:pPr>
        <w:pStyle w:val="Normal"/>
        <w:tabs>
          <w:tab w:val="clear" w:pos="709"/>
          <w:tab w:val="left" w:pos="1620" w:leader="none"/>
        </w:tabs>
        <w:spacing w:lineRule="auto" w:line="360"/>
        <w:jc w:val="both"/>
        <w:rPr>
          <w:rFonts w:ascii="Arial" w:hAnsi="Arial" w:eastAsia="MS Mincho" w:cs="Arial"/>
          <w:i/>
          <w:i/>
          <w:iCs/>
          <w:color w:val="000000"/>
          <w:kern w:val="0"/>
          <w:sz w:val="22"/>
          <w:szCs w:val="22"/>
          <w:lang w:eastAsia="en-US"/>
        </w:rPr>
      </w:pPr>
      <w:r>
        <w:rPr>
          <w:rFonts w:eastAsia="MS Mincho" w:cs="Arial" w:ascii="Arial" w:hAnsi="Arial"/>
          <w:i/>
          <w:iCs/>
          <w:color w:val="000000"/>
          <w:kern w:val="0"/>
          <w:sz w:val="22"/>
          <w:szCs w:val="22"/>
          <w:lang w:eastAsia="en-US"/>
        </w:rPr>
      </w:r>
    </w:p>
    <w:p>
      <w:pPr>
        <w:pStyle w:val="Normal"/>
        <w:tabs>
          <w:tab w:val="clear" w:pos="709"/>
          <w:tab w:val="left" w:pos="1620" w:leader="none"/>
        </w:tabs>
        <w:spacing w:lineRule="auto" w:line="360"/>
        <w:jc w:val="both"/>
        <w:rPr>
          <w:rFonts w:ascii="Arial" w:hAnsi="Arial" w:eastAsia="MS Mincho" w:cs="Arial"/>
          <w:i/>
          <w:i/>
          <w:iCs/>
          <w:color w:val="000000"/>
          <w:kern w:val="0"/>
          <w:sz w:val="22"/>
          <w:szCs w:val="22"/>
          <w:lang w:eastAsia="en-US"/>
        </w:rPr>
      </w:pPr>
      <w:r>
        <w:rPr>
          <w:rFonts w:eastAsia="MS Mincho" w:cs="Arial" w:ascii="Arial" w:hAnsi="Arial"/>
          <w:i/>
          <w:iCs/>
          <w:color w:val="000000"/>
          <w:kern w:val="0"/>
          <w:sz w:val="22"/>
          <w:szCs w:val="22"/>
          <w:lang w:eastAsia="en-US"/>
        </w:rPr>
      </w:r>
    </w:p>
    <w:p>
      <w:pPr>
        <w:pStyle w:val="Nvel2-Red"/>
        <w:tabs>
          <w:tab w:val="clear" w:pos="0"/>
        </w:tabs>
        <w:spacing w:lineRule="auto" w:line="360" w:before="0" w:after="0"/>
        <w:ind w:left="0" w:hanging="0"/>
        <w:rPr>
          <w:sz w:val="22"/>
          <w:szCs w:val="22"/>
        </w:rPr>
      </w:pPr>
      <w:r>
        <w:rPr>
          <w:b/>
          <w:bCs/>
          <w:i w:val="false"/>
          <w:iCs w:val="false"/>
          <w:color w:val="000000"/>
          <w:sz w:val="22"/>
          <w:szCs w:val="22"/>
        </w:rPr>
        <w:t>19. MODELO DE GESTÃO DO CONTRATO</w:t>
      </w:r>
    </w:p>
    <w:p>
      <w:pPr>
        <w:pStyle w:val="Nvel2-Red"/>
        <w:tabs>
          <w:tab w:val="clear" w:pos="0"/>
        </w:tabs>
        <w:spacing w:lineRule="auto" w:line="360" w:before="0" w:after="0"/>
        <w:ind w:left="0" w:hanging="0"/>
        <w:rPr>
          <w:sz w:val="22"/>
          <w:szCs w:val="22"/>
        </w:rPr>
      </w:pPr>
      <w:r>
        <w:rPr>
          <w:i w:val="false"/>
          <w:iCs w:val="false"/>
          <w:color w:val="000000"/>
          <w:sz w:val="22"/>
          <w:szCs w:val="22"/>
        </w:rPr>
        <w:t>19.1</w:t>
      </w:r>
      <w:r>
        <w:rPr>
          <w:b/>
          <w:bCs/>
          <w:i w:val="false"/>
          <w:iCs w:val="false"/>
          <w:color w:val="000000"/>
          <w:sz w:val="22"/>
          <w:szCs w:val="22"/>
        </w:rPr>
        <w:t xml:space="preserve"> - </w:t>
      </w:r>
      <w:r>
        <w:rPr>
          <w:i w:val="false"/>
          <w:iCs w:val="false"/>
          <w:color w:val="000000"/>
          <w:sz w:val="22"/>
          <w:szCs w:val="22"/>
        </w:rPr>
        <w:t>O contrato deverá ser executado fielmente pelas partes, de acordo com as cláusulas avençadas e as normas da Lei nº 14.133, de 2021, e cada parte responderá pelas consequências de sua inexecução total ou parcial</w:t>
      </w:r>
      <w:r>
        <w:rPr>
          <w:rFonts w:eastAsia="Arial"/>
          <w:i w:val="false"/>
          <w:iCs w:val="false"/>
          <w:color w:val="000000"/>
          <w:sz w:val="22"/>
          <w:szCs w:val="22"/>
        </w:rPr>
        <w:t>.</w:t>
      </w:r>
    </w:p>
    <w:p>
      <w:pPr>
        <w:pStyle w:val="Nvel2-Red"/>
        <w:tabs>
          <w:tab w:val="clear" w:pos="0"/>
        </w:tabs>
        <w:spacing w:lineRule="auto" w:line="360" w:before="0" w:after="0"/>
        <w:ind w:left="0" w:hanging="0"/>
        <w:rPr>
          <w:sz w:val="22"/>
          <w:szCs w:val="22"/>
        </w:rPr>
      </w:pPr>
      <w:r>
        <w:rPr>
          <w:rFonts w:eastAsia="Arial"/>
          <w:i w:val="false"/>
          <w:iCs w:val="false"/>
          <w:color w:val="000000"/>
          <w:sz w:val="22"/>
          <w:szCs w:val="22"/>
        </w:rPr>
        <w:t xml:space="preserve">19.2 - </w:t>
      </w:r>
      <w:r>
        <w:rPr>
          <w:i w:val="false"/>
          <w:iCs w:val="false"/>
          <w:color w:val="000000"/>
          <w:sz w:val="22"/>
          <w:szCs w:val="22"/>
        </w:rPr>
        <w:t>Em caso de impedimento, ordem de paralisação ou suspensão do contrato, o cronograma de execução será prorrogado automaticamente pelo tempo correspondente, anotadas tais circunstâncias mediante simples apostila.</w:t>
      </w:r>
    </w:p>
    <w:p>
      <w:pPr>
        <w:pStyle w:val="Nvel2-Red"/>
        <w:tabs>
          <w:tab w:val="clear" w:pos="0"/>
        </w:tabs>
        <w:spacing w:lineRule="auto" w:line="360" w:before="0" w:after="0"/>
        <w:ind w:left="0" w:hanging="0"/>
        <w:rPr>
          <w:sz w:val="22"/>
          <w:szCs w:val="22"/>
        </w:rPr>
      </w:pPr>
      <w:r>
        <w:rPr>
          <w:i w:val="false"/>
          <w:iCs w:val="false"/>
          <w:color w:val="000000"/>
          <w:sz w:val="22"/>
          <w:szCs w:val="22"/>
        </w:rPr>
        <w:t xml:space="preserve">19.3 - As comunicações entre o órgão ou entidade e a contratada devem ser realizadas por escrito sempre que o ato exigir tal formalidade, admitindo-se o uso de mensagem eletrônica para esse fim. </w:t>
      </w:r>
    </w:p>
    <w:p>
      <w:pPr>
        <w:pStyle w:val="Nvel2-Red"/>
        <w:tabs>
          <w:tab w:val="clear" w:pos="0"/>
        </w:tabs>
        <w:spacing w:lineRule="auto" w:line="360" w:before="0" w:after="0"/>
        <w:ind w:left="0" w:hanging="0"/>
        <w:rPr>
          <w:sz w:val="22"/>
          <w:szCs w:val="22"/>
        </w:rPr>
      </w:pPr>
      <w:r>
        <w:rPr>
          <w:i w:val="false"/>
          <w:iCs w:val="false"/>
          <w:color w:val="000000"/>
          <w:sz w:val="22"/>
          <w:szCs w:val="22"/>
        </w:rPr>
        <w:t>19.4 - O órgão ou entidade poderá convocar representante da empresa para adoção de providências que devam ser cumpridas de imediato.</w:t>
      </w:r>
    </w:p>
    <w:p>
      <w:pPr>
        <w:pStyle w:val="Nvel2-Red"/>
        <w:tabs>
          <w:tab w:val="clear" w:pos="0"/>
        </w:tabs>
        <w:spacing w:lineRule="auto" w:line="360" w:before="0" w:after="0"/>
        <w:ind w:left="0" w:hanging="0"/>
        <w:rPr>
          <w:sz w:val="22"/>
          <w:szCs w:val="22"/>
        </w:rPr>
      </w:pPr>
      <w:r>
        <w:rPr>
          <w:i w:val="false"/>
          <w:iCs w:val="false"/>
          <w:color w:val="000000"/>
          <w:sz w:val="22"/>
          <w:szCs w:val="22"/>
        </w:rPr>
        <w:t>19.5 -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Nvel2-Red"/>
        <w:tabs>
          <w:tab w:val="clear" w:pos="0"/>
        </w:tabs>
        <w:spacing w:lineRule="auto" w:line="360" w:before="0" w:after="0"/>
        <w:ind w:left="0" w:hanging="0"/>
        <w:rPr>
          <w:sz w:val="22"/>
          <w:szCs w:val="22"/>
        </w:rPr>
      </w:pPr>
      <w:r>
        <w:rPr>
          <w:i w:val="false"/>
          <w:iCs w:val="false"/>
          <w:color w:val="000000"/>
          <w:sz w:val="22"/>
          <w:szCs w:val="22"/>
        </w:rPr>
        <w:t xml:space="preserve">19.6 - </w:t>
      </w:r>
      <w:r>
        <w:rPr>
          <w:color w:val="000000"/>
          <w:sz w:val="22"/>
          <w:szCs w:val="22"/>
        </w:rPr>
        <w:t xml:space="preserve">A execução do contrato deverá ser acompanhada e fiscalizada pelo(s) fiscal(is) do contrato, </w:t>
      </w:r>
      <w:r>
        <w:rPr>
          <w:i w:val="false"/>
          <w:iCs w:val="false"/>
          <w:color w:val="000000"/>
          <w:sz w:val="22"/>
          <w:szCs w:val="22"/>
        </w:rPr>
        <w:t xml:space="preserve">ou pelos respectivos substitutos </w:t>
      </w:r>
      <w:r>
        <w:fldChar w:fldCharType="begin"/>
      </w:r>
      <w:r>
        <w:rPr>
          <w:rStyle w:val="LinkdaInternet"/>
          <w:sz w:val="22"/>
          <w:szCs w:val="22"/>
          <w:color w:val="000000"/>
        </w:rPr>
        <w:instrText xml:space="preserve"> HYPERLINK "http://www.planalto.gov.br/ccivil_03/_ato2019-2022/2021/lei/L14133.htm" \l "art117"</w:instrText>
      </w:r>
      <w:r>
        <w:rPr>
          <w:rStyle w:val="LinkdaInternet"/>
          <w:sz w:val="22"/>
          <w:szCs w:val="22"/>
          <w:color w:val="000000"/>
        </w:rPr>
        <w:fldChar w:fldCharType="separate"/>
      </w:r>
      <w:r>
        <w:rPr>
          <w:rStyle w:val="LinkdaInternet"/>
          <w:color w:val="000000"/>
          <w:sz w:val="22"/>
          <w:szCs w:val="22"/>
        </w:rPr>
        <w:t>(Lei nº 14.133, de 2021, art. 117, caput</w:t>
      </w:r>
      <w:r>
        <w:rPr>
          <w:rStyle w:val="LinkdaInternet"/>
          <w:sz w:val="22"/>
          <w:szCs w:val="22"/>
          <w:color w:val="000000"/>
        </w:rPr>
        <w:fldChar w:fldCharType="end"/>
      </w:r>
      <w:r>
        <w:rPr>
          <w:i w:val="false"/>
          <w:iCs w:val="false"/>
          <w:color w:val="000000"/>
          <w:sz w:val="22"/>
          <w:szCs w:val="22"/>
        </w:rPr>
        <w:t>).</w:t>
      </w:r>
    </w:p>
    <w:p>
      <w:pPr>
        <w:pStyle w:val="Nvel2-Red"/>
        <w:tabs>
          <w:tab w:val="clear" w:pos="0"/>
        </w:tabs>
        <w:spacing w:lineRule="auto" w:line="360" w:before="0" w:after="0"/>
        <w:ind w:left="0" w:hanging="0"/>
        <w:rPr>
          <w:sz w:val="22"/>
          <w:szCs w:val="22"/>
        </w:rPr>
      </w:pPr>
      <w:r>
        <w:rPr>
          <w:i w:val="false"/>
          <w:iCs w:val="false"/>
          <w:color w:val="000000"/>
          <w:sz w:val="22"/>
          <w:szCs w:val="22"/>
        </w:rPr>
        <w:t xml:space="preserve">19.7 - O fiscal técnico do contrato acompanhará a execução do contrato, para que sejam cumpridas todas as condições estabelecidas no contrato, de modo a assegurar os melhores resultados para a Administração. </w:t>
      </w:r>
    </w:p>
    <w:p>
      <w:pPr>
        <w:pStyle w:val="Nvel2-Red"/>
        <w:tabs>
          <w:tab w:val="clear" w:pos="0"/>
        </w:tabs>
        <w:spacing w:lineRule="auto" w:line="360" w:before="0" w:after="0"/>
        <w:ind w:left="0" w:hanging="0"/>
        <w:rPr>
          <w:sz w:val="22"/>
          <w:szCs w:val="22"/>
        </w:rPr>
      </w:pPr>
      <w:r>
        <w:rPr>
          <w:i w:val="false"/>
          <w:iCs w:val="false"/>
          <w:color w:val="000000"/>
          <w:sz w:val="22"/>
          <w:szCs w:val="22"/>
        </w:rPr>
        <w:t>19.7.1 - 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rPr>
          <w:rStyle w:val="LinkdaInternet"/>
          <w:sz w:val="22"/>
          <w:szCs w:val="22"/>
          <w:color w:val="000000"/>
        </w:rPr>
        <w:instrText xml:space="preserve"> HYPERLINK "http://www.planalto.gov.br/ccivil_03/_ato2019-2022/2021/lei/L14133.htm" \l "art117§1"</w:instrText>
      </w:r>
      <w:r>
        <w:rPr>
          <w:rStyle w:val="LinkdaInternet"/>
          <w:sz w:val="22"/>
          <w:szCs w:val="22"/>
          <w:color w:val="000000"/>
        </w:rPr>
        <w:fldChar w:fldCharType="separate"/>
      </w:r>
      <w:r>
        <w:rPr>
          <w:rStyle w:val="LinkdaInternet"/>
          <w:color w:val="000000"/>
          <w:sz w:val="22"/>
          <w:szCs w:val="22"/>
        </w:rPr>
        <w:t>Lei nº 14.133, de 2021, art. 117, §1º</w:t>
      </w:r>
      <w:r>
        <w:rPr>
          <w:rStyle w:val="LinkdaInternet"/>
          <w:sz w:val="22"/>
          <w:szCs w:val="22"/>
          <w:color w:val="000000"/>
        </w:rPr>
        <w:fldChar w:fldCharType="end"/>
      </w:r>
      <w:r>
        <w:rPr>
          <w:i w:val="false"/>
          <w:iCs w:val="false"/>
          <w:color w:val="000000"/>
          <w:sz w:val="22"/>
          <w:szCs w:val="22"/>
        </w:rPr>
        <w:t>);</w:t>
      </w:r>
    </w:p>
    <w:p>
      <w:pPr>
        <w:pStyle w:val="Nvel2-Red"/>
        <w:tabs>
          <w:tab w:val="clear" w:pos="0"/>
        </w:tabs>
        <w:spacing w:lineRule="auto" w:line="360" w:before="0" w:after="0"/>
        <w:ind w:left="0" w:hanging="0"/>
        <w:rPr>
          <w:sz w:val="22"/>
          <w:szCs w:val="22"/>
        </w:rPr>
      </w:pPr>
      <w:r>
        <w:rPr>
          <w:i w:val="false"/>
          <w:iCs w:val="false"/>
          <w:color w:val="000000"/>
          <w:sz w:val="22"/>
          <w:szCs w:val="22"/>
        </w:rPr>
        <w:t xml:space="preserve">19.7.2 - Identificada qualquer inexatidão ou irregularidade, o fiscal técnico do contrato emitirá notificações para a correção da execução do contrato, determinando prazo para a correção. </w:t>
      </w:r>
    </w:p>
    <w:p>
      <w:pPr>
        <w:pStyle w:val="Nvel2-Red"/>
        <w:tabs>
          <w:tab w:val="clear" w:pos="0"/>
        </w:tabs>
        <w:spacing w:lineRule="auto" w:line="360" w:before="0" w:after="0"/>
        <w:ind w:left="0" w:hanging="0"/>
        <w:rPr>
          <w:sz w:val="22"/>
          <w:szCs w:val="22"/>
        </w:rPr>
      </w:pPr>
      <w:r>
        <w:rPr>
          <w:i w:val="false"/>
          <w:iCs w:val="false"/>
          <w:color w:val="000000"/>
          <w:sz w:val="22"/>
          <w:szCs w:val="22"/>
        </w:rPr>
        <w:t>19.7.3 - O fiscal técnico do contrato informará ao gestor do contato, em tempo hábil, a situação que demandar decisão ou adoção de medidas que ultrapassem sua competência, para que adote as medidas necessárias e saneadoras, se for o caso.</w:t>
      </w:r>
    </w:p>
    <w:p>
      <w:pPr>
        <w:pStyle w:val="Nvel2-Red"/>
        <w:tabs>
          <w:tab w:val="clear" w:pos="0"/>
        </w:tabs>
        <w:spacing w:lineRule="auto" w:line="360" w:before="0" w:after="0"/>
        <w:ind w:left="0" w:hanging="0"/>
        <w:rPr>
          <w:sz w:val="22"/>
          <w:szCs w:val="22"/>
        </w:rPr>
      </w:pPr>
      <w:r>
        <w:rPr>
          <w:i w:val="false"/>
          <w:iCs w:val="false"/>
          <w:color w:val="000000"/>
          <w:sz w:val="22"/>
          <w:szCs w:val="22"/>
        </w:rPr>
        <w:t xml:space="preserve">19.7.4 - No caso de ocorrências que possam inviabilizar a execução do contrato nas datas aprazadas, o fiscal técnico do contrato comunicará o fato imediatamente ao gestor do contrato. </w:t>
      </w:r>
    </w:p>
    <w:p>
      <w:pPr>
        <w:pStyle w:val="Nvel2-Red"/>
        <w:tabs>
          <w:tab w:val="clear" w:pos="0"/>
        </w:tabs>
        <w:spacing w:lineRule="auto" w:line="360" w:before="0" w:after="0"/>
        <w:ind w:left="0" w:hanging="0"/>
        <w:rPr>
          <w:sz w:val="22"/>
          <w:szCs w:val="22"/>
        </w:rPr>
      </w:pPr>
      <w:r>
        <w:rPr>
          <w:i w:val="false"/>
          <w:iCs w:val="false"/>
          <w:color w:val="000000"/>
          <w:sz w:val="22"/>
          <w:szCs w:val="22"/>
        </w:rPr>
        <w:t xml:space="preserve">19.7.5 - O fiscal técnico do contrato comunicará ao gestor do contrato, em tempo hábil, o término do contrato sob sua responsabilidade, com vistas à tempestiva renovação ou à prorrogação contratual </w:t>
      </w:r>
    </w:p>
    <w:p>
      <w:pPr>
        <w:pStyle w:val="Nvel2-Red"/>
        <w:tabs>
          <w:tab w:val="clear" w:pos="0"/>
        </w:tabs>
        <w:spacing w:lineRule="auto" w:line="360" w:before="0" w:after="0"/>
        <w:ind w:left="0" w:hanging="0"/>
        <w:rPr>
          <w:sz w:val="22"/>
          <w:szCs w:val="22"/>
        </w:rPr>
      </w:pPr>
      <w:r>
        <w:rPr>
          <w:i w:val="false"/>
          <w:iCs w:val="false"/>
          <w:color w:val="000000"/>
          <w:sz w:val="22"/>
          <w:szCs w:val="22"/>
        </w:rPr>
        <w:t xml:space="preserve">19.7.6 - 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Nvel2-Red"/>
        <w:tabs>
          <w:tab w:val="clear" w:pos="0"/>
        </w:tabs>
        <w:spacing w:lineRule="auto" w:line="360" w:before="0" w:after="0"/>
        <w:ind w:left="0" w:hanging="0"/>
        <w:rPr>
          <w:sz w:val="22"/>
          <w:szCs w:val="22"/>
        </w:rPr>
      </w:pPr>
      <w:r>
        <w:rPr>
          <w:i w:val="false"/>
          <w:iCs w:val="false"/>
          <w:color w:val="000000"/>
          <w:sz w:val="22"/>
          <w:szCs w:val="22"/>
        </w:rPr>
        <w:t>19.7.7 -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Nvel2-Red"/>
        <w:tabs>
          <w:tab w:val="clear" w:pos="0"/>
        </w:tabs>
        <w:spacing w:lineRule="auto" w:line="360" w:before="0" w:after="0"/>
        <w:ind w:left="0" w:hanging="0"/>
        <w:rPr>
          <w:sz w:val="22"/>
          <w:szCs w:val="22"/>
        </w:rPr>
      </w:pPr>
      <w:r>
        <w:rPr>
          <w:i w:val="false"/>
          <w:iCs w:val="false"/>
          <w:color w:val="000000"/>
          <w:sz w:val="22"/>
          <w:szCs w:val="22"/>
        </w:rPr>
        <w:t>19.7.8 - Caso ocorram descumprimento das obrigações contratuais, o fiscal administrativo do contrato atuará tempestivamente na solução do problema, reportando ao gestor do contrato para que tome as providências cabíveis, quando ultrapassar a sua competência.</w:t>
      </w:r>
    </w:p>
    <w:p>
      <w:pPr>
        <w:pStyle w:val="Nvel2-Red"/>
        <w:tabs>
          <w:tab w:val="clear" w:pos="0"/>
        </w:tabs>
        <w:spacing w:lineRule="auto" w:line="360" w:before="0" w:after="0"/>
        <w:ind w:left="0" w:hanging="0"/>
        <w:rPr>
          <w:sz w:val="22"/>
          <w:szCs w:val="22"/>
        </w:rPr>
      </w:pPr>
      <w:r>
        <w:rPr>
          <w:i w:val="false"/>
          <w:iCs w:val="false"/>
          <w:color w:val="000000"/>
          <w:sz w:val="22"/>
          <w:szCs w:val="22"/>
        </w:rPr>
        <w:t xml:space="preserve">19.8 -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pPr>
        <w:pStyle w:val="Nvel2-Red"/>
        <w:tabs>
          <w:tab w:val="clear" w:pos="0"/>
        </w:tabs>
        <w:spacing w:lineRule="auto" w:line="360" w:before="0" w:after="0"/>
        <w:ind w:left="0" w:hanging="0"/>
        <w:rPr>
          <w:sz w:val="22"/>
          <w:szCs w:val="22"/>
        </w:rPr>
      </w:pPr>
      <w:r>
        <w:rPr>
          <w:i w:val="false"/>
          <w:iCs w:val="false"/>
          <w:color w:val="000000"/>
          <w:sz w:val="22"/>
          <w:szCs w:val="22"/>
        </w:rPr>
        <w:t xml:space="preserve">19.8.1 -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Nvel2-Red"/>
        <w:tabs>
          <w:tab w:val="clear" w:pos="0"/>
        </w:tabs>
        <w:spacing w:lineRule="auto" w:line="360" w:before="0" w:after="0"/>
        <w:ind w:left="0" w:hanging="0"/>
        <w:rPr>
          <w:sz w:val="22"/>
          <w:szCs w:val="22"/>
        </w:rPr>
      </w:pPr>
      <w:r>
        <w:rPr>
          <w:i w:val="false"/>
          <w:iCs w:val="false"/>
          <w:color w:val="000000"/>
          <w:sz w:val="22"/>
          <w:szCs w:val="22"/>
        </w:rPr>
        <w:t>19.8.2 -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pPr>
        <w:pStyle w:val="Nvel2-Red"/>
        <w:tabs>
          <w:tab w:val="clear" w:pos="0"/>
        </w:tabs>
        <w:spacing w:lineRule="auto" w:line="360" w:before="0" w:after="0"/>
        <w:ind w:left="0" w:hanging="0"/>
        <w:rPr>
          <w:sz w:val="22"/>
          <w:szCs w:val="22"/>
        </w:rPr>
      </w:pPr>
      <w:r>
        <w:rPr>
          <w:i w:val="false"/>
          <w:iCs w:val="false"/>
          <w:color w:val="000000"/>
          <w:sz w:val="22"/>
          <w:szCs w:val="22"/>
        </w:rPr>
        <w:t xml:space="preserve">19.8.3 - O gestor do contrato tomará providências para a formalização de processo administrativo de responsabilização para fins de aplicação de sanções, a ser conduzido pela comissão de que trata o </w:t>
      </w:r>
      <w:r>
        <w:fldChar w:fldCharType="begin"/>
      </w:r>
      <w:r>
        <w:rPr>
          <w:rStyle w:val="LinkdaInternet"/>
          <w:sz w:val="22"/>
          <w:szCs w:val="22"/>
          <w:color w:val="000000"/>
        </w:rPr>
        <w:instrText xml:space="preserve"> HYPERLINK "http://www.planalto.gov.br/ccivil_03/_ato2019-2022/2021/lei/L14133.htm" \l "art158"</w:instrText>
      </w:r>
      <w:r>
        <w:rPr>
          <w:rStyle w:val="LinkdaInternet"/>
          <w:sz w:val="22"/>
          <w:szCs w:val="22"/>
          <w:color w:val="000000"/>
        </w:rPr>
        <w:fldChar w:fldCharType="separate"/>
      </w:r>
      <w:r>
        <w:rPr>
          <w:rStyle w:val="LinkdaInternet"/>
          <w:color w:val="000000"/>
          <w:sz w:val="22"/>
          <w:szCs w:val="22"/>
        </w:rPr>
        <w:t>art. 158 da Lei nº 14.133, de 2021</w:t>
      </w:r>
      <w:r>
        <w:rPr>
          <w:rStyle w:val="LinkdaInternet"/>
          <w:sz w:val="22"/>
          <w:szCs w:val="22"/>
          <w:color w:val="000000"/>
        </w:rPr>
        <w:fldChar w:fldCharType="end"/>
      </w:r>
      <w:r>
        <w:rPr>
          <w:i w:val="false"/>
          <w:iCs w:val="false"/>
          <w:color w:val="000000"/>
          <w:sz w:val="22"/>
          <w:szCs w:val="22"/>
        </w:rPr>
        <w:t>, ou pelo agente ou pelo setor com competência para tal, conforme o caso.</w:t>
      </w:r>
    </w:p>
    <w:p>
      <w:pPr>
        <w:pStyle w:val="Nvel2-Red"/>
        <w:tabs>
          <w:tab w:val="clear" w:pos="0"/>
        </w:tabs>
        <w:spacing w:lineRule="auto" w:line="360" w:before="0" w:after="0"/>
        <w:ind w:left="0" w:hanging="0"/>
        <w:rPr>
          <w:sz w:val="22"/>
          <w:szCs w:val="22"/>
        </w:rPr>
      </w:pPr>
      <w:r>
        <w:rPr>
          <w:i w:val="false"/>
          <w:iCs w:val="false"/>
          <w:color w:val="000000"/>
          <w:sz w:val="22"/>
          <w:szCs w:val="22"/>
        </w:rPr>
        <w:t>19.9 - O fiscal administrativo do contrato comunicará ao gestor do contrato, em tempo hábil, o término do contrato sob sua responsabilidade, com vistas à tempestiva renovação ou prorrogação contratual.</w:t>
      </w:r>
    </w:p>
    <w:p>
      <w:pPr>
        <w:pStyle w:val="Nvel2-Red"/>
        <w:tabs>
          <w:tab w:val="clear" w:pos="0"/>
        </w:tabs>
        <w:spacing w:lineRule="auto" w:line="360" w:before="0" w:after="0"/>
        <w:ind w:left="0" w:hanging="0"/>
        <w:rPr>
          <w:sz w:val="22"/>
          <w:szCs w:val="22"/>
        </w:rPr>
      </w:pPr>
      <w:r>
        <w:rPr>
          <w:i w:val="false"/>
          <w:iCs w:val="false"/>
          <w:color w:val="000000"/>
          <w:sz w:val="22"/>
          <w:szCs w:val="22"/>
        </w:rPr>
        <w:t>19.10 - O gestor do contrato deverá elaborar relató</w:t>
      </w:r>
      <w:r>
        <w:rPr>
          <w:rFonts w:eastAsia="Arial"/>
          <w:i w:val="false"/>
          <w:iCs w:val="false"/>
          <w:color w:val="000000"/>
          <w:sz w:val="22"/>
          <w:szCs w:val="22"/>
        </w:rPr>
        <w:t xml:space="preserve">rio final com informações sobre a consecução dos objetivos que tenham justificado a contratação e eventuais condutas a serem adotadas para o aprimoramento das atividades da Administração. </w:t>
      </w:r>
    </w:p>
    <w:p>
      <w:pPr>
        <w:pStyle w:val="Nvel2-Red"/>
        <w:tabs>
          <w:tab w:val="clear" w:pos="0"/>
        </w:tabs>
        <w:spacing w:lineRule="auto" w:line="360" w:before="0" w:after="0"/>
        <w:ind w:left="0" w:hanging="0"/>
        <w:rPr>
          <w:sz w:val="22"/>
          <w:szCs w:val="22"/>
        </w:rPr>
      </w:pPr>
      <w:r>
        <w:rPr>
          <w:rFonts w:eastAsia="Arial"/>
          <w:i w:val="false"/>
          <w:iCs w:val="false"/>
          <w:color w:val="000000"/>
          <w:sz w:val="22"/>
          <w:szCs w:val="22"/>
        </w:rPr>
        <w:t xml:space="preserve">19.11 - </w:t>
      </w:r>
      <w:r>
        <w:rPr>
          <w:i w:val="false"/>
          <w:iCs w:val="false"/>
          <w:color w:val="000000"/>
          <w:sz w:val="22"/>
          <w:szCs w:val="22"/>
        </w:rPr>
        <w:t>O gestor do contrato deverá enviar a documentação pertinente ao setor de contratos para a formalização dos procedimentos de liquidação e pagamento, no valor dimensionado pela fiscalização e gestão nos termos do contrato.</w:t>
      </w:r>
    </w:p>
    <w:p>
      <w:pPr>
        <w:pStyle w:val="Normal"/>
        <w:tabs>
          <w:tab w:val="clear" w:pos="709"/>
          <w:tab w:val="left" w:pos="1620" w:leader="none"/>
        </w:tabs>
        <w:spacing w:lineRule="auto" w:line="360"/>
        <w:jc w:val="both"/>
        <w:rPr>
          <w:rFonts w:ascii="Arial" w:hAnsi="Arial" w:eastAsia="MS Mincho" w:cs="Arial"/>
          <w:i/>
          <w:i/>
          <w:iCs/>
          <w:color w:val="000000"/>
          <w:kern w:val="0"/>
          <w:sz w:val="22"/>
          <w:szCs w:val="22"/>
          <w:lang w:eastAsia="en-US"/>
        </w:rPr>
      </w:pPr>
      <w:r>
        <w:rPr>
          <w:rFonts w:eastAsia="MS Mincho" w:cs="Arial" w:ascii="Arial" w:hAnsi="Arial"/>
          <w:i/>
          <w:iCs/>
          <w:color w:val="000000"/>
          <w:kern w:val="0"/>
          <w:sz w:val="22"/>
          <w:szCs w:val="22"/>
          <w:lang w:eastAsia="en-US"/>
        </w:rPr>
      </w:r>
    </w:p>
    <w:p>
      <w:pPr>
        <w:pStyle w:val="Nivel01"/>
        <w:numPr>
          <w:ilvl w:val="0"/>
          <w:numId w:val="0"/>
        </w:numPr>
        <w:spacing w:lineRule="auto" w:line="360" w:before="0" w:after="0"/>
        <w:ind w:left="0" w:hanging="0"/>
        <w:rPr>
          <w:sz w:val="22"/>
          <w:szCs w:val="22"/>
        </w:rPr>
      </w:pPr>
      <w:r>
        <w:rPr>
          <w:sz w:val="22"/>
          <w:szCs w:val="22"/>
        </w:rPr>
        <w:t>20 -DA CONTRATAÇÃO</w:t>
      </w:r>
    </w:p>
    <w:p>
      <w:pPr>
        <w:pStyle w:val="Nivel2"/>
        <w:numPr>
          <w:ilvl w:val="0"/>
          <w:numId w:val="0"/>
        </w:numPr>
        <w:spacing w:lineRule="auto" w:line="360" w:before="0" w:after="0"/>
        <w:ind w:left="0" w:hanging="0"/>
        <w:rPr>
          <w:sz w:val="22"/>
          <w:szCs w:val="22"/>
        </w:rPr>
      </w:pPr>
      <w:r>
        <w:rPr>
          <w:sz w:val="22"/>
          <w:szCs w:val="22"/>
        </w:rPr>
        <w:t>20.1 - A Contratação decorrente da presente licitação vigorará até o recebimento definitivo do objeto do contrato.</w:t>
      </w:r>
    </w:p>
    <w:p>
      <w:pPr>
        <w:pStyle w:val="Nivel2"/>
        <w:numPr>
          <w:ilvl w:val="0"/>
          <w:numId w:val="0"/>
        </w:numPr>
        <w:spacing w:lineRule="auto" w:line="360" w:before="0" w:after="0"/>
        <w:ind w:left="0" w:hanging="0"/>
        <w:rPr>
          <w:sz w:val="22"/>
          <w:szCs w:val="22"/>
        </w:rPr>
      </w:pPr>
      <w:r>
        <w:rPr>
          <w:sz w:val="22"/>
          <w:szCs w:val="22"/>
        </w:rPr>
        <w:t>20.2 - A adjudicatária será convocada via endereço eletrônico (e-mail) ou meio equivalente para assinatura do contrato e terá o prazo de 05 (cinco) dias corridos para atendimento, contados da data de transmissão da convocação. Na ocasião, ser-lhe-ão exigidos os seguintes documentos:</w:t>
      </w:r>
    </w:p>
    <w:p>
      <w:pPr>
        <w:pStyle w:val="Nivel2"/>
        <w:numPr>
          <w:ilvl w:val="0"/>
          <w:numId w:val="19"/>
        </w:numPr>
        <w:spacing w:lineRule="auto" w:line="360" w:before="0" w:after="0"/>
        <w:rPr>
          <w:sz w:val="22"/>
          <w:szCs w:val="22"/>
        </w:rPr>
      </w:pPr>
      <w:r>
        <w:rPr>
          <w:sz w:val="22"/>
          <w:szCs w:val="22"/>
        </w:rPr>
        <w:t>Indicação, por escrito, de endereço de e-mail para a realização de quaisquer comunicações sobre a execução do contrato;</w:t>
      </w:r>
    </w:p>
    <w:p>
      <w:pPr>
        <w:pStyle w:val="Nivel2"/>
        <w:numPr>
          <w:ilvl w:val="0"/>
          <w:numId w:val="19"/>
        </w:numPr>
        <w:spacing w:lineRule="auto" w:line="360" w:before="0" w:after="0"/>
        <w:rPr>
          <w:sz w:val="22"/>
          <w:szCs w:val="22"/>
        </w:rPr>
      </w:pPr>
      <w:r>
        <w:rPr>
          <w:sz w:val="22"/>
          <w:szCs w:val="22"/>
        </w:rPr>
        <w:t>Apresentar o(s) documento(s) de identidade, R.G. e CPF, do(s) sócio(s) ou procurador(es) que assinará(ao) o contrato com a Prefeitura do Município de Itatiba;</w:t>
      </w:r>
    </w:p>
    <w:p>
      <w:pPr>
        <w:pStyle w:val="Nivel2"/>
        <w:numPr>
          <w:ilvl w:val="0"/>
          <w:numId w:val="19"/>
        </w:numPr>
        <w:spacing w:lineRule="auto" w:line="360" w:before="0" w:after="0"/>
        <w:rPr>
          <w:sz w:val="22"/>
          <w:szCs w:val="22"/>
        </w:rPr>
      </w:pPr>
      <w:r>
        <w:rPr>
          <w:sz w:val="22"/>
          <w:szCs w:val="22"/>
        </w:rPr>
        <w:t>Quando a empresa se fizer representar por procurador, este deverá apresentar procuração, por instrumento público ou particular com firma reconhecida, que lhe confira poderes para assinar contrato. Ou deverá trazer cópia simples acompanhada do documento original para autenticação por servidor.</w:t>
      </w:r>
    </w:p>
    <w:p>
      <w:pPr>
        <w:pStyle w:val="Nivel2"/>
        <w:numPr>
          <w:ilvl w:val="0"/>
          <w:numId w:val="19"/>
        </w:numPr>
        <w:spacing w:lineRule="auto" w:line="360" w:before="0" w:after="0"/>
        <w:rPr>
          <w:sz w:val="22"/>
          <w:szCs w:val="22"/>
        </w:rPr>
      </w:pPr>
      <w:r>
        <w:rPr>
          <w:sz w:val="22"/>
          <w:szCs w:val="22"/>
        </w:rPr>
        <w:t>Tratando-se a adjudicatária de microempresa ou empresa de pequeno porte, cuja documentação de regularidade fiscal e trabalhista tenha indicado restrições ou ressalvas à época da etapa de habilitação, deverá comprovar previamente à assinatura do contrato o suprimento da(s) pendência(s) constante(s) do(s) documento(s) apresentado(s) e, em consequência, comprovar a sua regularidade fiscal, no prazo de cinco dias úteis, prorrogáveis por igual período a critério desta Administração, contados da data da declaração do vencedor, sob pena de decair do direito à contratação, sem prejuízo da imposição das sanções previstas neste edital.</w:t>
      </w:r>
    </w:p>
    <w:p>
      <w:pPr>
        <w:pStyle w:val="Normal"/>
        <w:tabs>
          <w:tab w:val="clear" w:pos="709"/>
          <w:tab w:val="left" w:pos="1620" w:leader="none"/>
        </w:tabs>
        <w:spacing w:lineRule="auto" w:line="360"/>
        <w:jc w:val="both"/>
        <w:rPr>
          <w:rFonts w:ascii="Arial" w:hAnsi="Arial" w:eastAsia="MS Mincho" w:cs="Arial"/>
          <w:kern w:val="0"/>
          <w:sz w:val="22"/>
          <w:szCs w:val="22"/>
          <w:lang w:eastAsia="en-US"/>
        </w:rPr>
      </w:pPr>
      <w:r>
        <w:rPr>
          <w:rFonts w:eastAsia="MS Mincho" w:cs="Arial" w:ascii="Arial" w:hAnsi="Arial"/>
          <w:kern w:val="0"/>
          <w:sz w:val="22"/>
          <w:szCs w:val="22"/>
          <w:lang w:eastAsia="en-US"/>
        </w:rPr>
      </w:r>
    </w:p>
    <w:p>
      <w:pPr>
        <w:pStyle w:val="Normal"/>
        <w:spacing w:lineRule="auto" w:line="360"/>
        <w:jc w:val="both"/>
        <w:rPr>
          <w:rFonts w:ascii="Arial" w:hAnsi="Arial" w:cs="Arial"/>
          <w:sz w:val="22"/>
          <w:szCs w:val="22"/>
        </w:rPr>
      </w:pPr>
      <w:r>
        <w:rPr>
          <w:rFonts w:eastAsia="Arial" w:cs="Arial" w:ascii="Arial" w:hAnsi="Arial"/>
          <w:b/>
          <w:color w:val="000000"/>
          <w:sz w:val="22"/>
          <w:szCs w:val="22"/>
        </w:rPr>
        <w:t>21 - OBRIGAÇÕES DA CONTRATANTE</w:t>
      </w:r>
    </w:p>
    <w:p>
      <w:pPr>
        <w:pStyle w:val="Normal"/>
        <w:spacing w:lineRule="auto" w:line="360"/>
        <w:jc w:val="both"/>
        <w:rPr>
          <w:rFonts w:ascii="Arial" w:hAnsi="Arial" w:cs="Arial"/>
          <w:sz w:val="22"/>
          <w:szCs w:val="22"/>
        </w:rPr>
      </w:pPr>
      <w:r>
        <w:rPr>
          <w:rFonts w:eastAsia="Arial" w:cs="Arial" w:ascii="Arial" w:hAnsi="Arial"/>
          <w:color w:val="000000"/>
          <w:sz w:val="22"/>
          <w:szCs w:val="22"/>
        </w:rPr>
        <w:t>21.1 - São obrigações do Contratante:</w:t>
      </w:r>
    </w:p>
    <w:p>
      <w:pPr>
        <w:pStyle w:val="Normal"/>
        <w:spacing w:lineRule="auto" w:line="360"/>
        <w:jc w:val="both"/>
        <w:rPr>
          <w:rFonts w:ascii="Arial" w:hAnsi="Arial" w:cs="Arial"/>
          <w:sz w:val="22"/>
          <w:szCs w:val="22"/>
        </w:rPr>
      </w:pPr>
      <w:r>
        <w:rPr>
          <w:rFonts w:eastAsia="Arial" w:cs="Arial" w:ascii="Arial" w:hAnsi="Arial"/>
          <w:color w:val="000000"/>
          <w:sz w:val="22"/>
          <w:szCs w:val="22"/>
        </w:rPr>
        <w:t>a) Exigir o cumprimento de todas as obrigações assumidas pelo Contratado, de acordo com o contrato e seus anexos;</w:t>
      </w:r>
    </w:p>
    <w:p>
      <w:pPr>
        <w:pStyle w:val="Normal"/>
        <w:spacing w:lineRule="auto" w:line="360"/>
        <w:jc w:val="both"/>
        <w:rPr>
          <w:rFonts w:ascii="Arial" w:hAnsi="Arial" w:cs="Arial"/>
          <w:sz w:val="22"/>
          <w:szCs w:val="22"/>
        </w:rPr>
      </w:pPr>
      <w:r>
        <w:rPr>
          <w:rFonts w:eastAsia="Arial" w:cs="Arial" w:ascii="Arial" w:hAnsi="Arial"/>
          <w:color w:val="000000"/>
          <w:sz w:val="22"/>
          <w:szCs w:val="22"/>
        </w:rPr>
        <w:t>b) Receber o objeto no prazo e condições estabelecidas no Termo de Referência;</w:t>
      </w:r>
    </w:p>
    <w:p>
      <w:pPr>
        <w:pStyle w:val="Normal"/>
        <w:spacing w:lineRule="auto" w:line="360"/>
        <w:jc w:val="both"/>
        <w:rPr>
          <w:rFonts w:ascii="Arial" w:hAnsi="Arial" w:cs="Arial"/>
          <w:sz w:val="22"/>
          <w:szCs w:val="22"/>
        </w:rPr>
      </w:pPr>
      <w:r>
        <w:rPr>
          <w:rFonts w:eastAsia="Arial" w:cs="Arial" w:ascii="Arial" w:hAnsi="Arial"/>
          <w:color w:val="000000"/>
          <w:sz w:val="22"/>
          <w:szCs w:val="22"/>
        </w:rPr>
        <w:t>c) Notificar o Contratado, por escrito, sobre vícios, defeitos ou incorreções verificadas no objeto fornecido, para que seja por ele substituído, reparado ou corrigido, no total ou em parte, às suas expensas;</w:t>
      </w:r>
    </w:p>
    <w:p>
      <w:pPr>
        <w:pStyle w:val="Normal"/>
        <w:spacing w:lineRule="auto" w:line="360"/>
        <w:jc w:val="both"/>
        <w:rPr>
          <w:rFonts w:ascii="Arial" w:hAnsi="Arial" w:cs="Arial"/>
          <w:sz w:val="22"/>
          <w:szCs w:val="22"/>
        </w:rPr>
      </w:pPr>
      <w:r>
        <w:rPr>
          <w:rFonts w:eastAsia="Arial" w:cs="Arial" w:ascii="Arial" w:hAnsi="Arial"/>
          <w:color w:val="000000"/>
          <w:sz w:val="22"/>
          <w:szCs w:val="22"/>
        </w:rPr>
        <w:t>d) Acompanhar e fiscalizar a execução do contrato e o cumprimento das obrigações pelo Contratado;</w:t>
      </w:r>
    </w:p>
    <w:p>
      <w:pPr>
        <w:pStyle w:val="Normal"/>
        <w:spacing w:lineRule="auto" w:line="360"/>
        <w:jc w:val="both"/>
        <w:rPr>
          <w:rFonts w:ascii="Arial" w:hAnsi="Arial" w:cs="Arial"/>
          <w:sz w:val="22"/>
          <w:szCs w:val="22"/>
        </w:rPr>
      </w:pPr>
      <w:r>
        <w:rPr>
          <w:rFonts w:eastAsia="Arial" w:cs="Arial" w:ascii="Arial" w:hAnsi="Arial"/>
          <w:color w:val="000000"/>
          <w:sz w:val="22"/>
          <w:szCs w:val="22"/>
        </w:rPr>
        <w:t xml:space="preserve">e) Comunicar a empresa para emissão de Nota Fiscal no que pertine à parcela incontroversa da execução do objeto, para efeito de liquidação e pagamento, quando houver controvérsia sobre a execução do objeto, quanto à dimensão, qualidade e quantidade, conforme o </w:t>
      </w:r>
      <w:r>
        <w:rPr>
          <w:rFonts w:eastAsia="Arial" w:cs="Arial" w:ascii="Arial" w:hAnsi="Arial"/>
          <w:color w:val="000000"/>
          <w:sz w:val="22"/>
          <w:szCs w:val="22"/>
          <w:u w:val="single"/>
        </w:rPr>
        <w:t>art. 143 da Lei nº 14.133, de 2021</w:t>
      </w:r>
      <w:r>
        <w:rPr>
          <w:rFonts w:eastAsia="Arial" w:cs="Arial" w:ascii="Arial" w:hAnsi="Arial"/>
          <w:color w:val="000000"/>
          <w:sz w:val="22"/>
          <w:szCs w:val="22"/>
        </w:rPr>
        <w:t>;</w:t>
      </w:r>
    </w:p>
    <w:p>
      <w:pPr>
        <w:pStyle w:val="Normal"/>
        <w:spacing w:lineRule="auto" w:line="360"/>
        <w:jc w:val="both"/>
        <w:rPr>
          <w:rFonts w:ascii="Arial" w:hAnsi="Arial" w:cs="Arial"/>
          <w:sz w:val="22"/>
          <w:szCs w:val="22"/>
        </w:rPr>
      </w:pPr>
      <w:r>
        <w:rPr>
          <w:rFonts w:eastAsia="Arial" w:cs="Arial" w:ascii="Arial" w:hAnsi="Arial"/>
          <w:color w:val="000000"/>
          <w:sz w:val="22"/>
          <w:szCs w:val="22"/>
        </w:rPr>
        <w:t>f) Efetuar o pagamento ao Contratado do valor correspondente ao fornecimento do objeto, no prazo, forma e condições estabelecidos no presente Contrato;</w:t>
      </w:r>
    </w:p>
    <w:p>
      <w:pPr>
        <w:pStyle w:val="Normal"/>
        <w:spacing w:lineRule="auto" w:line="360"/>
        <w:jc w:val="both"/>
        <w:rPr>
          <w:rFonts w:ascii="Arial" w:hAnsi="Arial" w:cs="Arial"/>
          <w:sz w:val="22"/>
          <w:szCs w:val="22"/>
        </w:rPr>
      </w:pPr>
      <w:r>
        <w:rPr>
          <w:rFonts w:eastAsia="Arial" w:cs="Arial" w:ascii="Arial" w:hAnsi="Arial"/>
          <w:color w:val="000000"/>
          <w:sz w:val="22"/>
          <w:szCs w:val="22"/>
        </w:rPr>
        <w:t xml:space="preserve">g) Aplicar ao Contratado as sanções previstas na lei e neste Contrato; </w:t>
      </w:r>
    </w:p>
    <w:p>
      <w:pPr>
        <w:pStyle w:val="Normal"/>
        <w:spacing w:lineRule="auto" w:line="360"/>
        <w:jc w:val="both"/>
        <w:rPr>
          <w:rFonts w:ascii="Arial" w:hAnsi="Arial" w:cs="Arial"/>
          <w:sz w:val="22"/>
          <w:szCs w:val="22"/>
        </w:rPr>
      </w:pPr>
      <w:r>
        <w:rPr>
          <w:rFonts w:eastAsia="Arial" w:cs="Arial" w:ascii="Arial" w:hAnsi="Arial"/>
          <w:color w:val="000000"/>
          <w:sz w:val="22"/>
          <w:szCs w:val="22"/>
        </w:rPr>
        <w:t>h) 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ormal"/>
        <w:spacing w:lineRule="auto" w:line="360"/>
        <w:jc w:val="both"/>
        <w:rPr>
          <w:rFonts w:ascii="Arial" w:hAnsi="Arial" w:cs="Arial"/>
          <w:sz w:val="22"/>
          <w:szCs w:val="22"/>
        </w:rPr>
      </w:pPr>
      <w:r>
        <w:rPr>
          <w:rFonts w:eastAsia="Arial" w:cs="Arial" w:ascii="Arial" w:hAnsi="Arial"/>
          <w:color w:val="000000"/>
          <w:sz w:val="22"/>
          <w:szCs w:val="22"/>
        </w:rPr>
        <w:tab/>
        <w:t xml:space="preserve">- A Administração terá o prazo </w:t>
      </w:r>
      <w:r>
        <w:rPr>
          <w:rFonts w:cs="Arial" w:ascii="Arial" w:hAnsi="Arial"/>
          <w:sz w:val="22"/>
          <w:szCs w:val="22"/>
        </w:rPr>
        <w:t xml:space="preserve">de 05 (cinco) dias, a contar da data do protocolo do requerimento para decidir, admitida a prorrogação motivada, por igual período. </w:t>
      </w:r>
    </w:p>
    <w:p>
      <w:pPr>
        <w:pStyle w:val="Nivel2"/>
        <w:numPr>
          <w:ilvl w:val="0"/>
          <w:numId w:val="17"/>
        </w:numPr>
        <w:suppressAutoHyphens w:val="true"/>
        <w:spacing w:lineRule="auto" w:line="360" w:before="0" w:after="0"/>
        <w:ind w:left="0" w:hanging="0"/>
        <w:rPr>
          <w:sz w:val="22"/>
          <w:szCs w:val="22"/>
        </w:rPr>
      </w:pPr>
      <w:r>
        <w:rPr>
          <w:sz w:val="22"/>
          <w:szCs w:val="22"/>
        </w:rPr>
        <w:t>Responder eventuais pedidos de reestabelecimento do equilíbrio econômico-financeiro feitos pelo contratado no prazo máximo de 30 (trinta) dias.</w:t>
      </w:r>
    </w:p>
    <w:p>
      <w:pPr>
        <w:pStyle w:val="Normal"/>
        <w:spacing w:lineRule="auto" w:line="360"/>
        <w:jc w:val="both"/>
        <w:rPr>
          <w:rFonts w:ascii="Arial" w:hAnsi="Arial" w:cs="Arial"/>
          <w:sz w:val="22"/>
          <w:szCs w:val="22"/>
        </w:rPr>
      </w:pPr>
      <w:r>
        <w:rPr>
          <w:rFonts w:eastAsia="Arial" w:cs="Arial" w:ascii="Arial" w:hAnsi="Arial"/>
          <w:color w:val="000000"/>
          <w:sz w:val="22"/>
          <w:szCs w:val="22"/>
        </w:rPr>
        <w:t>j)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ListParagraph"/>
        <w:widowControl w:val="false"/>
        <w:tabs>
          <w:tab w:val="left" w:pos="0" w:leader="none"/>
          <w:tab w:val="left" w:pos="709" w:leader="none"/>
        </w:tabs>
        <w:spacing w:lineRule="auto" w:line="360"/>
        <w:ind w:left="0" w:hanging="0"/>
        <w:jc w:val="both"/>
        <w:rPr>
          <w:rFonts w:ascii="Arial" w:hAnsi="Arial" w:eastAsia="Arial" w:cs="Arial"/>
          <w:b/>
          <w:color w:val="000000"/>
          <w:sz w:val="22"/>
          <w:szCs w:val="22"/>
        </w:rPr>
      </w:pPr>
      <w:r>
        <w:rPr>
          <w:rFonts w:eastAsia="Arial" w:cs="Arial" w:ascii="Arial" w:hAnsi="Arial"/>
          <w:b/>
          <w:color w:val="000000"/>
          <w:sz w:val="22"/>
          <w:szCs w:val="22"/>
        </w:rPr>
      </w:r>
    </w:p>
    <w:p>
      <w:pPr>
        <w:pStyle w:val="ListParagraph"/>
        <w:widowControl w:val="false"/>
        <w:tabs>
          <w:tab w:val="left" w:pos="0" w:leader="none"/>
          <w:tab w:val="left" w:pos="709" w:leader="none"/>
        </w:tabs>
        <w:spacing w:lineRule="auto" w:line="360"/>
        <w:ind w:left="0" w:hanging="0"/>
        <w:jc w:val="both"/>
        <w:rPr>
          <w:rFonts w:ascii="Arial" w:hAnsi="Arial" w:eastAsia="Arial" w:cs="Arial"/>
          <w:b/>
          <w:color w:val="000000"/>
          <w:sz w:val="22"/>
          <w:szCs w:val="22"/>
        </w:rPr>
      </w:pPr>
      <w:r>
        <w:rPr>
          <w:rFonts w:eastAsia="Arial" w:cs="Arial" w:ascii="Arial" w:hAnsi="Arial"/>
          <w:b/>
          <w:color w:val="000000"/>
          <w:sz w:val="22"/>
          <w:szCs w:val="22"/>
        </w:rPr>
      </w:r>
    </w:p>
    <w:p>
      <w:pPr>
        <w:pStyle w:val="ListParagraph"/>
        <w:widowControl w:val="false"/>
        <w:tabs>
          <w:tab w:val="left" w:pos="0" w:leader="none"/>
          <w:tab w:val="left" w:pos="709" w:leader="none"/>
        </w:tabs>
        <w:spacing w:lineRule="auto" w:line="360"/>
        <w:ind w:left="0" w:hanging="0"/>
        <w:jc w:val="both"/>
        <w:rPr>
          <w:rFonts w:ascii="Arial" w:hAnsi="Arial" w:eastAsia="Arial" w:cs="Arial"/>
          <w:b/>
          <w:color w:val="000000"/>
          <w:sz w:val="22"/>
          <w:szCs w:val="22"/>
        </w:rPr>
      </w:pPr>
      <w:r>
        <w:rPr>
          <w:rFonts w:eastAsia="Arial" w:cs="Arial" w:ascii="Arial" w:hAnsi="Arial"/>
          <w:b/>
          <w:color w:val="000000"/>
          <w:sz w:val="22"/>
          <w:szCs w:val="22"/>
        </w:rPr>
      </w:r>
    </w:p>
    <w:p>
      <w:pPr>
        <w:pStyle w:val="ListParagraph"/>
        <w:widowControl w:val="false"/>
        <w:tabs>
          <w:tab w:val="left" w:pos="0" w:leader="none"/>
          <w:tab w:val="left" w:pos="709" w:leader="none"/>
        </w:tabs>
        <w:spacing w:lineRule="auto" w:line="360"/>
        <w:ind w:left="0" w:hanging="0"/>
        <w:jc w:val="both"/>
        <w:rPr>
          <w:rFonts w:ascii="Arial" w:hAnsi="Arial" w:eastAsia="Arial" w:cs="Arial"/>
          <w:b/>
          <w:color w:val="000000"/>
          <w:sz w:val="22"/>
          <w:szCs w:val="22"/>
        </w:rPr>
      </w:pPr>
      <w:r>
        <w:rPr>
          <w:rFonts w:eastAsia="Arial" w:cs="Arial" w:ascii="Arial" w:hAnsi="Arial"/>
          <w:b/>
          <w:color w:val="000000"/>
          <w:sz w:val="22"/>
          <w:szCs w:val="22"/>
        </w:rPr>
      </w:r>
    </w:p>
    <w:p>
      <w:pPr>
        <w:pStyle w:val="ListParagraph"/>
        <w:widowControl w:val="false"/>
        <w:numPr>
          <w:ilvl w:val="0"/>
          <w:numId w:val="21"/>
        </w:numPr>
        <w:tabs>
          <w:tab w:val="left" w:pos="0" w:leader="none"/>
          <w:tab w:val="left" w:pos="709" w:leader="none"/>
        </w:tabs>
        <w:spacing w:lineRule="auto" w:line="360" w:before="0" w:after="0"/>
        <w:ind w:left="0" w:hanging="0"/>
        <w:contextualSpacing w:val="false"/>
        <w:jc w:val="both"/>
        <w:rPr>
          <w:rFonts w:ascii="Arial" w:hAnsi="Arial" w:cs="Arial"/>
          <w:sz w:val="22"/>
          <w:szCs w:val="22"/>
        </w:rPr>
      </w:pPr>
      <w:r>
        <w:rPr>
          <w:rFonts w:eastAsia="Arial" w:cs="Arial" w:ascii="Arial" w:hAnsi="Arial"/>
          <w:b/>
          <w:color w:val="000000"/>
          <w:sz w:val="22"/>
          <w:szCs w:val="22"/>
        </w:rPr>
        <w:t>- DAS OBRIGAÇÕES DA CONTRATADA</w:t>
      </w:r>
    </w:p>
    <w:p>
      <w:pPr>
        <w:pStyle w:val="ListParagraph"/>
        <w:spacing w:lineRule="auto" w:line="360"/>
        <w:ind w:left="0" w:hanging="0"/>
        <w:jc w:val="both"/>
        <w:rPr>
          <w:rFonts w:ascii="Arial" w:hAnsi="Arial" w:cs="Arial"/>
          <w:sz w:val="22"/>
          <w:szCs w:val="22"/>
        </w:rPr>
      </w:pPr>
      <w:r>
        <w:rPr>
          <w:rFonts w:eastAsia="Arial" w:cs="Arial" w:ascii="Arial" w:hAnsi="Arial"/>
          <w:sz w:val="22"/>
          <w:szCs w:val="22"/>
        </w:rPr>
        <w:t xml:space="preserve">a) - </w:t>
      </w:r>
      <w:r>
        <w:rPr>
          <w:rFonts w:eastAsia="Arial" w:cs="Arial" w:ascii="Arial" w:hAnsi="Arial"/>
          <w:color w:val="000000"/>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ListParagraph"/>
        <w:spacing w:lineRule="auto" w:line="360"/>
        <w:ind w:left="0" w:hanging="0"/>
        <w:jc w:val="both"/>
        <w:rPr>
          <w:rFonts w:ascii="Arial" w:hAnsi="Arial" w:cs="Arial"/>
          <w:sz w:val="22"/>
          <w:szCs w:val="22"/>
        </w:rPr>
      </w:pPr>
      <w:r>
        <w:rPr>
          <w:rFonts w:eastAsia="Arial" w:cs="Arial" w:ascii="Arial" w:hAnsi="Arial"/>
          <w:color w:val="000000"/>
          <w:sz w:val="22"/>
          <w:szCs w:val="22"/>
        </w:rPr>
        <w:t>b) - Responsabilizar-se pelos vícios e danos decorrentes do objeto, de acordo com o Código de Defesa do Consumidor (</w:t>
      </w:r>
      <w:hyperlink r:id="rId16">
        <w:r>
          <w:rPr>
            <w:rStyle w:val="LinkdaInternet"/>
            <w:rFonts w:eastAsia="Arial" w:cs="Arial" w:ascii="Arial" w:hAnsi="Arial"/>
            <w:sz w:val="22"/>
            <w:szCs w:val="22"/>
          </w:rPr>
          <w:t>Lei nº 8.078, de 1990</w:t>
        </w:r>
      </w:hyperlink>
      <w:r>
        <w:rPr>
          <w:rFonts w:eastAsia="Arial" w:cs="Arial" w:ascii="Arial" w:hAnsi="Arial"/>
          <w:color w:val="000000"/>
          <w:sz w:val="22"/>
          <w:szCs w:val="22"/>
        </w:rPr>
        <w:t>);</w:t>
      </w:r>
    </w:p>
    <w:p>
      <w:pPr>
        <w:pStyle w:val="ListParagraph"/>
        <w:spacing w:lineRule="auto" w:line="360"/>
        <w:ind w:left="0" w:hanging="0"/>
        <w:jc w:val="both"/>
        <w:rPr>
          <w:rFonts w:ascii="Arial" w:hAnsi="Arial" w:cs="Arial"/>
          <w:sz w:val="22"/>
          <w:szCs w:val="22"/>
        </w:rPr>
      </w:pPr>
      <w:r>
        <w:rPr>
          <w:rFonts w:eastAsia="Arial" w:cs="Arial" w:ascii="Arial" w:hAnsi="Arial"/>
          <w:color w:val="000000"/>
          <w:sz w:val="22"/>
          <w:szCs w:val="22"/>
        </w:rPr>
        <w:t>c) - Comunicar ao contratante, no prazo máximo de 24 (vinte e quatro) horas que antecede a data da entrega, os motivos que impossibilitem o cumprimento do prazo previsto, com a devida comprovação;</w:t>
      </w:r>
    </w:p>
    <w:p>
      <w:pPr>
        <w:pStyle w:val="ListParagraph"/>
        <w:spacing w:lineRule="auto" w:line="360"/>
        <w:ind w:left="0" w:hanging="0"/>
        <w:jc w:val="both"/>
        <w:rPr>
          <w:rFonts w:ascii="Arial" w:hAnsi="Arial" w:cs="Arial"/>
          <w:sz w:val="22"/>
          <w:szCs w:val="22"/>
        </w:rPr>
      </w:pPr>
      <w:r>
        <w:rPr>
          <w:rFonts w:eastAsia="Arial" w:cs="Arial" w:ascii="Arial" w:hAnsi="Arial"/>
          <w:color w:val="000000"/>
          <w:sz w:val="22"/>
          <w:szCs w:val="22"/>
        </w:rPr>
        <w:t>d) - Atender às determinações regulares emitidas pelo fiscal ou gestor do contrato ou autoridade superior (</w:t>
      </w:r>
      <w:r>
        <w:rPr>
          <w:rFonts w:eastAsia="Arial" w:cs="Arial" w:ascii="Arial" w:hAnsi="Arial"/>
          <w:color w:val="0000FF"/>
          <w:sz w:val="22"/>
          <w:szCs w:val="22"/>
          <w:u w:val="single"/>
        </w:rPr>
        <w:t>art. 137, II, da Lei n.º 14.133, de 2021</w:t>
      </w:r>
      <w:r>
        <w:rPr>
          <w:rFonts w:eastAsia="Arial" w:cs="Arial" w:ascii="Arial" w:hAnsi="Arial"/>
          <w:color w:val="000000"/>
          <w:sz w:val="22"/>
          <w:szCs w:val="22"/>
        </w:rPr>
        <w:t>) e prestar todo esclarecimento ou informação por eles solicitados;</w:t>
      </w:r>
    </w:p>
    <w:p>
      <w:pPr>
        <w:pStyle w:val="ListParagraph"/>
        <w:spacing w:lineRule="auto" w:line="360"/>
        <w:ind w:left="0" w:hanging="0"/>
        <w:jc w:val="both"/>
        <w:rPr>
          <w:rFonts w:ascii="Arial" w:hAnsi="Arial" w:cs="Arial"/>
          <w:sz w:val="22"/>
          <w:szCs w:val="22"/>
        </w:rPr>
      </w:pPr>
      <w:r>
        <w:rPr>
          <w:rFonts w:eastAsia="Arial" w:cs="Arial" w:ascii="Arial" w:hAnsi="Arial"/>
          <w:color w:val="000000"/>
          <w:sz w:val="22"/>
          <w:szCs w:val="22"/>
        </w:rPr>
        <w:t>e) - Reparar, corrigir, remover, reconstruir ou substituir, às suas expensas, no total ou em parte, no prazo fixado pelo fiscal do contrato, os bens nos quais se verificarem vícios, defeitos ou incorreções resultantes da execução ou dos materiais empregados;</w:t>
      </w:r>
    </w:p>
    <w:p>
      <w:pPr>
        <w:pStyle w:val="ListParagraph"/>
        <w:spacing w:lineRule="auto" w:line="360"/>
        <w:ind w:left="0" w:hanging="0"/>
        <w:jc w:val="both"/>
        <w:rPr>
          <w:rFonts w:ascii="Arial" w:hAnsi="Arial" w:cs="Arial"/>
          <w:sz w:val="22"/>
          <w:szCs w:val="22"/>
        </w:rPr>
      </w:pPr>
      <w:r>
        <w:rPr>
          <w:rFonts w:eastAsia="Arial" w:cs="Arial" w:ascii="Arial" w:hAnsi="Arial"/>
          <w:sz w:val="22"/>
          <w:szCs w:val="22"/>
        </w:rPr>
        <w:t xml:space="preserve">f) - </w:t>
      </w:r>
      <w:r>
        <w:rPr>
          <w:rFonts w:eastAsia="Arial" w:cs="Arial" w:ascii="Arial" w:hAnsi="Arial"/>
          <w:color w:val="000000"/>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ListParagraph"/>
        <w:spacing w:lineRule="auto" w:line="360"/>
        <w:ind w:left="0" w:hanging="0"/>
        <w:jc w:val="both"/>
        <w:rPr>
          <w:rFonts w:ascii="Arial" w:hAnsi="Arial" w:cs="Arial"/>
          <w:sz w:val="22"/>
          <w:szCs w:val="22"/>
        </w:rPr>
      </w:pPr>
      <w:r>
        <w:rPr>
          <w:rFonts w:eastAsia="Arial" w:cs="Arial" w:ascii="Arial" w:hAnsi="Arial"/>
          <w:color w:val="000000"/>
          <w:sz w:val="22"/>
          <w:szCs w:val="22"/>
        </w:rPr>
        <w:t xml:space="preserve">g)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pPr>
        <w:pStyle w:val="ListParagraph"/>
        <w:spacing w:lineRule="auto" w:line="360"/>
        <w:ind w:left="0" w:hanging="0"/>
        <w:jc w:val="both"/>
        <w:rPr>
          <w:rFonts w:ascii="Arial" w:hAnsi="Arial" w:cs="Arial"/>
          <w:sz w:val="22"/>
          <w:szCs w:val="22"/>
        </w:rPr>
      </w:pPr>
      <w:r>
        <w:rPr>
          <w:rFonts w:eastAsia="Arial" w:cs="Arial" w:ascii="Arial" w:hAnsi="Arial"/>
          <w:color w:val="000000"/>
          <w:sz w:val="22"/>
          <w:szCs w:val="22"/>
        </w:rPr>
        <w:t>h)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ListParagraph"/>
        <w:spacing w:lineRule="auto" w:line="360"/>
        <w:ind w:left="0" w:hanging="0"/>
        <w:jc w:val="both"/>
        <w:rPr>
          <w:rFonts w:ascii="Arial" w:hAnsi="Arial" w:cs="Arial"/>
          <w:sz w:val="22"/>
          <w:szCs w:val="22"/>
        </w:rPr>
      </w:pPr>
      <w:r>
        <w:rPr>
          <w:rFonts w:eastAsia="Arial" w:cs="Arial" w:ascii="Arial" w:hAnsi="Arial"/>
          <w:color w:val="000000"/>
          <w:sz w:val="22"/>
          <w:szCs w:val="22"/>
        </w:rPr>
        <w:t>i) - Comunicar ao Fiscal do contrato, no prazo de 24 (vinte e quatro) horas, qualquer ocorrência anormal ou acidente que se verifique no local da execução do objeto contratual.</w:t>
      </w:r>
    </w:p>
    <w:p>
      <w:pPr>
        <w:pStyle w:val="ListParagraph"/>
        <w:spacing w:lineRule="auto" w:line="360"/>
        <w:ind w:left="0" w:hanging="0"/>
        <w:jc w:val="both"/>
        <w:rPr>
          <w:rFonts w:ascii="Arial" w:hAnsi="Arial" w:cs="Arial"/>
          <w:sz w:val="22"/>
          <w:szCs w:val="22"/>
        </w:rPr>
      </w:pPr>
      <w:r>
        <w:rPr>
          <w:rFonts w:eastAsia="Arial" w:cs="Arial" w:ascii="Arial" w:hAnsi="Arial"/>
          <w:color w:val="000000"/>
          <w:sz w:val="22"/>
          <w:szCs w:val="22"/>
        </w:rPr>
        <w:t>j) - Paralisar, por determinação do contratante, qualquer atividade que não esteja sendo executada de acordo com a boa técnica ou que ponha em risco a segurança de pessoas ou bens de terceiros.</w:t>
      </w:r>
    </w:p>
    <w:p>
      <w:pPr>
        <w:pStyle w:val="ListParagraph"/>
        <w:spacing w:lineRule="auto" w:line="360"/>
        <w:ind w:left="0" w:hanging="0"/>
        <w:jc w:val="both"/>
        <w:rPr>
          <w:rFonts w:ascii="Arial" w:hAnsi="Arial" w:cs="Arial"/>
          <w:sz w:val="22"/>
          <w:szCs w:val="22"/>
        </w:rPr>
      </w:pPr>
      <w:r>
        <w:rPr>
          <w:rFonts w:eastAsia="Arial" w:cs="Arial" w:ascii="Arial" w:hAnsi="Arial"/>
          <w:color w:val="000000"/>
          <w:sz w:val="22"/>
          <w:szCs w:val="22"/>
        </w:rPr>
        <w:t xml:space="preserve">k) - Manter durante toda a vigência do contrato, em compatibilidade com as obrigações assumidas, todas as condições exigidas para habilitação na licitação; </w:t>
      </w:r>
    </w:p>
    <w:p>
      <w:pPr>
        <w:pStyle w:val="ListParagraph"/>
        <w:spacing w:lineRule="auto" w:line="360"/>
        <w:ind w:left="0" w:hanging="0"/>
        <w:jc w:val="both"/>
        <w:rPr>
          <w:rFonts w:ascii="Arial" w:hAnsi="Arial" w:cs="Arial"/>
          <w:sz w:val="22"/>
          <w:szCs w:val="22"/>
        </w:rPr>
      </w:pPr>
      <w:r>
        <w:rPr>
          <w:rFonts w:eastAsia="Arial" w:cs="Arial" w:ascii="Arial" w:hAnsi="Arial"/>
          <w:color w:val="000000"/>
          <w:sz w:val="22"/>
          <w:szCs w:val="22"/>
        </w:rPr>
        <w:t xml:space="preserve">l) - Guardar sigilo sobre todas as informações obtidas em decorrência do cumprimento do contrato; </w:t>
      </w:r>
    </w:p>
    <w:p>
      <w:pPr>
        <w:pStyle w:val="ListParagraph"/>
        <w:spacing w:lineRule="auto" w:line="360"/>
        <w:ind w:left="0" w:hanging="0"/>
        <w:jc w:val="both"/>
        <w:rPr>
          <w:rFonts w:ascii="Arial" w:hAnsi="Arial" w:cs="Arial"/>
          <w:sz w:val="22"/>
          <w:szCs w:val="22"/>
        </w:rPr>
      </w:pPr>
      <w:r>
        <w:rPr>
          <w:rFonts w:eastAsia="Arial" w:cs="Arial" w:ascii="Arial" w:hAnsi="Arial"/>
          <w:color w:val="000000"/>
          <w:sz w:val="22"/>
          <w:szCs w:val="22"/>
        </w:rPr>
        <w:t xml:space="preserve">m)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rPr>
          <w:rFonts w:eastAsia="Arial" w:cs="Arial" w:ascii="Arial" w:hAnsi="Arial"/>
          <w:color w:val="0000FF"/>
          <w:sz w:val="22"/>
          <w:szCs w:val="22"/>
          <w:u w:val="single"/>
        </w:rPr>
        <w:t>art. 124, II, d, da Lei nº 14.133, de 2021.</w:t>
      </w:r>
    </w:p>
    <w:p>
      <w:pPr>
        <w:pStyle w:val="ListParagraph"/>
        <w:spacing w:lineRule="auto" w:line="360"/>
        <w:ind w:left="0" w:hanging="0"/>
        <w:jc w:val="both"/>
        <w:rPr>
          <w:rFonts w:ascii="Arial" w:hAnsi="Arial" w:cs="Arial"/>
          <w:sz w:val="22"/>
          <w:szCs w:val="22"/>
        </w:rPr>
      </w:pPr>
      <w:r>
        <w:rPr>
          <w:rFonts w:eastAsia="Arial" w:cs="Arial" w:ascii="Arial" w:hAnsi="Arial"/>
          <w:color w:val="000000"/>
          <w:sz w:val="22"/>
          <w:szCs w:val="22"/>
        </w:rPr>
        <w:t>n) - Cumprir, além dos postulados legais vigentes de âmbito federal, estadual ou municipal, as normas de segurança do contratante;</w:t>
      </w:r>
    </w:p>
    <w:p>
      <w:pPr>
        <w:pStyle w:val="ListParagraph"/>
        <w:spacing w:lineRule="auto" w:line="360"/>
        <w:ind w:left="0" w:hanging="0"/>
        <w:jc w:val="both"/>
        <w:rPr>
          <w:rFonts w:ascii="Arial" w:hAnsi="Arial" w:cs="Arial"/>
          <w:sz w:val="22"/>
          <w:szCs w:val="22"/>
        </w:rPr>
      </w:pPr>
      <w:r>
        <w:rPr>
          <w:rFonts w:eastAsia="Arial" w:cs="Arial" w:ascii="Arial" w:hAnsi="Arial"/>
          <w:color w:val="000000"/>
          <w:sz w:val="22"/>
          <w:szCs w:val="22"/>
        </w:rPr>
        <w:t>o) -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pPr>
        <w:pStyle w:val="ListParagraph"/>
        <w:spacing w:lineRule="auto" w:line="360"/>
        <w:ind w:left="0" w:hanging="0"/>
        <w:jc w:val="both"/>
        <w:rPr>
          <w:rFonts w:ascii="Arial" w:hAnsi="Arial" w:cs="Arial"/>
          <w:sz w:val="22"/>
          <w:szCs w:val="22"/>
        </w:rPr>
      </w:pPr>
      <w:r>
        <w:rPr>
          <w:rFonts w:eastAsia="Arial" w:cs="Arial" w:ascii="Arial" w:hAnsi="Arial"/>
          <w:color w:val="000000"/>
          <w:sz w:val="22"/>
          <w:szCs w:val="22"/>
        </w:rPr>
        <w:t>p) Orientar e treinar seus empregados sobre os deveres previstos na Lei nº 13.709, de 14 de agosto de 2018, adotando medidas eficazes para proteção de dados pessoais a que tenha acesso por força da execução deste contrato;</w:t>
      </w:r>
    </w:p>
    <w:p>
      <w:pPr>
        <w:pStyle w:val="ListParagraph"/>
        <w:spacing w:lineRule="auto" w:line="360"/>
        <w:ind w:left="0" w:hanging="0"/>
        <w:jc w:val="both"/>
        <w:rPr>
          <w:rFonts w:ascii="Arial" w:hAnsi="Arial" w:cs="Arial"/>
          <w:sz w:val="22"/>
          <w:szCs w:val="22"/>
        </w:rPr>
      </w:pPr>
      <w:r>
        <w:rPr>
          <w:rFonts w:eastAsia="Arial" w:cs="Arial" w:ascii="Arial" w:hAnsi="Arial"/>
          <w:color w:val="000000"/>
          <w:sz w:val="22"/>
          <w:szCs w:val="22"/>
        </w:rPr>
        <w:t>q) - Conduzir os trabalhos com estrita observância às normas da legislação pertinente, cumprindo as determinações dos Poderes Públicos, mantendo sempre limpo o local de execução do objeto e nas melhores condições de segurança, higiene e disciplina.</w:t>
      </w:r>
    </w:p>
    <w:p>
      <w:pPr>
        <w:pStyle w:val="ListParagraph"/>
        <w:spacing w:lineRule="auto" w:line="360"/>
        <w:ind w:left="0" w:hanging="0"/>
        <w:jc w:val="both"/>
        <w:rPr>
          <w:rFonts w:ascii="Arial" w:hAnsi="Arial" w:cs="Arial"/>
          <w:sz w:val="22"/>
          <w:szCs w:val="22"/>
        </w:rPr>
      </w:pPr>
      <w:r>
        <w:rPr>
          <w:rFonts w:eastAsia="Arial" w:cs="Arial" w:ascii="Arial" w:hAnsi="Arial"/>
          <w:color w:val="000000"/>
          <w:sz w:val="22"/>
          <w:szCs w:val="22"/>
        </w:rPr>
        <w:t>r) Submeter previamente, por escrito, ao contratante, para análise e aprovação, quaisquer mudanças nos métodos executivos que fujam às especificações do memorial descritivo ou instrumento congênere.</w:t>
      </w:r>
    </w:p>
    <w:p>
      <w:pPr>
        <w:pStyle w:val="ListParagraph"/>
        <w:spacing w:lineRule="auto" w:line="360"/>
        <w:ind w:left="0" w:hanging="0"/>
        <w:jc w:val="both"/>
        <w:rPr>
          <w:rFonts w:ascii="Arial" w:hAnsi="Arial" w:cs="Arial"/>
          <w:sz w:val="22"/>
          <w:szCs w:val="22"/>
        </w:rPr>
      </w:pPr>
      <w:r>
        <w:rPr>
          <w:rFonts w:eastAsia="Arial" w:cs="Arial" w:ascii="Arial" w:hAnsi="Arial"/>
          <w:color w:val="000000"/>
          <w:sz w:val="22"/>
          <w:szCs w:val="22"/>
        </w:rPr>
        <w:t>s) Não permitir a utilização de qualquer trabalho do menor de dezesseis anos, exceto na condição de aprendiz para os maiores de quatorze anos, nem permitir a utilização do trabalho do menor de dezoito anos em trabalho noturno, perigoso ou insalubre.</w:t>
      </w:r>
    </w:p>
    <w:p>
      <w:pPr>
        <w:pStyle w:val="ListParagraph"/>
        <w:spacing w:lineRule="auto" w:line="360"/>
        <w:ind w:left="0" w:hanging="0"/>
        <w:jc w:val="both"/>
        <w:rPr>
          <w:rFonts w:ascii="Arial" w:hAnsi="Arial" w:eastAsia="Arial" w:cs="Arial"/>
          <w:color w:val="000000"/>
          <w:sz w:val="22"/>
          <w:szCs w:val="22"/>
        </w:rPr>
      </w:pPr>
      <w:r>
        <w:rPr>
          <w:rFonts w:eastAsia="Arial" w:cs="Arial" w:ascii="Arial" w:hAnsi="Arial"/>
          <w:color w:val="000000"/>
          <w:sz w:val="22"/>
          <w:szCs w:val="22"/>
        </w:rPr>
      </w:r>
    </w:p>
    <w:p>
      <w:pPr>
        <w:pStyle w:val="Cabealho"/>
        <w:numPr>
          <w:ilvl w:val="0"/>
          <w:numId w:val="21"/>
        </w:numPr>
        <w:spacing w:lineRule="auto" w:line="360"/>
        <w:ind w:left="0" w:hanging="0"/>
        <w:jc w:val="both"/>
        <w:rPr>
          <w:rFonts w:ascii="Arial" w:hAnsi="Arial" w:cs="Arial"/>
          <w:sz w:val="22"/>
          <w:szCs w:val="22"/>
        </w:rPr>
      </w:pPr>
      <w:r>
        <w:rPr>
          <w:rFonts w:cs="Arial" w:ascii="Arial" w:hAnsi="Arial"/>
          <w:b/>
          <w:sz w:val="22"/>
          <w:szCs w:val="22"/>
        </w:rPr>
        <w:t xml:space="preserve">– </w:t>
      </w:r>
      <w:r>
        <w:rPr>
          <w:rFonts w:cs="Arial" w:ascii="Arial" w:hAnsi="Arial"/>
          <w:b/>
          <w:sz w:val="22"/>
          <w:szCs w:val="22"/>
        </w:rPr>
        <w:t>SANÇÕES</w:t>
      </w:r>
    </w:p>
    <w:p>
      <w:pPr>
        <w:pStyle w:val="Nivel2"/>
        <w:numPr>
          <w:ilvl w:val="1"/>
          <w:numId w:val="22"/>
        </w:numPr>
        <w:spacing w:lineRule="auto" w:line="360" w:before="0" w:after="0"/>
        <w:rPr>
          <w:sz w:val="22"/>
          <w:szCs w:val="22"/>
        </w:rPr>
      </w:pPr>
      <w:r>
        <w:rPr>
          <w:sz w:val="22"/>
          <w:szCs w:val="22"/>
        </w:rPr>
        <w:t xml:space="preserve">- Comete infração administrativa, nos termos da </w:t>
      </w:r>
      <w:hyperlink r:id="rId17">
        <w:r>
          <w:rPr>
            <w:rStyle w:val="LinkdaInternet"/>
            <w:sz w:val="22"/>
            <w:szCs w:val="22"/>
          </w:rPr>
          <w:t>Lei nº 14.133, de 2021</w:t>
        </w:r>
      </w:hyperlink>
      <w:r>
        <w:rPr>
          <w:sz w:val="22"/>
          <w:szCs w:val="22"/>
        </w:rPr>
        <w:t>, o contratado que:</w:t>
      </w:r>
    </w:p>
    <w:p>
      <w:pPr>
        <w:pStyle w:val="Normal"/>
        <w:spacing w:lineRule="auto" w:line="360"/>
        <w:ind w:left="851" w:hanging="0"/>
        <w:jc w:val="both"/>
        <w:rPr>
          <w:rFonts w:ascii="Arial" w:hAnsi="Arial" w:cs="Arial"/>
          <w:sz w:val="22"/>
          <w:szCs w:val="22"/>
        </w:rPr>
      </w:pPr>
      <w:r>
        <w:rPr>
          <w:rFonts w:eastAsia="Arial" w:cs="Arial" w:ascii="Arial" w:hAnsi="Arial"/>
          <w:sz w:val="22"/>
          <w:szCs w:val="22"/>
        </w:rPr>
        <w:t>a) der causa à inexecução parcial do contrato;</w:t>
      </w:r>
    </w:p>
    <w:p>
      <w:pPr>
        <w:pStyle w:val="Normal"/>
        <w:spacing w:lineRule="auto" w:line="360"/>
        <w:ind w:left="851" w:hanging="0"/>
        <w:jc w:val="both"/>
        <w:rPr>
          <w:rFonts w:ascii="Arial" w:hAnsi="Arial" w:cs="Arial"/>
          <w:sz w:val="22"/>
          <w:szCs w:val="22"/>
        </w:rPr>
      </w:pPr>
      <w:r>
        <w:rPr>
          <w:rFonts w:eastAsia="Arial" w:cs="Arial" w:ascii="Arial" w:hAnsi="Arial"/>
          <w:sz w:val="22"/>
          <w:szCs w:val="22"/>
        </w:rPr>
        <w:t>b) der causa à inexecução parcial do contrato que cause grave dano à Administração ou ao funcionamento dos serviços públicos ou ao interesse coletivo;</w:t>
      </w:r>
    </w:p>
    <w:p>
      <w:pPr>
        <w:pStyle w:val="ListParagraph"/>
        <w:numPr>
          <w:ilvl w:val="0"/>
          <w:numId w:val="23"/>
        </w:numPr>
        <w:spacing w:lineRule="auto" w:line="360"/>
        <w:ind w:left="851" w:hanging="0"/>
        <w:jc w:val="both"/>
        <w:rPr>
          <w:rFonts w:ascii="Arial" w:hAnsi="Arial" w:cs="Arial"/>
          <w:sz w:val="22"/>
          <w:szCs w:val="22"/>
        </w:rPr>
      </w:pPr>
      <w:r>
        <w:rPr>
          <w:rFonts w:eastAsia="Arial" w:cs="Arial" w:ascii="Arial" w:hAnsi="Arial"/>
          <w:sz w:val="22"/>
          <w:szCs w:val="22"/>
        </w:rPr>
        <w:t xml:space="preserve"> </w:t>
      </w:r>
      <w:r>
        <w:rPr>
          <w:rFonts w:eastAsia="Arial" w:cs="Arial" w:ascii="Arial" w:hAnsi="Arial"/>
          <w:sz w:val="22"/>
          <w:szCs w:val="22"/>
        </w:rPr>
        <w:t>der causa à inexecução total do contrato;</w:t>
      </w:r>
    </w:p>
    <w:p>
      <w:pPr>
        <w:pStyle w:val="ListParagraph"/>
        <w:numPr>
          <w:ilvl w:val="0"/>
          <w:numId w:val="23"/>
        </w:numPr>
        <w:spacing w:lineRule="auto" w:line="360"/>
        <w:ind w:left="851" w:hanging="0"/>
        <w:jc w:val="both"/>
        <w:rPr>
          <w:rFonts w:ascii="Arial" w:hAnsi="Arial" w:cs="Arial"/>
          <w:sz w:val="22"/>
          <w:szCs w:val="22"/>
        </w:rPr>
      </w:pPr>
      <w:r>
        <w:rPr>
          <w:rFonts w:eastAsia="Arial" w:cs="Arial" w:ascii="Arial" w:hAnsi="Arial"/>
          <w:sz w:val="22"/>
          <w:szCs w:val="22"/>
        </w:rPr>
        <w:t>ensejar o retardamento da execução ou da entrega do objeto da contratação sem motivo justificado;</w:t>
      </w:r>
    </w:p>
    <w:p>
      <w:pPr>
        <w:pStyle w:val="ListParagraph"/>
        <w:numPr>
          <w:ilvl w:val="0"/>
          <w:numId w:val="23"/>
        </w:numPr>
        <w:spacing w:lineRule="auto" w:line="360"/>
        <w:ind w:left="851" w:hanging="0"/>
        <w:jc w:val="both"/>
        <w:rPr>
          <w:rFonts w:ascii="Arial" w:hAnsi="Arial" w:cs="Arial"/>
          <w:sz w:val="22"/>
          <w:szCs w:val="22"/>
        </w:rPr>
      </w:pPr>
      <w:r>
        <w:rPr>
          <w:rFonts w:eastAsia="Arial" w:cs="Arial" w:ascii="Arial" w:hAnsi="Arial"/>
          <w:sz w:val="22"/>
          <w:szCs w:val="22"/>
        </w:rPr>
        <w:t>apresentar documentação falsa ou prestar declaração falsa durante a execução do contrato;</w:t>
      </w:r>
    </w:p>
    <w:p>
      <w:pPr>
        <w:pStyle w:val="ListParagraph"/>
        <w:numPr>
          <w:ilvl w:val="0"/>
          <w:numId w:val="23"/>
        </w:numPr>
        <w:spacing w:lineRule="auto" w:line="360"/>
        <w:ind w:left="851" w:hanging="0"/>
        <w:jc w:val="both"/>
        <w:rPr>
          <w:rFonts w:ascii="Arial" w:hAnsi="Arial" w:cs="Arial"/>
          <w:sz w:val="22"/>
          <w:szCs w:val="22"/>
        </w:rPr>
      </w:pPr>
      <w:r>
        <w:rPr>
          <w:rFonts w:eastAsia="Arial" w:cs="Arial" w:ascii="Arial" w:hAnsi="Arial"/>
          <w:sz w:val="22"/>
          <w:szCs w:val="22"/>
        </w:rPr>
        <w:t>praticar ato fraudulento na execução do contrato;</w:t>
      </w:r>
    </w:p>
    <w:p>
      <w:pPr>
        <w:pStyle w:val="ListParagraph"/>
        <w:numPr>
          <w:ilvl w:val="0"/>
          <w:numId w:val="23"/>
        </w:numPr>
        <w:spacing w:lineRule="auto" w:line="360"/>
        <w:ind w:left="851" w:hanging="0"/>
        <w:jc w:val="both"/>
        <w:rPr>
          <w:rFonts w:ascii="Arial" w:hAnsi="Arial" w:cs="Arial"/>
          <w:sz w:val="22"/>
          <w:szCs w:val="22"/>
        </w:rPr>
      </w:pPr>
      <w:r>
        <w:rPr>
          <w:rFonts w:eastAsia="Arial" w:cs="Arial" w:ascii="Arial" w:hAnsi="Arial"/>
          <w:sz w:val="22"/>
          <w:szCs w:val="22"/>
        </w:rPr>
        <w:t>comportar-se de modo inidôneo ou cometer fraude de qualquer natureza;</w:t>
      </w:r>
    </w:p>
    <w:p>
      <w:pPr>
        <w:pStyle w:val="ListParagraph"/>
        <w:numPr>
          <w:ilvl w:val="0"/>
          <w:numId w:val="23"/>
        </w:numPr>
        <w:spacing w:lineRule="auto" w:line="360"/>
        <w:ind w:left="851" w:hanging="0"/>
        <w:jc w:val="both"/>
        <w:rPr>
          <w:rFonts w:ascii="Arial" w:hAnsi="Arial" w:cs="Arial"/>
          <w:sz w:val="22"/>
          <w:szCs w:val="22"/>
        </w:rPr>
      </w:pPr>
      <w:r>
        <w:rPr>
          <w:rFonts w:eastAsia="Arial" w:cs="Arial" w:ascii="Arial" w:hAnsi="Arial"/>
          <w:sz w:val="22"/>
          <w:szCs w:val="22"/>
        </w:rPr>
        <w:t xml:space="preserve">praticar ato lesivo previsto no </w:t>
      </w:r>
      <w:r>
        <w:fldChar w:fldCharType="begin"/>
      </w:r>
      <w:r>
        <w:rPr>
          <w:rStyle w:val="LinkdaInternet"/>
          <w:sz w:val="22"/>
          <w:szCs w:val="22"/>
          <w:rFonts w:eastAsia="Arial" w:cs="Arial" w:ascii="Arial" w:hAnsi="Arial"/>
        </w:rPr>
        <w:instrText xml:space="preserve"> HYPERLINK "https://www.planalto.gov.br/ccivil_03/_ato2011-2014/2013/lei/l12846.htm" \l "art5"</w:instrText>
      </w:r>
      <w:r>
        <w:rPr>
          <w:rStyle w:val="LinkdaInternet"/>
          <w:sz w:val="22"/>
          <w:szCs w:val="22"/>
          <w:rFonts w:eastAsia="Arial" w:cs="Arial" w:ascii="Arial" w:hAnsi="Arial"/>
        </w:rPr>
        <w:fldChar w:fldCharType="separate"/>
      </w:r>
      <w:r>
        <w:rPr>
          <w:rStyle w:val="LinkdaInternet"/>
          <w:rFonts w:eastAsia="Arial" w:cs="Arial" w:ascii="Arial" w:hAnsi="Arial"/>
          <w:sz w:val="22"/>
          <w:szCs w:val="22"/>
        </w:rPr>
        <w:t>art. 5º da Lei nº 12.846, de 1º de agosto de 2013</w:t>
      </w:r>
      <w:r>
        <w:rPr>
          <w:rStyle w:val="LinkdaInternet"/>
          <w:sz w:val="22"/>
          <w:szCs w:val="22"/>
          <w:rFonts w:eastAsia="Arial" w:cs="Arial" w:ascii="Arial" w:hAnsi="Arial"/>
        </w:rPr>
        <w:fldChar w:fldCharType="end"/>
      </w:r>
      <w:r>
        <w:rPr>
          <w:rFonts w:eastAsia="Arial" w:cs="Arial" w:ascii="Arial" w:hAnsi="Arial"/>
          <w:sz w:val="22"/>
          <w:szCs w:val="22"/>
        </w:rPr>
        <w:t>.</w:t>
      </w:r>
    </w:p>
    <w:p>
      <w:pPr>
        <w:pStyle w:val="Normal"/>
        <w:spacing w:lineRule="auto" w:line="360"/>
        <w:jc w:val="both"/>
        <w:rPr>
          <w:rFonts w:ascii="Arial" w:hAnsi="Arial" w:eastAsia="Arial" w:cs="Arial"/>
          <w:sz w:val="22"/>
          <w:szCs w:val="22"/>
        </w:rPr>
      </w:pPr>
      <w:r>
        <w:rPr>
          <w:rFonts w:eastAsia="Arial" w:cs="Arial" w:ascii="Arial" w:hAnsi="Arial"/>
          <w:sz w:val="22"/>
          <w:szCs w:val="22"/>
        </w:rPr>
        <w:t>23.2 Serão aplicadas ao contratado que incorrer nas infrações acima descritas as seguintes sanções:</w:t>
      </w:r>
    </w:p>
    <w:p>
      <w:pPr>
        <w:pStyle w:val="ListParagraph"/>
        <w:numPr>
          <w:ilvl w:val="0"/>
          <w:numId w:val="16"/>
        </w:numPr>
        <w:spacing w:lineRule="auto" w:line="360" w:before="0" w:after="0"/>
        <w:ind w:left="851" w:hanging="0"/>
        <w:contextualSpacing w:val="false"/>
        <w:jc w:val="both"/>
        <w:rPr>
          <w:rFonts w:ascii="Arial" w:hAnsi="Arial" w:cs="Arial"/>
          <w:sz w:val="22"/>
          <w:szCs w:val="22"/>
        </w:rPr>
      </w:pPr>
      <w:r>
        <w:rPr>
          <w:rFonts w:eastAsia="Arial" w:cs="Arial" w:ascii="Arial" w:hAnsi="Arial"/>
          <w:b/>
          <w:bCs/>
          <w:sz w:val="22"/>
          <w:szCs w:val="22"/>
        </w:rPr>
        <w:t>Advertência</w:t>
      </w:r>
      <w:r>
        <w:rPr>
          <w:rFonts w:eastAsia="Arial" w:cs="Arial" w:ascii="Arial" w:hAnsi="Arial"/>
          <w:sz w:val="22"/>
          <w:szCs w:val="22"/>
        </w:rPr>
        <w:t>, quando o contratado der causa à inexecução parcial do contrato, sempre que não se justificar a imposição de penalidade mais grave (</w:t>
      </w:r>
      <w:r>
        <w:fldChar w:fldCharType="begin"/>
      </w:r>
      <w:r>
        <w:rPr>
          <w:rStyle w:val="LinkdaInternet"/>
          <w:sz w:val="22"/>
          <w:szCs w:val="22"/>
          <w:rFonts w:eastAsia="Arial" w:cs="Arial" w:ascii="Arial" w:hAnsi="Arial"/>
        </w:rPr>
        <w:instrText xml:space="preserve"> HYPERLINK "http://www.planalto.gov.br/ccivil_03/_ato2019-2022/2021/lei/L14133.htm" \l "art156§2"</w:instrText>
      </w:r>
      <w:r>
        <w:rPr>
          <w:rStyle w:val="LinkdaInternet"/>
          <w:sz w:val="22"/>
          <w:szCs w:val="22"/>
          <w:rFonts w:eastAsia="Arial" w:cs="Arial" w:ascii="Arial" w:hAnsi="Arial"/>
        </w:rPr>
        <w:fldChar w:fldCharType="separate"/>
      </w:r>
      <w:r>
        <w:rPr>
          <w:rStyle w:val="LinkdaInternet"/>
          <w:rFonts w:eastAsia="Arial" w:cs="Arial" w:ascii="Arial" w:hAnsi="Arial"/>
          <w:sz w:val="22"/>
          <w:szCs w:val="22"/>
        </w:rPr>
        <w:t xml:space="preserve">art. 156, §2º, da </w:t>
      </w:r>
      <w:r>
        <w:rPr>
          <w:rStyle w:val="LinkdaInternet"/>
          <w:sz w:val="22"/>
          <w:szCs w:val="22"/>
          <w:rFonts w:eastAsia="Arial" w:cs="Arial" w:ascii="Arial" w:hAnsi="Arial"/>
        </w:rPr>
        <w:fldChar w:fldCharType="end"/>
      </w:r>
      <w:bookmarkStart w:id="47" w:name="_Hlk114504069"/>
      <w:r>
        <w:rPr>
          <w:rStyle w:val="LinkdaInternet"/>
          <w:rFonts w:eastAsia="Arial" w:cs="Arial" w:ascii="Arial" w:hAnsi="Arial"/>
          <w:sz w:val="22"/>
          <w:szCs w:val="22"/>
        </w:rPr>
        <w:t>Lei nº 14.133, de 2021</w:t>
      </w:r>
      <w:bookmarkEnd w:id="47"/>
      <w:r>
        <w:rPr>
          <w:rFonts w:eastAsia="Arial" w:cs="Arial" w:ascii="Arial" w:hAnsi="Arial"/>
          <w:sz w:val="22"/>
          <w:szCs w:val="22"/>
        </w:rPr>
        <w:t>);</w:t>
      </w:r>
    </w:p>
    <w:p>
      <w:pPr>
        <w:pStyle w:val="ListParagraph"/>
        <w:numPr>
          <w:ilvl w:val="0"/>
          <w:numId w:val="16"/>
        </w:numPr>
        <w:spacing w:lineRule="auto" w:line="360" w:before="0" w:after="0"/>
        <w:ind w:left="851" w:hanging="0"/>
        <w:contextualSpacing w:val="false"/>
        <w:jc w:val="both"/>
        <w:rPr>
          <w:rFonts w:ascii="Arial" w:hAnsi="Arial" w:cs="Arial"/>
          <w:sz w:val="22"/>
          <w:szCs w:val="22"/>
        </w:rPr>
      </w:pPr>
      <w:r>
        <w:rPr>
          <w:rFonts w:eastAsia="Arial" w:cs="Arial" w:ascii="Arial" w:hAnsi="Arial"/>
          <w:b/>
          <w:bCs/>
          <w:sz w:val="22"/>
          <w:szCs w:val="22"/>
        </w:rPr>
        <w:t>Impedimento de licitar e contratar</w:t>
      </w:r>
      <w:r>
        <w:rPr>
          <w:rFonts w:eastAsia="Arial" w:cs="Arial" w:ascii="Arial" w:hAnsi="Arial"/>
          <w:sz w:val="22"/>
          <w:szCs w:val="22"/>
        </w:rPr>
        <w:t>, quando praticadas as condutas descritas nas alíneas “b”, “c” e “d” do subitem acima deste Contrato, sempre que não se justificar a imposição de penalidade mais grave (</w:t>
      </w:r>
      <w:r>
        <w:fldChar w:fldCharType="begin"/>
      </w:r>
      <w:r>
        <w:rPr>
          <w:rStyle w:val="LinkdaInternet"/>
          <w:sz w:val="22"/>
          <w:szCs w:val="22"/>
          <w:rFonts w:eastAsia="Arial" w:cs="Arial" w:ascii="Arial" w:hAnsi="Arial"/>
        </w:rPr>
        <w:instrText xml:space="preserve"> HYPERLINK "http://www.planalto.gov.br/ccivil_03/_ato2019-2022/2021/lei/L14133.htm" \l "art156§4"</w:instrText>
      </w:r>
      <w:r>
        <w:rPr>
          <w:rStyle w:val="LinkdaInternet"/>
          <w:sz w:val="22"/>
          <w:szCs w:val="22"/>
          <w:rFonts w:eastAsia="Arial" w:cs="Arial" w:ascii="Arial" w:hAnsi="Arial"/>
        </w:rPr>
        <w:fldChar w:fldCharType="separate"/>
      </w:r>
      <w:r>
        <w:rPr>
          <w:rStyle w:val="LinkdaInternet"/>
          <w:rFonts w:eastAsia="Arial" w:cs="Arial" w:ascii="Arial" w:hAnsi="Arial"/>
          <w:sz w:val="22"/>
          <w:szCs w:val="22"/>
        </w:rPr>
        <w:t>art. 156, § 4º, da Lei nº 14.133, de 2021</w:t>
      </w:r>
      <w:r>
        <w:rPr>
          <w:rStyle w:val="LinkdaInternet"/>
          <w:sz w:val="22"/>
          <w:szCs w:val="22"/>
          <w:rFonts w:eastAsia="Arial" w:cs="Arial" w:ascii="Arial" w:hAnsi="Arial"/>
        </w:rPr>
        <w:fldChar w:fldCharType="end"/>
      </w:r>
      <w:r>
        <w:rPr>
          <w:rFonts w:eastAsia="Arial" w:cs="Arial" w:ascii="Arial" w:hAnsi="Arial"/>
          <w:sz w:val="22"/>
          <w:szCs w:val="22"/>
        </w:rPr>
        <w:t>);</w:t>
      </w:r>
    </w:p>
    <w:p>
      <w:pPr>
        <w:pStyle w:val="ListParagraph"/>
        <w:numPr>
          <w:ilvl w:val="0"/>
          <w:numId w:val="16"/>
        </w:numPr>
        <w:spacing w:lineRule="auto" w:line="360" w:before="0" w:after="0"/>
        <w:ind w:left="851" w:hanging="0"/>
        <w:contextualSpacing w:val="false"/>
        <w:jc w:val="both"/>
        <w:rPr>
          <w:rFonts w:ascii="Arial" w:hAnsi="Arial" w:cs="Arial"/>
          <w:sz w:val="22"/>
          <w:szCs w:val="22"/>
        </w:rPr>
      </w:pPr>
      <w:r>
        <w:rPr>
          <w:rFonts w:eastAsia="Arial" w:cs="Arial" w:ascii="Arial" w:hAnsi="Arial"/>
          <w:b/>
          <w:bCs/>
          <w:sz w:val="22"/>
          <w:szCs w:val="22"/>
        </w:rPr>
        <w:t>Declaração de inidoneidade para licitar e contratar</w:t>
      </w:r>
      <w:r>
        <w:rPr>
          <w:rFonts w:eastAsia="Arial" w:cs="Arial" w:ascii="Arial" w:hAnsi="Arial"/>
          <w:sz w:val="22"/>
          <w:szCs w:val="22"/>
        </w:rPr>
        <w:t>, quando praticadas as condutas descritas nas alíneas “e”, “f”, “g” e “h” do subitem acima deste Contrato, bem como nas alíneas “b”, “c” e “d”, que justifiquem a imposição de penalidade mais grave (</w:t>
      </w:r>
      <w:r>
        <w:fldChar w:fldCharType="begin"/>
      </w:r>
      <w:r>
        <w:rPr>
          <w:rStyle w:val="LinkdaInternet"/>
          <w:sz w:val="22"/>
          <w:szCs w:val="22"/>
          <w:rFonts w:eastAsia="Arial" w:cs="Arial" w:ascii="Arial" w:hAnsi="Arial"/>
        </w:rPr>
        <w:instrText xml:space="preserve"> HYPERLINK "http://www.planalto.gov.br/ccivil_03/_ato2019-2022/2021/lei/L14133.htm" \l "art156§5"</w:instrText>
      </w:r>
      <w:r>
        <w:rPr>
          <w:rStyle w:val="LinkdaInternet"/>
          <w:sz w:val="22"/>
          <w:szCs w:val="22"/>
          <w:rFonts w:eastAsia="Arial" w:cs="Arial" w:ascii="Arial" w:hAnsi="Arial"/>
        </w:rPr>
        <w:fldChar w:fldCharType="separate"/>
      </w:r>
      <w:r>
        <w:rPr>
          <w:rStyle w:val="LinkdaInternet"/>
          <w:rFonts w:eastAsia="Arial" w:cs="Arial" w:ascii="Arial" w:hAnsi="Arial"/>
          <w:sz w:val="22"/>
          <w:szCs w:val="22"/>
        </w:rPr>
        <w:t>art. 156, §5º, da Lei nº 14.133, de 2021</w:t>
      </w:r>
      <w:r>
        <w:rPr>
          <w:rStyle w:val="LinkdaInternet"/>
          <w:sz w:val="22"/>
          <w:szCs w:val="22"/>
          <w:rFonts w:eastAsia="Arial" w:cs="Arial" w:ascii="Arial" w:hAnsi="Arial"/>
        </w:rPr>
        <w:fldChar w:fldCharType="end"/>
      </w:r>
      <w:r>
        <w:rPr>
          <w:rFonts w:eastAsia="Arial" w:cs="Arial" w:ascii="Arial" w:hAnsi="Arial"/>
          <w:sz w:val="22"/>
          <w:szCs w:val="22"/>
        </w:rPr>
        <w:t>).</w:t>
      </w:r>
    </w:p>
    <w:p>
      <w:pPr>
        <w:pStyle w:val="ListParagraph"/>
        <w:numPr>
          <w:ilvl w:val="0"/>
          <w:numId w:val="16"/>
        </w:numPr>
        <w:shd w:val="clear" w:color="auto" w:fill="FFFFFF" w:themeFill="background1"/>
        <w:spacing w:lineRule="auto" w:line="360" w:before="0" w:after="0"/>
        <w:ind w:left="851" w:hanging="0"/>
        <w:contextualSpacing w:val="false"/>
        <w:jc w:val="both"/>
        <w:rPr>
          <w:rFonts w:ascii="Arial" w:hAnsi="Arial" w:cs="Arial"/>
          <w:sz w:val="22"/>
          <w:szCs w:val="22"/>
        </w:rPr>
      </w:pPr>
      <w:r>
        <w:rPr>
          <w:rFonts w:eastAsia="Arial" w:cs="Arial" w:ascii="Arial" w:hAnsi="Arial"/>
          <w:b/>
          <w:bCs/>
          <w:sz w:val="22"/>
          <w:szCs w:val="22"/>
        </w:rPr>
        <w:t>Multa:</w:t>
      </w:r>
    </w:p>
    <w:p>
      <w:pPr>
        <w:pStyle w:val="ListParagraph"/>
        <w:numPr>
          <w:ilvl w:val="0"/>
          <w:numId w:val="24"/>
        </w:numPr>
        <w:shd w:val="clear" w:color="auto" w:fill="FFFFFF" w:themeFill="background1"/>
        <w:spacing w:lineRule="auto" w:line="360"/>
        <w:jc w:val="both"/>
        <w:rPr>
          <w:rFonts w:ascii="Arial" w:hAnsi="Arial" w:cs="Arial"/>
          <w:sz w:val="22"/>
          <w:szCs w:val="22"/>
        </w:rPr>
      </w:pPr>
      <w:r>
        <w:rPr>
          <w:rFonts w:eastAsia="Arial" w:cs="Arial" w:ascii="Arial" w:hAnsi="Arial"/>
          <w:sz w:val="22"/>
          <w:szCs w:val="22"/>
        </w:rPr>
        <w:t>moratória de 1% (um por cento) sobre o valor do contrato, por dia de atraso injustificado, na instalação do espaço físico (oficina), referente ao item 9.1, até o limite de máximo de 15 (quinze) dias. O atraso na instalação física (oficina) acima de 15 (quinze) dias enseja a rescisão do contrato.</w:t>
      </w:r>
    </w:p>
    <w:p>
      <w:pPr>
        <w:pStyle w:val="ListParagraph"/>
        <w:numPr>
          <w:ilvl w:val="0"/>
          <w:numId w:val="24"/>
        </w:numPr>
        <w:shd w:val="clear" w:color="auto" w:fill="FFFFFF" w:themeFill="background1"/>
        <w:spacing w:lineRule="auto" w:line="360"/>
        <w:jc w:val="both"/>
        <w:rPr>
          <w:rFonts w:ascii="Arial" w:hAnsi="Arial" w:cs="Arial"/>
          <w:sz w:val="22"/>
          <w:szCs w:val="22"/>
        </w:rPr>
      </w:pPr>
      <w:r>
        <w:rPr>
          <w:rFonts w:eastAsia="Arial" w:cs="Arial" w:ascii="Arial" w:hAnsi="Arial"/>
          <w:sz w:val="22"/>
          <w:szCs w:val="22"/>
        </w:rPr>
        <w:t>moratória de 3% (três por cento) sobre o valor estimado da manutenção, por dia de atraso injustificado em relação ao prazo de execução dos serviços, até o limite de 15 (quinze) dias;</w:t>
      </w:r>
    </w:p>
    <w:p>
      <w:pPr>
        <w:pStyle w:val="ListParagraph"/>
        <w:numPr>
          <w:ilvl w:val="0"/>
          <w:numId w:val="24"/>
        </w:numPr>
        <w:shd w:val="clear" w:color="auto" w:fill="FFFFFF" w:themeFill="background1"/>
        <w:spacing w:lineRule="auto" w:line="360"/>
        <w:jc w:val="both"/>
        <w:rPr>
          <w:rFonts w:ascii="Arial" w:hAnsi="Arial" w:cs="Arial"/>
          <w:sz w:val="22"/>
          <w:szCs w:val="22"/>
        </w:rPr>
      </w:pPr>
      <w:r>
        <w:rPr>
          <w:rFonts w:eastAsia="Arial" w:cs="Arial" w:ascii="Arial" w:hAnsi="Arial"/>
          <w:sz w:val="22"/>
          <w:szCs w:val="22"/>
        </w:rPr>
        <w:t>moratória de 0,1% sobre o valor do contrato, por dia de atraso injustificado, no fornecimento do orçamento, referente ao item 5.2</w:t>
      </w:r>
    </w:p>
    <w:p>
      <w:pPr>
        <w:pStyle w:val="ListParagraph"/>
        <w:numPr>
          <w:ilvl w:val="0"/>
          <w:numId w:val="24"/>
        </w:numPr>
        <w:shd w:val="clear" w:color="auto" w:fill="FFFFFF" w:themeFill="background1"/>
        <w:spacing w:lineRule="auto" w:line="360"/>
        <w:jc w:val="both"/>
        <w:rPr>
          <w:rFonts w:ascii="Arial" w:hAnsi="Arial" w:cs="Arial"/>
          <w:sz w:val="22"/>
          <w:szCs w:val="22"/>
        </w:rPr>
      </w:pPr>
      <w:r>
        <w:rPr>
          <w:rFonts w:eastAsia="Arial" w:cs="Arial" w:ascii="Arial" w:hAnsi="Arial"/>
          <w:sz w:val="22"/>
          <w:szCs w:val="22"/>
        </w:rPr>
        <w:t>moratória de 1% (um por cento) sobre o valor da hora do serviço de guincho, por hora de atraso injustificado, na execução do serviço de guincho, conforme item 6.5.</w:t>
      </w:r>
    </w:p>
    <w:p>
      <w:pPr>
        <w:pStyle w:val="ListParagraph"/>
        <w:numPr>
          <w:ilvl w:val="0"/>
          <w:numId w:val="24"/>
        </w:numPr>
        <w:shd w:val="clear" w:color="auto" w:fill="FFFFFF" w:themeFill="background1"/>
        <w:spacing w:lineRule="auto" w:line="360"/>
        <w:jc w:val="both"/>
        <w:rPr>
          <w:rFonts w:ascii="Arial" w:hAnsi="Arial" w:cs="Arial"/>
          <w:sz w:val="22"/>
          <w:szCs w:val="22"/>
        </w:rPr>
      </w:pPr>
      <w:r>
        <w:rPr>
          <w:rFonts w:eastAsia="Arial" w:cs="Arial" w:ascii="Arial" w:hAnsi="Arial"/>
          <w:sz w:val="22"/>
          <w:szCs w:val="22"/>
        </w:rPr>
        <w:t xml:space="preserve">O atraso superior a 15 (quinze) dias de quaisquer serviços, autoriza a Administração a promover a extinção do contrato por descumprimento ou cumprimento irregular de suas cláusulas, conforme dispõe o inciso I do art. 137 da Lei n. 14.133, de 2021. </w:t>
      </w:r>
    </w:p>
    <w:p>
      <w:pPr>
        <w:pStyle w:val="ListParagraph"/>
        <w:numPr>
          <w:ilvl w:val="0"/>
          <w:numId w:val="24"/>
        </w:numPr>
        <w:shd w:val="clear" w:color="auto" w:fill="FFFFFF" w:themeFill="background1"/>
        <w:spacing w:lineRule="auto" w:line="360"/>
        <w:jc w:val="both"/>
        <w:rPr>
          <w:rFonts w:ascii="Arial" w:hAnsi="Arial" w:cs="Arial"/>
          <w:sz w:val="22"/>
          <w:szCs w:val="22"/>
        </w:rPr>
      </w:pPr>
      <w:r>
        <w:rPr>
          <w:rFonts w:eastAsia="Arial" w:cs="Arial" w:ascii="Arial" w:hAnsi="Arial"/>
          <w:sz w:val="22"/>
          <w:szCs w:val="22"/>
        </w:rPr>
        <w:t>compensatória de 10% (dez por cento) sobre o valor total do contrato, no caso de inexecução total do objeto.</w:t>
      </w:r>
    </w:p>
    <w:p>
      <w:pPr>
        <w:pStyle w:val="ListParagraph"/>
        <w:numPr>
          <w:ilvl w:val="0"/>
          <w:numId w:val="24"/>
        </w:numPr>
        <w:shd w:val="clear" w:color="auto" w:fill="FFFFFF" w:themeFill="background1"/>
        <w:spacing w:lineRule="auto" w:line="360"/>
        <w:jc w:val="both"/>
        <w:rPr>
          <w:rFonts w:ascii="Arial" w:hAnsi="Arial" w:eastAsia="Arial" w:cs="Arial"/>
          <w:sz w:val="22"/>
          <w:szCs w:val="22"/>
        </w:rPr>
      </w:pPr>
      <w:r>
        <w:rPr>
          <w:rFonts w:cs="Arial" w:ascii="Arial" w:hAnsi="Arial"/>
          <w:sz w:val="22"/>
          <w:szCs w:val="22"/>
        </w:rPr>
        <w:t xml:space="preserve"> </w:t>
      </w:r>
      <w:r>
        <w:rPr>
          <w:rFonts w:eastAsia="Arial" w:cs="Arial" w:ascii="Arial" w:hAnsi="Arial"/>
          <w:sz w:val="22"/>
          <w:szCs w:val="22"/>
        </w:rPr>
        <w:t>A aplicação das sanções previstas neste Contrato não exclui, em hipótese alguma, a obrigação de reparação integral do dano causado ao Contratante (</w:t>
      </w:r>
      <w:r>
        <w:fldChar w:fldCharType="begin"/>
      </w:r>
      <w:r>
        <w:rPr>
          <w:sz w:val="22"/>
          <w:szCs w:val="22"/>
          <w:rFonts w:eastAsia="Arial" w:cs="Arial" w:ascii="Arial" w:hAnsi="Arial"/>
        </w:rPr>
        <w:instrText xml:space="preserve"> HYPERLINK "http://www.planalto.gov.br/ccivil_03/_ato2019-2022/2021/lei/L14133.htm" \l "art156§9"</w:instrText>
      </w:r>
      <w:r>
        <w:rPr>
          <w:sz w:val="22"/>
          <w:szCs w:val="22"/>
          <w:rFonts w:eastAsia="Arial" w:cs="Arial" w:ascii="Arial" w:hAnsi="Arial"/>
        </w:rPr>
        <w:fldChar w:fldCharType="separate"/>
      </w:r>
      <w:r>
        <w:rPr>
          <w:rFonts w:eastAsia="Arial" w:cs="Arial" w:ascii="Arial" w:hAnsi="Arial"/>
          <w:sz w:val="22"/>
          <w:szCs w:val="22"/>
        </w:rPr>
        <w:t>art. 156, §9º, da Lei nº 14.133, de 2021</w:t>
      </w:r>
      <w:r>
        <w:rPr>
          <w:sz w:val="22"/>
          <w:szCs w:val="22"/>
          <w:rFonts w:eastAsia="Arial" w:cs="Arial" w:ascii="Arial" w:hAnsi="Arial"/>
        </w:rPr>
        <w:fldChar w:fldCharType="end"/>
      </w:r>
      <w:r>
        <w:rPr>
          <w:rFonts w:eastAsia="Arial" w:cs="Arial" w:ascii="Arial" w:hAnsi="Arial"/>
          <w:sz w:val="22"/>
          <w:szCs w:val="22"/>
        </w:rPr>
        <w:t>)</w:t>
      </w:r>
    </w:p>
    <w:p>
      <w:pPr>
        <w:pStyle w:val="ListParagraph"/>
        <w:numPr>
          <w:ilvl w:val="0"/>
          <w:numId w:val="24"/>
        </w:numPr>
        <w:shd w:val="clear" w:color="auto" w:fill="FFFFFF" w:themeFill="background1"/>
        <w:spacing w:lineRule="auto" w:line="360"/>
        <w:jc w:val="both"/>
        <w:rPr>
          <w:rFonts w:ascii="Arial" w:hAnsi="Arial" w:eastAsia="Arial" w:cs="Arial"/>
          <w:sz w:val="22"/>
          <w:szCs w:val="22"/>
        </w:rPr>
      </w:pPr>
      <w:r>
        <w:rPr>
          <w:rFonts w:eastAsia="Arial" w:cs="Arial" w:ascii="Arial" w:hAnsi="Arial"/>
          <w:sz w:val="22"/>
          <w:szCs w:val="22"/>
        </w:rPr>
        <w:t>Todas as sanções previstas neste Contrato poderão ser aplicadas cumulativamente com a multa (</w:t>
      </w:r>
      <w:r>
        <w:fldChar w:fldCharType="begin"/>
      </w:r>
      <w:r>
        <w:rPr>
          <w:sz w:val="22"/>
          <w:szCs w:val="22"/>
          <w:rFonts w:eastAsia="Arial" w:cs="Arial" w:ascii="Arial" w:hAnsi="Arial"/>
        </w:rPr>
        <w:instrText xml:space="preserve"> HYPERLINK "http://www.planalto.gov.br/ccivil_03/_ato2019-2022/2021/lei/L14133.htm" \l "art156§7"</w:instrText>
      </w:r>
      <w:r>
        <w:rPr>
          <w:sz w:val="22"/>
          <w:szCs w:val="22"/>
          <w:rFonts w:eastAsia="Arial" w:cs="Arial" w:ascii="Arial" w:hAnsi="Arial"/>
        </w:rPr>
        <w:fldChar w:fldCharType="separate"/>
      </w:r>
      <w:r>
        <w:rPr>
          <w:rFonts w:eastAsia="Arial" w:cs="Arial" w:ascii="Arial" w:hAnsi="Arial"/>
          <w:sz w:val="22"/>
          <w:szCs w:val="22"/>
        </w:rPr>
        <w:t>art. 156, §7º, da Lei nº 14.133, de 2021</w:t>
      </w:r>
      <w:r>
        <w:rPr>
          <w:sz w:val="22"/>
          <w:szCs w:val="22"/>
          <w:rFonts w:eastAsia="Arial" w:cs="Arial" w:ascii="Arial" w:hAnsi="Arial"/>
        </w:rPr>
        <w:fldChar w:fldCharType="end"/>
      </w:r>
      <w:r>
        <w:rPr>
          <w:rFonts w:eastAsia="Arial" w:cs="Arial" w:ascii="Arial" w:hAnsi="Arial"/>
          <w:sz w:val="22"/>
          <w:szCs w:val="22"/>
        </w:rPr>
        <w:t>).</w:t>
      </w:r>
    </w:p>
    <w:p>
      <w:pPr>
        <w:pStyle w:val="ListParagraph"/>
        <w:numPr>
          <w:ilvl w:val="0"/>
          <w:numId w:val="24"/>
        </w:numPr>
        <w:shd w:val="clear" w:color="auto" w:fill="FFFFFF" w:themeFill="background1"/>
        <w:spacing w:lineRule="auto" w:line="360"/>
        <w:jc w:val="both"/>
        <w:rPr>
          <w:rFonts w:ascii="Arial" w:hAnsi="Arial" w:eastAsia="Arial" w:cs="Arial"/>
          <w:sz w:val="22"/>
          <w:szCs w:val="22"/>
        </w:rPr>
      </w:pPr>
      <w:r>
        <w:rPr>
          <w:rFonts w:eastAsia="Arial" w:cs="Arial" w:ascii="Arial" w:hAnsi="Arial"/>
          <w:sz w:val="22"/>
          <w:szCs w:val="22"/>
        </w:rPr>
        <w:t>Antes da aplicação da multa será facultada a defesa do interessado no prazo de 15 (quinze) dias úteis, contado da data de sua intimação (</w:t>
      </w:r>
      <w:r>
        <w:fldChar w:fldCharType="begin"/>
      </w:r>
      <w:r>
        <w:rPr>
          <w:sz w:val="22"/>
          <w:szCs w:val="22"/>
          <w:rFonts w:eastAsia="Arial" w:cs="Arial" w:ascii="Arial" w:hAnsi="Arial"/>
        </w:rPr>
        <w:instrText xml:space="preserve"> HYPERLINK "http://www.planalto.gov.br/ccivil_03/_ato2019-2022/2021/lei/L14133.htm" \l "art157"</w:instrText>
      </w:r>
      <w:r>
        <w:rPr>
          <w:sz w:val="22"/>
          <w:szCs w:val="22"/>
          <w:rFonts w:eastAsia="Arial" w:cs="Arial" w:ascii="Arial" w:hAnsi="Arial"/>
        </w:rPr>
        <w:fldChar w:fldCharType="separate"/>
      </w:r>
      <w:r>
        <w:rPr>
          <w:rFonts w:eastAsia="Arial" w:cs="Arial" w:ascii="Arial" w:hAnsi="Arial"/>
          <w:sz w:val="22"/>
          <w:szCs w:val="22"/>
        </w:rPr>
        <w:t>art. 157, da Lei nº 14.133, de 2021</w:t>
      </w:r>
      <w:r>
        <w:rPr>
          <w:sz w:val="22"/>
          <w:szCs w:val="22"/>
          <w:rFonts w:eastAsia="Arial" w:cs="Arial" w:ascii="Arial" w:hAnsi="Arial"/>
        </w:rPr>
        <w:fldChar w:fldCharType="end"/>
      </w:r>
      <w:r>
        <w:rPr>
          <w:rFonts w:eastAsia="Arial" w:cs="Arial" w:ascii="Arial" w:hAnsi="Arial"/>
          <w:sz w:val="22"/>
          <w:szCs w:val="22"/>
        </w:rPr>
        <w:t>)</w:t>
      </w:r>
    </w:p>
    <w:p>
      <w:pPr>
        <w:pStyle w:val="ListParagraph"/>
        <w:numPr>
          <w:ilvl w:val="0"/>
          <w:numId w:val="24"/>
        </w:numPr>
        <w:shd w:val="clear" w:color="auto" w:fill="FFFFFF" w:themeFill="background1"/>
        <w:spacing w:lineRule="auto" w:line="360"/>
        <w:jc w:val="both"/>
        <w:rPr>
          <w:rFonts w:ascii="Arial" w:hAnsi="Arial" w:eastAsia="Arial" w:cs="Arial"/>
          <w:sz w:val="22"/>
          <w:szCs w:val="22"/>
        </w:rPr>
      </w:pPr>
      <w:r>
        <w:rPr>
          <w:rFonts w:eastAsia="Arial" w:cs="Arial" w:ascii="Arial" w:hAnsi="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rPr>
          <w:sz w:val="22"/>
          <w:szCs w:val="22"/>
          <w:rFonts w:eastAsia="Arial" w:cs="Arial" w:ascii="Arial" w:hAnsi="Arial"/>
        </w:rPr>
        <w:instrText xml:space="preserve"> HYPERLINK "http://www.planalto.gov.br/ccivil_03/_ato2019-2022/2021/lei/L14133.htm" \l "art156§8"</w:instrText>
      </w:r>
      <w:r>
        <w:rPr>
          <w:sz w:val="22"/>
          <w:szCs w:val="22"/>
          <w:rFonts w:eastAsia="Arial" w:cs="Arial" w:ascii="Arial" w:hAnsi="Arial"/>
        </w:rPr>
        <w:fldChar w:fldCharType="separate"/>
      </w:r>
      <w:r>
        <w:rPr>
          <w:rFonts w:eastAsia="Arial" w:cs="Arial" w:ascii="Arial" w:hAnsi="Arial"/>
          <w:sz w:val="22"/>
          <w:szCs w:val="22"/>
        </w:rPr>
        <w:t>art. 156, §8º, da Lei nº 14.133, de 2021</w:t>
      </w:r>
      <w:r>
        <w:rPr>
          <w:sz w:val="22"/>
          <w:szCs w:val="22"/>
          <w:rFonts w:eastAsia="Arial" w:cs="Arial" w:ascii="Arial" w:hAnsi="Arial"/>
        </w:rPr>
        <w:fldChar w:fldCharType="end"/>
      </w:r>
      <w:r>
        <w:rPr>
          <w:rFonts w:eastAsia="Arial" w:cs="Arial" w:ascii="Arial" w:hAnsi="Arial"/>
          <w:sz w:val="22"/>
          <w:szCs w:val="22"/>
        </w:rPr>
        <w:t>).</w:t>
      </w:r>
    </w:p>
    <w:p>
      <w:pPr>
        <w:pStyle w:val="ListParagraph"/>
        <w:numPr>
          <w:ilvl w:val="0"/>
          <w:numId w:val="24"/>
        </w:numPr>
        <w:shd w:val="clear" w:color="auto" w:fill="FFFFFF" w:themeFill="background1"/>
        <w:spacing w:lineRule="auto" w:line="360"/>
        <w:jc w:val="both"/>
        <w:rPr>
          <w:rFonts w:ascii="Arial" w:hAnsi="Arial" w:eastAsia="Arial" w:cs="Arial"/>
          <w:sz w:val="22"/>
          <w:szCs w:val="22"/>
        </w:rPr>
      </w:pPr>
      <w:r>
        <w:rPr>
          <w:rFonts w:eastAsia="Arial" w:cs="Arial" w:ascii="Arial" w:hAnsi="Arial"/>
          <w:sz w:val="22"/>
          <w:szCs w:val="22"/>
        </w:rPr>
        <w:t>Previamente ao encaminhamento à cobrança judicial, a multa poderá ser recolhida administrativamente no prazo máximo de 30 (trinta) dias, a contar da data do recebimento da comunicação enviada pela autoridade competente.</w:t>
      </w:r>
      <w:bookmarkStart w:id="48" w:name="_Hlk78351618"/>
      <w:bookmarkEnd w:id="48"/>
    </w:p>
    <w:p>
      <w:pPr>
        <w:pStyle w:val="ListParagraph"/>
        <w:numPr>
          <w:ilvl w:val="0"/>
          <w:numId w:val="24"/>
        </w:numPr>
        <w:shd w:val="clear" w:color="auto" w:fill="FFFFFF" w:themeFill="background1"/>
        <w:spacing w:lineRule="auto" w:line="360"/>
        <w:jc w:val="both"/>
        <w:rPr>
          <w:rFonts w:ascii="Arial" w:hAnsi="Arial" w:cs="Arial"/>
          <w:sz w:val="22"/>
          <w:szCs w:val="22"/>
        </w:rPr>
      </w:pPr>
      <w:r>
        <w:rPr>
          <w:rFonts w:eastAsia="Arial" w:cs="Arial" w:ascii="Arial" w:hAnsi="Arial"/>
          <w:sz w:val="22"/>
          <w:szCs w:val="22"/>
        </w:rPr>
        <w:t xml:space="preserve">A aplicação das sanções realizar-se-á em processo administrativo que assegure o contraditório e a ampla defesa ao Contratado, observando-se o procedimento previsto no caput e parágrafos do </w:t>
      </w:r>
      <w:r>
        <w:fldChar w:fldCharType="begin"/>
      </w:r>
      <w:r>
        <w:rPr>
          <w:sz w:val="22"/>
          <w:szCs w:val="22"/>
          <w:rFonts w:eastAsia="Arial" w:cs="Arial" w:ascii="Arial" w:hAnsi="Arial"/>
        </w:rPr>
        <w:instrText xml:space="preserve"> HYPERLINK "http://www.planalto.gov.br/ccivil_03/_ato2019-2022/2021/lei/L14133.htm" \l "art158"</w:instrText>
      </w:r>
      <w:r>
        <w:rPr>
          <w:sz w:val="22"/>
          <w:szCs w:val="22"/>
          <w:rFonts w:eastAsia="Arial" w:cs="Arial" w:ascii="Arial" w:hAnsi="Arial"/>
        </w:rPr>
        <w:fldChar w:fldCharType="separate"/>
      </w:r>
      <w:r>
        <w:rPr>
          <w:rFonts w:eastAsia="Arial" w:cs="Arial" w:ascii="Arial" w:hAnsi="Arial"/>
          <w:sz w:val="22"/>
          <w:szCs w:val="22"/>
        </w:rPr>
        <w:t>art. 158 da Lei nº 14.133, de 2021</w:t>
      </w:r>
      <w:r>
        <w:rPr>
          <w:sz w:val="22"/>
          <w:szCs w:val="22"/>
          <w:rFonts w:eastAsia="Arial" w:cs="Arial" w:ascii="Arial" w:hAnsi="Arial"/>
        </w:rPr>
        <w:fldChar w:fldCharType="end"/>
      </w:r>
      <w:r>
        <w:rPr>
          <w:rFonts w:eastAsia="Arial" w:cs="Arial" w:ascii="Arial" w:hAnsi="Arial"/>
          <w:sz w:val="22"/>
          <w:szCs w:val="22"/>
        </w:rPr>
        <w:t>, para as penalidades de impedimento de licitar e contratar e de declaração de inidoneidade</w:t>
      </w:r>
      <w:r>
        <w:rPr>
          <w:rFonts w:cs="Arial" w:ascii="Arial" w:hAnsi="Arial"/>
          <w:sz w:val="22"/>
          <w:szCs w:val="22"/>
        </w:rPr>
        <w:t xml:space="preserve"> para licitar ou contratar.</w:t>
      </w:r>
    </w:p>
    <w:p>
      <w:pPr>
        <w:pStyle w:val="Nivel2"/>
        <w:numPr>
          <w:ilvl w:val="0"/>
          <w:numId w:val="0"/>
        </w:numPr>
        <w:spacing w:lineRule="auto" w:line="360" w:before="0" w:after="0"/>
        <w:ind w:left="0" w:hanging="8"/>
        <w:rPr>
          <w:sz w:val="22"/>
          <w:szCs w:val="22"/>
        </w:rPr>
      </w:pPr>
      <w:r>
        <w:rPr>
          <w:sz w:val="22"/>
          <w:szCs w:val="22"/>
        </w:rPr>
        <w:t>23.3 Na aplicação das sanções serão considerados (</w:t>
      </w:r>
      <w:r>
        <w:fldChar w:fldCharType="begin"/>
      </w:r>
      <w:r>
        <w:rPr>
          <w:rStyle w:val="LinkdaInternet"/>
          <w:sz w:val="22"/>
          <w:szCs w:val="22"/>
        </w:rPr>
        <w:instrText xml:space="preserve"> HYPERLINK "http://www.planalto.gov.br/ccivil_03/_ato2019-2022/2021/lei/L14133.htm" \l "art156§1"</w:instrText>
      </w:r>
      <w:r>
        <w:rPr>
          <w:rStyle w:val="LinkdaInternet"/>
          <w:sz w:val="22"/>
          <w:szCs w:val="22"/>
        </w:rPr>
        <w:fldChar w:fldCharType="separate"/>
      </w:r>
      <w:r>
        <w:rPr>
          <w:rStyle w:val="LinkdaInternet"/>
          <w:sz w:val="22"/>
          <w:szCs w:val="22"/>
        </w:rPr>
        <w:t>art. 156, §1º, da Lei nº 14.133, de 2021</w:t>
      </w:r>
      <w:r>
        <w:rPr>
          <w:rStyle w:val="LinkdaInternet"/>
          <w:sz w:val="22"/>
          <w:szCs w:val="22"/>
        </w:rPr>
        <w:fldChar w:fldCharType="end"/>
      </w:r>
      <w:r>
        <w:rPr>
          <w:sz w:val="22"/>
          <w:szCs w:val="22"/>
        </w:rPr>
        <w:t>):</w:t>
      </w:r>
    </w:p>
    <w:p>
      <w:pPr>
        <w:pStyle w:val="Normal"/>
        <w:numPr>
          <w:ilvl w:val="0"/>
          <w:numId w:val="18"/>
        </w:numPr>
        <w:spacing w:lineRule="auto" w:line="360"/>
        <w:ind w:left="0" w:hanging="0"/>
        <w:jc w:val="both"/>
        <w:rPr>
          <w:rFonts w:ascii="Arial" w:hAnsi="Arial" w:cs="Arial"/>
          <w:sz w:val="22"/>
          <w:szCs w:val="22"/>
        </w:rPr>
      </w:pPr>
      <w:r>
        <w:rPr>
          <w:rFonts w:eastAsia="Arial" w:cs="Arial" w:ascii="Arial" w:hAnsi="Arial"/>
          <w:sz w:val="22"/>
          <w:szCs w:val="22"/>
        </w:rPr>
        <w:t>a natureza e a gravidade da infração cometida;</w:t>
      </w:r>
    </w:p>
    <w:p>
      <w:pPr>
        <w:pStyle w:val="Normal"/>
        <w:numPr>
          <w:ilvl w:val="0"/>
          <w:numId w:val="18"/>
        </w:numPr>
        <w:spacing w:lineRule="auto" w:line="360"/>
        <w:ind w:left="0" w:hanging="0"/>
        <w:jc w:val="both"/>
        <w:rPr>
          <w:rFonts w:ascii="Arial" w:hAnsi="Arial" w:cs="Arial"/>
          <w:sz w:val="22"/>
          <w:szCs w:val="22"/>
        </w:rPr>
      </w:pPr>
      <w:r>
        <w:rPr>
          <w:rFonts w:eastAsia="Arial" w:cs="Arial" w:ascii="Arial" w:hAnsi="Arial"/>
          <w:sz w:val="22"/>
          <w:szCs w:val="22"/>
        </w:rPr>
        <w:t>as peculiaridades do caso concreto;</w:t>
      </w:r>
    </w:p>
    <w:p>
      <w:pPr>
        <w:pStyle w:val="Normal"/>
        <w:numPr>
          <w:ilvl w:val="0"/>
          <w:numId w:val="18"/>
        </w:numPr>
        <w:spacing w:lineRule="auto" w:line="360"/>
        <w:ind w:left="0" w:hanging="0"/>
        <w:jc w:val="both"/>
        <w:rPr>
          <w:rFonts w:ascii="Arial" w:hAnsi="Arial" w:cs="Arial"/>
          <w:sz w:val="22"/>
          <w:szCs w:val="22"/>
        </w:rPr>
      </w:pPr>
      <w:r>
        <w:rPr>
          <w:rFonts w:eastAsia="Arial" w:cs="Arial" w:ascii="Arial" w:hAnsi="Arial"/>
          <w:sz w:val="22"/>
          <w:szCs w:val="22"/>
        </w:rPr>
        <w:t>as circunstâncias agravantes ou atenuantes;</w:t>
      </w:r>
    </w:p>
    <w:p>
      <w:pPr>
        <w:pStyle w:val="Normal"/>
        <w:numPr>
          <w:ilvl w:val="0"/>
          <w:numId w:val="18"/>
        </w:numPr>
        <w:spacing w:lineRule="auto" w:line="360"/>
        <w:ind w:left="0" w:hanging="0"/>
        <w:jc w:val="both"/>
        <w:rPr>
          <w:rFonts w:ascii="Arial" w:hAnsi="Arial" w:cs="Arial"/>
          <w:sz w:val="22"/>
          <w:szCs w:val="22"/>
        </w:rPr>
      </w:pPr>
      <w:r>
        <w:rPr>
          <w:rFonts w:eastAsia="Arial" w:cs="Arial" w:ascii="Arial" w:hAnsi="Arial"/>
          <w:sz w:val="22"/>
          <w:szCs w:val="22"/>
        </w:rPr>
        <w:t>os danos que dela provierem para o Contratante;</w:t>
      </w:r>
    </w:p>
    <w:p>
      <w:pPr>
        <w:pStyle w:val="Normal"/>
        <w:numPr>
          <w:ilvl w:val="0"/>
          <w:numId w:val="18"/>
        </w:numPr>
        <w:spacing w:lineRule="auto" w:line="360"/>
        <w:ind w:left="0" w:hanging="0"/>
        <w:jc w:val="both"/>
        <w:rPr>
          <w:rFonts w:ascii="Arial" w:hAnsi="Arial" w:cs="Arial"/>
          <w:sz w:val="22"/>
          <w:szCs w:val="22"/>
        </w:rPr>
      </w:pPr>
      <w:r>
        <w:rPr>
          <w:rFonts w:eastAsia="Arial" w:cs="Arial" w:ascii="Arial" w:hAnsi="Arial"/>
          <w:sz w:val="22"/>
          <w:szCs w:val="22"/>
        </w:rPr>
        <w:t>a implantação ou o aperfeiçoamento de programa de integridade, conforme normas e orientações dos órgãos de controle.</w:t>
      </w:r>
    </w:p>
    <w:p>
      <w:pPr>
        <w:pStyle w:val="Nivel2"/>
        <w:numPr>
          <w:ilvl w:val="0"/>
          <w:numId w:val="0"/>
        </w:numPr>
        <w:suppressAutoHyphens w:val="true"/>
        <w:spacing w:lineRule="auto" w:line="360" w:before="0" w:after="0"/>
        <w:ind w:left="0" w:hanging="0"/>
        <w:rPr>
          <w:sz w:val="22"/>
          <w:szCs w:val="22"/>
        </w:rPr>
      </w:pPr>
      <w:r>
        <w:rPr>
          <w:sz w:val="22"/>
          <w:szCs w:val="22"/>
        </w:rPr>
        <w:t xml:space="preserve">23.4 - Os atos previstos como infrações administrativas na </w:t>
      </w:r>
      <w:hyperlink r:id="rId18">
        <w:r>
          <w:rPr>
            <w:rStyle w:val="LinkdaInternet"/>
            <w:sz w:val="22"/>
            <w:szCs w:val="22"/>
          </w:rPr>
          <w:t>Lei nº 14.133, de 2021</w:t>
        </w:r>
      </w:hyperlink>
      <w:r>
        <w:rPr>
          <w:sz w:val="22"/>
          <w:szCs w:val="22"/>
        </w:rPr>
        <w:t xml:space="preserve">, ou em outras leis de licitações e contratos da Administração Pública que também sejam tipificados como atos lesivos na </w:t>
      </w:r>
      <w:hyperlink r:id="rId19">
        <w:r>
          <w:rPr>
            <w:rStyle w:val="LinkdaInternet"/>
            <w:sz w:val="22"/>
            <w:szCs w:val="22"/>
          </w:rPr>
          <w:t>Lei nº 12.846, de 2013</w:t>
        </w:r>
      </w:hyperlink>
      <w:r>
        <w:rPr>
          <w:sz w:val="22"/>
          <w:szCs w:val="22"/>
        </w:rPr>
        <w:t>, serão apurados e julgados conjuntamente, nos mesmos autos, observados o rito procedimental e autoridade competente definidos na referida Lei (</w:t>
      </w:r>
      <w:hyperlink r:id="rId20">
        <w:r>
          <w:rPr>
            <w:rStyle w:val="LinkdaInternet"/>
            <w:sz w:val="22"/>
            <w:szCs w:val="22"/>
          </w:rPr>
          <w:t>art. 159</w:t>
        </w:r>
      </w:hyperlink>
      <w:r>
        <w:rPr>
          <w:sz w:val="22"/>
          <w:szCs w:val="22"/>
        </w:rPr>
        <w:t>).</w:t>
      </w:r>
    </w:p>
    <w:p>
      <w:pPr>
        <w:pStyle w:val="Nivel2"/>
        <w:numPr>
          <w:ilvl w:val="0"/>
          <w:numId w:val="0"/>
        </w:numPr>
        <w:suppressAutoHyphens w:val="true"/>
        <w:spacing w:lineRule="auto" w:line="360" w:before="0" w:after="0"/>
        <w:ind w:left="0" w:hanging="0"/>
        <w:rPr>
          <w:sz w:val="22"/>
          <w:szCs w:val="22"/>
        </w:rPr>
      </w:pPr>
      <w:r>
        <w:rPr>
          <w:sz w:val="22"/>
          <w:szCs w:val="22"/>
        </w:rPr>
        <w:t>23.5 - A personalidade jurídica do Contratado poderá ser desconsiderada sempre que utilizada com abuso do direito para facilitar, encobrir ou dissimular a prática dos atos ilícitos previstos neste 23.6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rPr>
          <w:rStyle w:val="LinkdaInternet"/>
          <w:sz w:val="22"/>
          <w:szCs w:val="22"/>
        </w:rPr>
        <w:instrText xml:space="preserve"> HYPERLINK "http://www.planalto.gov.br/ccivil_03/_ato2019-2022/2021/lei/L14133.htm" \l "art160"</w:instrText>
      </w:r>
      <w:r>
        <w:rPr>
          <w:rStyle w:val="LinkdaInternet"/>
          <w:sz w:val="22"/>
          <w:szCs w:val="22"/>
        </w:rPr>
        <w:fldChar w:fldCharType="separate"/>
      </w:r>
      <w:r>
        <w:rPr>
          <w:rStyle w:val="LinkdaInternet"/>
          <w:sz w:val="22"/>
          <w:szCs w:val="22"/>
        </w:rPr>
        <w:t>art. 160, da Lei nº 14.133, de 2021</w:t>
      </w:r>
      <w:r>
        <w:rPr>
          <w:rStyle w:val="LinkdaInternet"/>
          <w:sz w:val="22"/>
          <w:szCs w:val="22"/>
        </w:rPr>
        <w:fldChar w:fldCharType="end"/>
      </w:r>
      <w:r>
        <w:rPr>
          <w:sz w:val="22"/>
          <w:szCs w:val="22"/>
        </w:rPr>
        <w:t>).</w:t>
      </w:r>
    </w:p>
    <w:p>
      <w:pPr>
        <w:pStyle w:val="Nivel2"/>
        <w:numPr>
          <w:ilvl w:val="0"/>
          <w:numId w:val="0"/>
        </w:numPr>
        <w:suppressAutoHyphens w:val="true"/>
        <w:spacing w:lineRule="auto" w:line="360" w:before="0" w:after="0"/>
        <w:ind w:left="0" w:hanging="0"/>
        <w:rPr>
          <w:sz w:val="22"/>
          <w:szCs w:val="22"/>
        </w:rPr>
      </w:pPr>
      <w:r>
        <w:rPr>
          <w:sz w:val="22"/>
          <w:szCs w:val="22"/>
        </w:rPr>
        <w:t>23.6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rPr>
          <w:rStyle w:val="LinkdaInternet"/>
          <w:sz w:val="22"/>
          <w:szCs w:val="22"/>
        </w:rPr>
        <w:instrText xml:space="preserve"> HYPERLINK "http://www.planalto.gov.br/ccivil_03/_ato2019-2022/2021/lei/L14133.htm" \l "art161"</w:instrText>
      </w:r>
      <w:r>
        <w:rPr>
          <w:rStyle w:val="LinkdaInternet"/>
          <w:sz w:val="22"/>
          <w:szCs w:val="22"/>
        </w:rPr>
        <w:fldChar w:fldCharType="separate"/>
      </w:r>
      <w:r>
        <w:rPr>
          <w:rStyle w:val="LinkdaInternet"/>
          <w:sz w:val="22"/>
          <w:szCs w:val="22"/>
        </w:rPr>
        <w:t>Art. 161, da Lei nº 14.133, de 2021</w:t>
      </w:r>
      <w:r>
        <w:rPr>
          <w:rStyle w:val="LinkdaInternet"/>
          <w:sz w:val="22"/>
          <w:szCs w:val="22"/>
        </w:rPr>
        <w:fldChar w:fldCharType="end"/>
      </w:r>
      <w:r>
        <w:rPr>
          <w:sz w:val="22"/>
          <w:szCs w:val="22"/>
        </w:rPr>
        <w:t>).</w:t>
      </w:r>
    </w:p>
    <w:p>
      <w:pPr>
        <w:pStyle w:val="Nivel2"/>
        <w:numPr>
          <w:ilvl w:val="0"/>
          <w:numId w:val="0"/>
        </w:numPr>
        <w:suppressAutoHyphens w:val="true"/>
        <w:spacing w:lineRule="auto" w:line="360" w:before="0" w:after="0"/>
        <w:ind w:left="0" w:hanging="0"/>
        <w:rPr>
          <w:sz w:val="22"/>
          <w:szCs w:val="22"/>
        </w:rPr>
      </w:pPr>
      <w:r>
        <w:rPr>
          <w:sz w:val="22"/>
          <w:szCs w:val="22"/>
        </w:rPr>
        <w:t xml:space="preserve">23.7 As sanções de impedimento de licitar e contratar e declaração de inidoneidade para licitar ou contratar são passíveis de reabilitação na forma do </w:t>
      </w:r>
      <w:r>
        <w:fldChar w:fldCharType="begin"/>
      </w:r>
      <w:r>
        <w:rPr>
          <w:rStyle w:val="LinkdaInternet"/>
          <w:sz w:val="22"/>
          <w:szCs w:val="22"/>
        </w:rPr>
        <w:instrText xml:space="preserve"> HYPERLINK "http://www.planalto.gov.br/ccivil_03/_ato2019-2022/2021/lei/L14133.htm" \l "163"</w:instrText>
      </w:r>
      <w:r>
        <w:rPr>
          <w:rStyle w:val="LinkdaInternet"/>
          <w:sz w:val="22"/>
          <w:szCs w:val="22"/>
        </w:rPr>
        <w:fldChar w:fldCharType="separate"/>
      </w:r>
      <w:r>
        <w:rPr>
          <w:rStyle w:val="LinkdaInternet"/>
          <w:sz w:val="22"/>
          <w:szCs w:val="22"/>
        </w:rPr>
        <w:t>art. 163 da Lei nº 14.133/21</w:t>
      </w:r>
      <w:r>
        <w:rPr>
          <w:rStyle w:val="LinkdaInternet"/>
          <w:sz w:val="22"/>
          <w:szCs w:val="22"/>
        </w:rPr>
        <w:fldChar w:fldCharType="end"/>
      </w:r>
      <w:r>
        <w:rPr>
          <w:sz w:val="22"/>
          <w:szCs w:val="22"/>
        </w:rPr>
        <w:t>.</w:t>
      </w:r>
    </w:p>
    <w:p>
      <w:pPr>
        <w:pStyle w:val="Nivel2"/>
        <w:numPr>
          <w:ilvl w:val="0"/>
          <w:numId w:val="0"/>
        </w:numPr>
        <w:suppressAutoHyphens w:val="true"/>
        <w:spacing w:lineRule="auto" w:line="360" w:before="0" w:after="0"/>
        <w:ind w:left="0" w:hanging="0"/>
        <w:rPr>
          <w:sz w:val="22"/>
          <w:szCs w:val="22"/>
        </w:rPr>
      </w:pPr>
      <w:r>
        <w:rPr>
          <w:sz w:val="22"/>
          <w:szCs w:val="22"/>
        </w:rPr>
        <w:t xml:space="preserve">23.8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1">
        <w:r>
          <w:rPr>
            <w:rStyle w:val="LinkdaInternet"/>
            <w:sz w:val="22"/>
            <w:szCs w:val="22"/>
          </w:rPr>
          <w:t>Normativa SEGES/ME nº 26, de 13 de abril de 2022</w:t>
        </w:r>
      </w:hyperlink>
      <w:r>
        <w:rPr>
          <w:sz w:val="22"/>
          <w:szCs w:val="22"/>
        </w:rPr>
        <w:t xml:space="preserve">. </w:t>
      </w:r>
    </w:p>
    <w:p>
      <w:pPr>
        <w:pStyle w:val="Normal"/>
        <w:spacing w:lineRule="auto" w:line="360"/>
        <w:jc w:val="both"/>
        <w:rPr>
          <w:rFonts w:ascii="Arial" w:hAnsi="Arial" w:eastAsia="Calibri" w:cs="Arial"/>
          <w:sz w:val="22"/>
          <w:szCs w:val="22"/>
        </w:rPr>
      </w:pPr>
      <w:r>
        <w:rPr>
          <w:rFonts w:eastAsia="Calibri" w:cs="Arial" w:ascii="Arial" w:hAnsi="Arial"/>
          <w:sz w:val="22"/>
          <w:szCs w:val="22"/>
        </w:rPr>
      </w:r>
    </w:p>
    <w:p>
      <w:pPr>
        <w:pStyle w:val="Normal"/>
        <w:spacing w:lineRule="auto" w:line="360"/>
        <w:jc w:val="both"/>
        <w:rPr>
          <w:rFonts w:ascii="Arial" w:hAnsi="Arial" w:cs="Arial"/>
          <w:b/>
          <w:bCs/>
          <w:sz w:val="22"/>
          <w:szCs w:val="22"/>
        </w:rPr>
      </w:pPr>
      <w:r>
        <w:rPr>
          <w:rFonts w:cs="Arial" w:ascii="Arial" w:hAnsi="Arial"/>
          <w:b/>
          <w:bCs/>
          <w:sz w:val="22"/>
          <w:szCs w:val="22"/>
        </w:rPr>
        <w:t>24. ADEQUAÇÃO ORÇAMENTÁRIA</w:t>
      </w:r>
    </w:p>
    <w:p>
      <w:pPr>
        <w:pStyle w:val="Normal"/>
        <w:spacing w:lineRule="auto" w:line="360"/>
        <w:jc w:val="both"/>
        <w:rPr>
          <w:rFonts w:ascii="Arial" w:hAnsi="Arial" w:cs="Arial"/>
          <w:sz w:val="22"/>
          <w:szCs w:val="22"/>
        </w:rPr>
      </w:pPr>
      <w:r>
        <w:rPr>
          <w:rFonts w:cs="Arial" w:ascii="Arial" w:hAnsi="Arial"/>
          <w:sz w:val="22"/>
          <w:szCs w:val="22"/>
        </w:rPr>
        <w:t xml:space="preserve">24.1 - </w:t>
      </w:r>
      <w:bookmarkStart w:id="49" w:name="_Hlk159923749"/>
      <w:r>
        <w:rPr>
          <w:rFonts w:cs="Arial" w:ascii="Arial" w:hAnsi="Arial"/>
          <w:sz w:val="22"/>
          <w:szCs w:val="22"/>
        </w:rPr>
        <w:t xml:space="preserve">Para fazer frente às despesas do ajuste, existem recursos orçamentários reservados, onerando as dotações classificadas na </w:t>
      </w:r>
      <w:r>
        <w:rPr>
          <w:rFonts w:cs="Arial" w:ascii="Arial" w:hAnsi="Arial"/>
          <w:sz w:val="22"/>
          <w:szCs w:val="22"/>
          <w:u w:val="single"/>
        </w:rPr>
        <w:t>Natureza de Despesa</w:t>
      </w:r>
      <w:r>
        <w:rPr>
          <w:rFonts w:cs="Arial" w:ascii="Arial" w:hAnsi="Arial"/>
          <w:sz w:val="22"/>
          <w:szCs w:val="22"/>
        </w:rPr>
        <w:t>: 3.3.90.39.00 – Outros Serviços de terceiros – Pessoa Jurídica e 3.3.90.30.00 – Material de Consumo.</w:t>
      </w:r>
      <w:bookmarkStart w:id="50" w:name="_Hlk117778713"/>
      <w:r>
        <w:rPr>
          <w:rFonts w:cs="Arial" w:ascii="Arial" w:hAnsi="Arial"/>
          <w:sz w:val="22"/>
          <w:szCs w:val="22"/>
        </w:rPr>
        <w:t xml:space="preserve"> </w:t>
      </w:r>
      <w:r>
        <w:rPr>
          <w:rFonts w:cs="Arial" w:ascii="Arial" w:hAnsi="Arial"/>
          <w:sz w:val="22"/>
          <w:szCs w:val="22"/>
          <w:u w:val="single"/>
        </w:rPr>
        <w:t>Unidade Orçamentária</w:t>
      </w:r>
      <w:r>
        <w:rPr>
          <w:rFonts w:cs="Arial" w:ascii="Arial" w:hAnsi="Arial"/>
          <w:sz w:val="22"/>
          <w:szCs w:val="22"/>
        </w:rPr>
        <w:t xml:space="preserve">: </w:t>
      </w:r>
      <w:bookmarkEnd w:id="50"/>
      <w:r>
        <w:rPr>
          <w:rFonts w:cs="Arial" w:ascii="Arial" w:hAnsi="Arial"/>
          <w:sz w:val="22"/>
          <w:szCs w:val="22"/>
        </w:rPr>
        <w:t xml:space="preserve">02.05.01 – Secretaria da Administração, 02.09.03 – Scretaria da Educação/Ensino Fundamental/Ensino Regular, 02.12.01 – Secretaria de Obras e Serviços Públicos, 02.14.01 – Secretaria da saúde/Fundo Municipal de Saúde/Adm Geral. </w:t>
      </w:r>
      <w:r>
        <w:rPr>
          <w:rFonts w:cs="Arial" w:ascii="Arial" w:hAnsi="Arial"/>
          <w:sz w:val="22"/>
          <w:szCs w:val="22"/>
          <w:u w:val="single"/>
        </w:rPr>
        <w:t>Classificação Funcional</w:t>
      </w:r>
      <w:r>
        <w:rPr>
          <w:rFonts w:cs="Arial" w:ascii="Arial" w:hAnsi="Arial"/>
          <w:sz w:val="22"/>
          <w:szCs w:val="22"/>
        </w:rPr>
        <w:t xml:space="preserve">: </w:t>
      </w:r>
      <w:bookmarkEnd w:id="49"/>
      <w:r>
        <w:rPr>
          <w:rFonts w:cs="Arial" w:ascii="Arial" w:hAnsi="Arial"/>
          <w:sz w:val="22"/>
          <w:szCs w:val="22"/>
        </w:rPr>
        <w:t>04.122.0004.2.056 – Manutenção da Secretaria de Administração, 12.361.0008.2.036 – Manutenção do Ensino Regular, 15.452.0003.2.018 – Manutenção da SEOSP/Serviços Urbanos e 10.122.0007.2.026 – Manutenção da Secretaria da Saúde/FMS/Administração.</w:t>
      </w:r>
    </w:p>
    <w:p>
      <w:pPr>
        <w:pStyle w:val="Standard"/>
        <w:spacing w:lineRule="auto" w:line="360"/>
        <w:jc w:val="both"/>
        <w:rPr>
          <w:sz w:val="22"/>
          <w:szCs w:val="22"/>
        </w:rPr>
      </w:pPr>
      <w:r>
        <w:rPr>
          <w:sz w:val="22"/>
          <w:szCs w:val="22"/>
        </w:rPr>
      </w:r>
    </w:p>
    <w:p>
      <w:pPr>
        <w:pStyle w:val="Corpodotexto"/>
        <w:spacing w:lineRule="auto" w:line="360"/>
        <w:jc w:val="both"/>
        <w:rPr>
          <w:rFonts w:ascii="Arial" w:hAnsi="Arial" w:cs="Arial"/>
          <w:sz w:val="22"/>
          <w:szCs w:val="22"/>
        </w:rPr>
      </w:pPr>
      <w:bookmarkStart w:id="51" w:name="_Hlk160429393_Copia_1"/>
      <w:bookmarkEnd w:id="51"/>
      <w:r>
        <w:rPr>
          <w:rFonts w:cs="Arial" w:ascii="Arial" w:hAnsi="Arial"/>
          <w:b/>
          <w:bCs/>
          <w:sz w:val="22"/>
          <w:szCs w:val="22"/>
        </w:rPr>
        <w:t xml:space="preserve">25 - </w:t>
      </w:r>
      <w:r>
        <w:rPr>
          <w:rFonts w:eastAsia="Arial" w:cs="Arial" w:ascii="Arial" w:hAnsi="Arial"/>
          <w:b/>
          <w:sz w:val="22"/>
          <w:szCs w:val="22"/>
        </w:rPr>
        <w:t>LISTA DOS VEÍCULOS OBJETO DA CONTRATAÇÃO</w:t>
      </w:r>
    </w:p>
    <w:tbl>
      <w:tblPr>
        <w:tblW w:w="10873"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1186"/>
        <w:gridCol w:w="2715"/>
        <w:gridCol w:w="1995"/>
        <w:gridCol w:w="673"/>
        <w:gridCol w:w="690"/>
        <w:gridCol w:w="3613"/>
      </w:tblGrid>
      <w:tr>
        <w:trPr>
          <w:trHeight w:val="276" w:hRule="atLeast"/>
        </w:trPr>
        <w:tc>
          <w:tcPr>
            <w:tcW w:w="1186" w:type="dxa"/>
            <w:tcBorders/>
            <w:shd w:color="auto" w:fill="auto" w:val="clear"/>
            <w:vAlign w:val="center"/>
          </w:tcPr>
          <w:p>
            <w:pPr>
              <w:pStyle w:val="LO-normal"/>
              <w:widowControl w:val="false"/>
              <w:spacing w:lineRule="auto" w:line="360"/>
              <w:jc w:val="both"/>
              <w:rPr>
                <w:rFonts w:ascii="Arial" w:hAnsi="Arial" w:cs="Arial"/>
                <w:sz w:val="16"/>
                <w:szCs w:val="16"/>
              </w:rPr>
            </w:pPr>
            <w:r>
              <w:rPr>
                <w:rFonts w:cs="Arial" w:ascii="Arial" w:hAnsi="Arial"/>
                <w:b/>
                <w:sz w:val="16"/>
                <w:szCs w:val="16"/>
              </w:rPr>
              <w:t>PLACA</w:t>
            </w:r>
          </w:p>
        </w:tc>
        <w:tc>
          <w:tcPr>
            <w:tcW w:w="2715" w:type="dxa"/>
            <w:tcBorders/>
            <w:shd w:color="auto" w:fill="auto" w:val="clear"/>
            <w:vAlign w:val="center"/>
          </w:tcPr>
          <w:p>
            <w:pPr>
              <w:pStyle w:val="LO-normal"/>
              <w:widowControl w:val="false"/>
              <w:spacing w:lineRule="auto" w:line="360"/>
              <w:jc w:val="both"/>
              <w:rPr>
                <w:rFonts w:ascii="Arial" w:hAnsi="Arial" w:cs="Arial"/>
                <w:sz w:val="16"/>
                <w:szCs w:val="16"/>
              </w:rPr>
            </w:pPr>
            <w:r>
              <w:rPr>
                <w:rFonts w:cs="Arial" w:ascii="Arial" w:hAnsi="Arial"/>
                <w:b/>
                <w:sz w:val="16"/>
                <w:szCs w:val="16"/>
              </w:rPr>
              <w:t>MODELO</w:t>
            </w:r>
          </w:p>
        </w:tc>
        <w:tc>
          <w:tcPr>
            <w:tcW w:w="1995" w:type="dxa"/>
            <w:tcBorders/>
            <w:shd w:color="auto" w:fill="auto" w:val="clear"/>
            <w:vAlign w:val="center"/>
          </w:tcPr>
          <w:p>
            <w:pPr>
              <w:pStyle w:val="LO-normal"/>
              <w:widowControl w:val="false"/>
              <w:spacing w:lineRule="auto" w:line="360"/>
              <w:jc w:val="both"/>
              <w:rPr>
                <w:rFonts w:ascii="Arial" w:hAnsi="Arial" w:cs="Arial"/>
                <w:sz w:val="16"/>
                <w:szCs w:val="16"/>
              </w:rPr>
            </w:pPr>
            <w:r>
              <w:rPr>
                <w:rFonts w:cs="Arial" w:ascii="Arial" w:hAnsi="Arial"/>
                <w:b/>
                <w:sz w:val="16"/>
                <w:szCs w:val="16"/>
              </w:rPr>
              <w:t>MARCA</w:t>
            </w:r>
          </w:p>
        </w:tc>
        <w:tc>
          <w:tcPr>
            <w:tcW w:w="673" w:type="dxa"/>
            <w:tcBorders/>
            <w:shd w:color="auto" w:fill="auto" w:val="clear"/>
            <w:vAlign w:val="center"/>
          </w:tcPr>
          <w:p>
            <w:pPr>
              <w:pStyle w:val="LO-normal"/>
              <w:widowControl w:val="false"/>
              <w:spacing w:lineRule="auto" w:line="360"/>
              <w:jc w:val="both"/>
              <w:rPr>
                <w:rFonts w:ascii="Arial" w:hAnsi="Arial" w:cs="Arial"/>
                <w:sz w:val="16"/>
                <w:szCs w:val="16"/>
              </w:rPr>
            </w:pPr>
            <w:r>
              <w:rPr>
                <w:rFonts w:cs="Arial" w:ascii="Arial" w:hAnsi="Arial"/>
                <w:b/>
                <w:sz w:val="16"/>
                <w:szCs w:val="16"/>
              </w:rPr>
              <w:t>FAB</w:t>
            </w:r>
          </w:p>
        </w:tc>
        <w:tc>
          <w:tcPr>
            <w:tcW w:w="690" w:type="dxa"/>
            <w:tcBorders/>
            <w:shd w:color="auto" w:fill="auto" w:val="clear"/>
            <w:vAlign w:val="center"/>
          </w:tcPr>
          <w:p>
            <w:pPr>
              <w:pStyle w:val="LO-normal"/>
              <w:widowControl w:val="false"/>
              <w:spacing w:lineRule="auto" w:line="360"/>
              <w:jc w:val="both"/>
              <w:rPr>
                <w:rFonts w:ascii="Arial" w:hAnsi="Arial" w:cs="Arial"/>
                <w:sz w:val="16"/>
                <w:szCs w:val="16"/>
              </w:rPr>
            </w:pPr>
            <w:r>
              <w:rPr>
                <w:rFonts w:cs="Arial" w:ascii="Arial" w:hAnsi="Arial"/>
                <w:b/>
                <w:sz w:val="16"/>
                <w:szCs w:val="16"/>
              </w:rPr>
              <w:t>MOD</w:t>
            </w:r>
          </w:p>
        </w:tc>
        <w:tc>
          <w:tcPr>
            <w:tcW w:w="3613" w:type="dxa"/>
            <w:tcBorders/>
            <w:shd w:color="auto" w:fill="auto" w:val="clear"/>
            <w:vAlign w:val="center"/>
          </w:tcPr>
          <w:p>
            <w:pPr>
              <w:pStyle w:val="LO-normal"/>
              <w:widowControl w:val="false"/>
              <w:spacing w:lineRule="auto" w:line="360"/>
              <w:jc w:val="both"/>
              <w:rPr>
                <w:rFonts w:ascii="Arial" w:hAnsi="Arial" w:cs="Arial"/>
                <w:sz w:val="16"/>
                <w:szCs w:val="16"/>
              </w:rPr>
            </w:pPr>
            <w:r>
              <w:rPr>
                <w:rFonts w:cs="Arial" w:ascii="Arial" w:hAnsi="Arial"/>
                <w:b/>
                <w:sz w:val="16"/>
                <w:szCs w:val="16"/>
              </w:rPr>
              <w:t>TIPO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BKU0893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VOYAGE 1.6L MB5</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SEDAN</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BLE6B45</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OROCH DYN 1.6 SCE</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2018</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2018</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NÃO ESPECIFICADO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BMT7751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SPIN</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2018</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MINI VAN</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BPO5293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VOLARE V8L E O</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MARCOPOLO</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PASSAGEIRO/ONIBUS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BPQ2981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VOYAGE 1.6 L MB5</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SEDAN</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BPY6404</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ESCORT HOBBY</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FORD</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1994</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1994</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BPY6417</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 BENZ L 1113 - BAS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MERCEDES BENZ</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1983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1983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CAMINHAO BASCULANTE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BPY6419</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LK 1618</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MERCEDES BENZ</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1991</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CAMINHAO BASCULANTE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BPZ5349</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L 1418</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MERCEDES BENZ</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CAMINHÃO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BPZ5358</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D20 CUSTOM</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CAMINHÃO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BPZ5360</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310D SPRINTERM</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MERCEDES BENZ</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1998</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1998</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MICROONIBUS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BPZ5361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310D SPRINTERM</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MERCEDES BENZ</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1998</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1998</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MICROONIBUS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BPZ5375</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MARCOPOLO VIAGGIO</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MERCEDES BENZ</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BQU2060</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VOYAGE 1.6 L</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SEDAN</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BSZ4860</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VOYAGE 1.6 L MB5</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SEDAN</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BWW8320</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RENAULT/MASTER FUR L</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2018</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CAR/CAMINHONET/FURGA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BXQ3927</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VOYAGE  1.6L  MB5</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SEDAN</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BXZ9458</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VOYAGE 1.6L MB5</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SEDAN</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BYQ0A72</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S10 LS DD4</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2021</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2022</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 CABINE DUPLA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BYW0422</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 xml:space="preserve">VOLVO/ MASCA ROMA </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VOLVO</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BYX8D53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OROCH</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2021</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2022</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PICK UP</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BZG0877</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GOL 1.6 MBS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PASSEIO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BZG6H23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VW/17.190CRM 4X2 ROB</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CAMINHÃO BASCULANTE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CDV1298</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VECTRA GL</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2001</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2002</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CDZ1925</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LK 1618</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MERCEDES BENZ</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CAMINHAO BASCULANTE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CDZ1939</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912</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MERCEDES BENZ</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1991</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CAMINHÃO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CDZ1948</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CHEVROLET C6503</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1975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1975</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CAMINHÃO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CDZ1953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310D SPRINTER</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MERCEDES BENZ</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1997</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1997</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CAMINHÃO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CDZ1965</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310D SPRINTER</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MERCEDES BENZ</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1997</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1997</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CAMINHÃO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CDZ1967</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LK 1518</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MERCEDES BENZ</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1987</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1987</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CAMINHAO BASCULANTE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CLK4B77</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SIENA</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FIAT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2021</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SEDAN</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CMW0767</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S10 2.8 D</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CMW3102</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POLO SEDAN 2.0</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2004</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2004</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CMW7346</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RANGER XL 13P</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FORD</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 ABERTA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COO6C73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VOLARE ACCESS EO</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MARCOPOLO</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PASSAGEIRO ÔNIBUS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CRX1936</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CG 125 CARGO</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HONDA</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MOTO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CUA4564</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15SPRINT  RONTAM AMB</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MERCEDES BENZ</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2018</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CAMINHONET/AMBULANCIA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CUJ6012</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VW/GOL 1.6L MB5</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DAC3B81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NOVA SAVEIRO MBVS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PICK UP</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DAK7020</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REVESCAP AMB SR</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MERCEDES BENZ</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AMBULÂNCIA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DAL4499</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OROCH</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2018</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PICK UP  CABINE DUPLA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DAR3G91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TECTOR 150E21</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IVECO</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CAMINHAO/ COMBOIO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DBA1229</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GOL 16V PLUS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2001</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2002</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DBA1231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GOL 16V PLUS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2001</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2002</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DBA1236</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GOL 16V PLUS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2001</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2002</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DBA1239</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7110</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CAMINHÃO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DBA1241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18310</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TRATOR</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DBA1242</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17210</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CAMINHÃO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DBA1243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17210 MOTOR MWM</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CAMINHÃO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DBA1251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COMIL CAMPIONE R</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MERCEDES BENZ</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DBA1253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312SF ALL AMB</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MERCEDES BENZ</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CAMINHÃO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DBA1256</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UNO MILLE FIRE</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FIAT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DBA1259</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710</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MERCEDES BENZ</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CAMINHÃO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DBA1261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UNO MILLE FIRE</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FIAT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2004</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DBA1264</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UNO MILLE FIRE</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FIAT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2004</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DBA1267</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 xml:space="preserve">8150 NEOBUS </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2002</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DBA1268</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NEOBUS THUNDERBOY</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2002</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DBS4731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FACCHINI SRF CT</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SR</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REBOQUE/ PRANCHA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DBS4733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17210 MOTOR MWM</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CAMINHÃO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DBS4736</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17210 MOTOR MWM</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CAMINHÃO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DBS4737</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23.210 MOTOR CUMMINS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2004</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CAMINHÃO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DBS4743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8150 NEOBUS TBOY</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2005</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MICROONIBUS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DBS4751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STRADA FIRE FLEX</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2006</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DBS4752</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VOLARE A6</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MARCOPOLO</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2004</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MICROONIBUS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DBS4754</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VOLARE A6</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MARCOPOLO</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2004</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MICROONIBUS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DBS4755</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SAVEIRO 1.6</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DBS4757</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SAVEIRO 1.6</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DBS4758</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SAVEIRO 1.6</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DBS4759</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KOMBI CAMIONETA</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2004</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CAMIONETA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DBS4760</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KOMBI</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2004</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DBS9631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8150 NEOBUS TBOY</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2005</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MICROONIBUS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DBS9632</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 xml:space="preserve">8150 NEOBUS </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2005</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DBS9643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KOMBI</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2006</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2007</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DBS9645</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STRADA FIRE FLEX</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2006</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2007</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DBS9654</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KOMBI CAMIONETA</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2008</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CAMIONETA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DBS9659</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GOL 1.0</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2006</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2007</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DBU1255</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CARGO 1723B</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FORD</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2018</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CAMINHÃO TOCO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DEE3H11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MASTER FFORMA.ES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2022</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PASSAGEIRO MICROONIBUS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DEI8345</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VOYAGE</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NÃO ESPECIFICADO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DEU3013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DAILY 35S14CD</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IVECO</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DGG7982</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MASCA GRANMICRO</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2018</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DGX1D01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NOVA SAVEIRO RB MBVS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PICK UP</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DJL2560</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INDUSCAR ATILIS O</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MERCEDES BENZ</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DJP4285</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DOBLO ROTAN AMB</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FIAT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2006</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2006</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ESP/ CAMINHONETE/ AM</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DMN8201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KOMBI LOTAÇÃO</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2008</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MICROONIBUS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DMN8202</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INDUSCAR FOZ U</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DMN8203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KOMBI LOTAÇÃO</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2008</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MICROONIBUS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DMN8204</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VECTRA SEDAN</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DMN8205</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VECTRA SEDAN</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DMN8206</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KOMBI</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2008</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DMN8208</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N/E</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N/E</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NÃO ESPECIFICADO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DMN8216</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VOLARE V8L ESC</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MARCOPOLO</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DMN8221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VOYAGE 1.6</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DMN8223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VOLARE V8L ESC</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MARCOPOLO</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DMN8224</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VOLARE V8L ESC</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MARCOPOLO</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DOM2124</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RENAULT/MASTER FUR L</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2018</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CAR/CAMINHONET/FURGA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DRM2028</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MASTER FUR L2H2</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2018</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NÃO ESPECIFICADO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DTU1115</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MONTANA LS2</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CHEVROLET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2018</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DYD4099</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 xml:space="preserve">I/M. BENZ REVESCAP </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MERCEDES BENZ</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AMBULANCIA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ECO2J79</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SAVEIRO RB MVS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NÃO ESPECIFICADO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ECU1636</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CAIO LO 916.ORE</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MERCEDES BENZ</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EDD9357</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KOMBI LOTAÇÃO</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MICROONIBUS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EEE3814</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ATTRACTIV</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FIAT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SEDAN</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EEF7816</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 xml:space="preserve">MARCOPOLO VICINIO </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MERCEDES BENZ</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EFO4160</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MASTER FUR L2H2</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2018</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NÃO ESPECIFICADO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EGC5471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UNO MILLE ECONOMY</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FIAT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EGG0079</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CARGO</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FORD</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2018</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COM CESTO AÉREO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EGI8572</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VOLARE V8L ESC</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MARCOPOLO</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EGI8573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KOMBI CAMIONETA</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CAMIONETA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EGI8574</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HILARIO RHCA2E4R</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REBOQUE</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CAR/ REBOQUE/ CAR ABERTA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EGI8575</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KGT RE 350</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KGT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CAR/ REBOQUE/ CAR AB</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EGI8576</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KGT RE 350</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KGT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REBOQUE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EGI8578</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KGT RE 350</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KGT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CAR/ REBOQUE/ CAR AB</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EGI8579</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KGT RE 350</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KGT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CAR/ REBOQUE/ CAR AB</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EGI8581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CLASSIC LS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EGI8582</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MONTANA CONQUEST</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EGI8583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CLASSIC LS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EGI8587</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MONTANA CONQUEST</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EGI8589</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CELTA 4P LIFE</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EGI8590</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MONTANA CONQUEST</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EGI8592</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CLASSIC LS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EGI8594</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MONTANA CONQUEST</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EGI8595</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CELTA 4P LIFE</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EGI8596</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CELTA 4P LIFE</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EGI8598</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MONTANA CONQUEST</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EGI8599</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MONTANA CONQUEST</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EHE7102</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CLASSIC LS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EHE7103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CELTA 4P LIFE</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EHE7104</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CELTA 4P LIFE</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EHE7105</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CELTA 4P LIFE</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EHE7106</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 xml:space="preserve">MONTANA ENGESIG </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 FURGÃO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EHE7107</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 xml:space="preserve">MONTANA ENGESIG </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 FURGÃO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EHE7109</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BOXER F350LH 23S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PEUGEOT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CAMIONETA/ AMBULANCIA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EHE7110</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JUMPER M33M 23S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CITROEN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MICROONIBUS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EHE7111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JUMPER M33M 23S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CITROEN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MICROONIBUS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EHE7113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JUMPER M33M 23S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CITROEN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MICROONIBUS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EHE7114</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EUROCARGO 260E25N</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IVECO</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CAMINHÃO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EHE7115</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EUROCARGO 260E25N</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IVECO</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CAMINHÃO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EHE7117</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S10</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EHE7118</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JCB 214E</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MO</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TRA/TR. RODAS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EHE7119</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 CARREGAD WA20</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FIATALLIS</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TRA/TR. RODAS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EHE7120</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TRATOR</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FIATALLIS</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TRA/TR. RODAS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EHE7121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 xml:space="preserve">PALIO WEEKEND </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FIAT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2011</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EHE7123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 xml:space="preserve">PALIO WEEKEND </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FIAT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2011</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EHE7124</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FIAT ALLIS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MA</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TRA/TR. RODAS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EHE7126</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FIAT ALLIS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MA</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TRA/TR. RODAS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EHE7127</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REBTC JTS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TINCAR</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2011</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CAR/ REBOQUE/ CAR ABERTA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EHE7132</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CLASSIC LS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2012</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EHE7133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CLASSIC LS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2012</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EHE7135</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N/E</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N/E</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NÃO ESPECIFICADO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EHE7137</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CLASSIC LS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2012</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EHE7138</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VERTIS 90V16</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IVECO</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2011</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2012</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CAMINHÃO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EHE7139</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COURIER L 1.6</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FORD</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2012</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EHE7141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S10 LS FD2</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EHE7143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DAILY35S14 CD</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IVECO</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2011</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2012</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EHE7144</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LOGAN EXP 16</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2012</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EHE7145</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MASTER11M3 25DCI</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 FURGÃO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EHE7146</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CITYCLASS 70C17</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IVECO</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EIR2C31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 xml:space="preserve">MASTER GRAND </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AMBULÂNCIA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ELE9456</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MASCA GRANMICRO</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2018</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ELO6032</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GOL 1.6 MBS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PASSEIO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EME2172</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VOYAGE</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NÃO ESPECIFICADO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END6D04</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MASTER MBUS L3H2</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2021</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2022</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PASSAG. MICROÔNIBUS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ENI0D29</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NOVA SAVEIRO RB MBVS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PICK UP</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ENU6E21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 xml:space="preserve">MASTER GRAND </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AMBULÂNCIA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ENV5650</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MASTER JM 16</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NÃO ESPECIFICADO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EOB6133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JUMPER V35LH 23S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CITROEN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 FURGÃO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EOB6134</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JUMPER F35LH 235</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CITROEN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EOB6136</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JUMPER V35LH 23S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CITROEN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 FURGÃO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EOB6137</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CLASSIC LS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EOB6139</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CLASSIC LS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EOB6141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15.190 EOD E. HD ORE</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2012</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EOB6143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CLASSIC LS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EOB6144</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CLASSIC LS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EOB6145</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CARGO 1723</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FORD</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CAMINHÃO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EOB6146</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CARGO 1933 TL</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FORD</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TRA/TR. RODAS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EOB6147</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CARGO 2623 6X4</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FORD</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CAMINHAO BASCULANTE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EOB6148</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VOLARE V8 4X4 EO</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MARCOPOLO</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EOB6151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TECTOR 170E22</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IVECO</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CAMINHAO BASCULANTE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EOB6152</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TECTOR 170E22</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IVECO</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CAMINHAO BASCULANTE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EOB6156</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FIESTA 1.6 FLEX</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FORD</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2014</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EOB6158</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I/ RENAULT KG TRANSF</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2014</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CAMINHONET/AMBULANCIA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EOO1103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DAILY 35S14HDCD</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IVECO</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2018</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EOO7928</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DAILY 35S14HDCD</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IVECO</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2018</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EPA0786</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MASTER'</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2018</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NÃO ESPECIFICADO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EPA3H91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KWID ZEN 2</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2022</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HATCH</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EQV2562</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KOMBI LOTAÇÃO</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MICROONIBUS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ESS3006</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RENAULT/MASTER FUR L</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2018</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CAR/CAMINHONET/FURGA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ESS6C86</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DAILY 35S14HDCD</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IVECO</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2018</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EST1670</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VOYAGE 1.6L MB5</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SEDAN</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ETD1791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KOMBI LOTAÇÃO</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MICROONIBUS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ETD1824</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KOMBI LOTAÇÃO</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MICROONIBUS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ETD1834</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KOMBI LOTAÇÃO</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MICROONIBUS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ETE7891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VOYAGE 1.6</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ETO2922</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MONTANA CONQUEST</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2018</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ETY1J16</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24.280 CRM 6X2</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2021</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2022</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CARGA CAMINHÃO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EUC5691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KOMBI LOTAÇÃO</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MICROONIBUS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EVV4646</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RENAULT/MASTER FUR L</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2018</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CAR/CAMINHONET/FURGA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EXU7875</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VOYAGE 1.6</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EXX5J72</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LO 916 ESC R ORE-01</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MERCEDES BENZ</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2022</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ÔNIBUS ESCOLAR</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FBV1E43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DAILY MINIBUS 45.170</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IVECO</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PASSAG. MICROÔNIBUS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FBV3635</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DAILY 35S14HDCD</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IVECO</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FBY2743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VW/SPACEFOX</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2017</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2018</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FCI1240</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PALIO FIRE FLEX</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FIAT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FCZ5680</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DUSTER 16 E</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2016</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CAMIONETA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FDP0894</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CAIO LO 916.ORE</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MERCEDES BENZ</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ONIBUS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FEE5263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SANDERO EXP</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FEU9110</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DAILY 35S14HDCD</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IVECO</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FFR9586</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FIAT/WEEKEND TREKKIN</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FIAT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FGB9850</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SIENA ATTRACTIVE 1.4</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FIAT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2014</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2014</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SEDAN</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FGU7988</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LOGAN EXP 16</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FHV2880</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MONTANA LS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2016</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FIE3385</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DUSTER 16 E</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2016</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CAMIONETA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FIH7951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MONTANA 1.4 LS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2016</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FIK7891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XTZ250 LANDER</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YAMAHA</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2016</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MOTO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FIM3726</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NOVO GOL TL MBV</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2016</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2017</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FIP6274</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PALIO FIRE FLEX</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FIAT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FJQ2056</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LOGAN ICONIC 1.6 CVT</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PASSAGEIRO AUTOMÓVEL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FKD5J24</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MASTER MBUS L3H2</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2021</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2022</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PASSAG. MICROÔNIBUS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FKQ1832</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VW/SPACEFOX</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2017</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2018</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FLA7H61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3CX SUPER</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JCB</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2022</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RETROESCAVADEIRA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FLL6193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TORO VOLCANO</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FIAT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2016</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2017</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 ABERTO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FMZ5911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MONTANA 1.4 LS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2016</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FNC1943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XTZ250 LANDER</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YAMAHA</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2016</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MOTO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FNL1041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LOGAN EXP 16</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FNN7227</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FIORINO 1.4 FLEX</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FIAT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2016</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2016</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CAMINHONET/FURGÃO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FNX2946</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DUSTER 16 E</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2016</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CAMIONETA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FNY4I72</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OROCH PRO 16</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FOY5G94</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BOXER ALT AMB</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PEUGEOT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2022</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FURGÃO/AMBULÂNCIA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FPP1B06</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14.190 CRM 4X2</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2022</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CARGA CAMINHÃO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FQC8282</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R/CARRECAR CRBA</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CRBA</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2014</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2014</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CAR/ REBOQUE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FQD6572</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SPIN 1.8L MT LT</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2014</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2014</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FQF9125</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SRPR3E</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JHV</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2014</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2014</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CAR/S. REBOQUE/ PRAN</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FQH1437</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CARGO 1723</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FORD</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CAMINHÃO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FQI5449</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JCB 214E</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MO</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TRA/TR. RODAS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FQM6H85</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ACCELO 1016/37</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MERCEDES BENZ</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2021</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CARGA CAMINHÃO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FQN1240</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R/EMPORIO ALPINA CA</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EMPORIO</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2014</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2014</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REBOQUE/CARROCERIA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FQQ4173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DAILY 35S14HDCD</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IVECO</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FQQ8583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RENAULT/MASTER FUR L</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2018</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CAR/CAMINHONET/FURGA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FRY2199</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MMC/L200 TRITON SAVA</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MITSUBISHI</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2016</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2017</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CAR/ CAMIONETA/ CAR</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FSS6469</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NOVO GOL TL MBV</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2016</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2017</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PAAS/AUTOMOVEL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FSU8865</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MONTANA LS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2016</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FSW8A57</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CAIO LO 916.ORE</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MERCEDES BENZ</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PASSAGEIRO ÔNIBUS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FUB4873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CARGO 816 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FORD</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CAR/ CAMINHAO /ABERTA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FUV5315</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SANDERO EXP</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FVD8G43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STRADA HARD WORKING</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FIAT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CARGA 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FVQ3014</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DAILY 35S14HDCD</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IVECO</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FVV0089</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CLASSIC LS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2016</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2016</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FWL8136</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LOGAN ICONIC 1.6 CVT</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PASSAGEIRO AUTOMÓVEL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FYC1C72</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CAIO LO 916.ORE</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MERCEDES BENZ</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PASSAGEIRO ÔNIBUS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FZF9197</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 xml:space="preserve">RENAULT/DUSTER </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2018</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CAMIONETA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FZR3013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PALIO FIRE FLEX</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FIAT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FZV1F52</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PALIO FIRE FLEX</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FIAT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FZV6901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 xml:space="preserve">RENAULT / DUSTER </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2016</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GAA0038</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NXR160 BROS ESDD</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HONDA</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MOTO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GAA5646</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NXR160 BROS ESDD</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HONDA</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MOTO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GAC9199</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NXR160 BROS ESDD</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HONDA</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MOTO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GAO0937</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VOYAGE 1.6</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 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GAP7311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NXR160 BROS ESDD</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HONDA</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MOTO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GAQ8559</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XTZ250 LANDER</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YAMAHA</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2016</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MOTO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GAY4G44</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XC870BR-1</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MR/XCMG</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2022</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RETROESCAVADEIRA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GBA6414</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NXR160 BROS ESDD</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HONDA</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MOTO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GBA9517</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XTZ250 LANDER</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YAMAHA</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2016</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MOTO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GBB1232</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XTZ250 LANDER</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YAMAHA</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2016</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MOTO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GBF0C97</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17.280 CRM 4X2</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CAMINHÃO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GBO6285</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NXR160 BROS ESDD</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HONDA</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MOTO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GBQ6525</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XTZ250 LANDER</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YAMAHA</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2016</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MOTO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GBU6234</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 xml:space="preserve">RENAULT/DUSTER </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2018</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CAMIONETA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GEJ4829</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RENAULT/LOGAN</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2017</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2018</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PAAS/AUTOMOVEL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GES4414</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IRCROSS STARTMART</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CITROEN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2018</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NÃO ESPECIFICADO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GFD4I37</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 xml:space="preserve">MASTER GRAND </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AMBULÂNCIA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GGI3550</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CLASSIC LS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GM</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2016</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2016</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GGM8E77</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OROCH</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PICK UP</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GGU6F42</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RENAULT/MASTER FUR L</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CAR/CAMINHONET/FURGA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GHS1J83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OROCH PRO 16</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GHU8765</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RENAULT/LOGAN</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2017</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2018</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PAAS/AUTOMOVEL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GHW9997</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RENAULT/LOGAN</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2017</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2018</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PAAS/AUTOMOVEL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GIA0189</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RENAULT/MASTER FUR L</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RENAULT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2018</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CAR/CAMINHONET/FURGA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GIM7D33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32.360 CRC 6X4</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VOLKSWAGEN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2021</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CAMINHÃO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PPR0335</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SOLIS 75RX-4WD</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YANMAR</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2018</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TRATOR AGRICOLA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PPR0336</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ESCAVADEIRA</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HYUNDAI</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2021</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ESCAVADEIRA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PPR0337</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TRATOR ESTEIRA</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NEW HOLLAND</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ESTEIRA D4 E</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PRE0210</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 CARREGAD W20B</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CASE</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1989</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1989</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MAQUINA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PRE0217</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TRATOR AGRICOLA 6610</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FORD</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1986</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1986</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TRATOR</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PRE0218</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RETROESCAV 580</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CASE</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1994</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1994</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MAQUINA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PRE0219</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RETROESCAV 580</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CASE</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1994</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1994</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MAQUINA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PRE0220</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ROLO PE DE CARNEIRO</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DYNAPAC</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1994</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1994</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ROLO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PRE0226</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RETRO ESCAV FB 80.3</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FIAT ALLIS</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2002</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MAQUINA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PRE0227</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 CARREGAD W20E</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CASE</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2002</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MAQUINA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PRE0229</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MOTONIVELAD FG140-C</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FIAT ALLIS</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2002</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MAQUINA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PRE0232</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ESTEIRA D61EX-12</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KOMATSU</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MAQUINA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PRE0234</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785 4X4</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VALTRA</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TRATOR</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PRE0235</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ROLO COMPACTADOR</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DYNAPAC</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2003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ROLO COMPACTADOR SAPO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PRE0239</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ESCAVADEIRA PC 160</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KOMATSU</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MAQUINA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PRE0240</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 xml:space="preserve">ROLO COMPACTADOR </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MÜLLER</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ROLO PE DE CARNEIRO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PRE0241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 xml:space="preserve">ROLO COMPACTADOR </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MÜLLER</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ROLO CHAPA LISA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PRE0242</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 xml:space="preserve">ROLO COMPACTADOR </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MÜLLER</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ROLO COMPACTADOR PNEUS</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PRE0322</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 CARREGAD W20E</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CASE</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1995</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MAQUINA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PRE0325</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COMPACTADOR-SAPO</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DYNAPAC</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1994</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1994</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ROLO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PRE0328</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ITH 2/60 H</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ITH</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2010</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MÁQ DE DEMARC VIÁRIA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PRE0329</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RETROESCAVADEIRA</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RANDON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RETROESCAVADEIRA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PRE0331</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CA150AD</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DYNAPAC</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ROLO COMPACTADOR VIB</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PRE0332</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VDA400</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BOMAG</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VIBROACABADORA DE ASFALTO</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PRE0333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SR 175 CAB</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CASE</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2015</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2014</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MINI CARREGADEIRA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PRE0334</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AIRLESS PL 2850</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AIRLESS</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2014</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2014</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MÁQ DE DEMARC VIÁRIA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PRE0338</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TL5.80</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NEW HOLLAND</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2022</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TRATOR AGRICOLA</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SFW3I35</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VERSA 1.6 SENSE CVT</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NISSAN</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2022</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PASSAGEIRO AUTOMÓVEL</w:t>
            </w:r>
          </w:p>
        </w:tc>
      </w:tr>
      <w:tr>
        <w:trPr>
          <w:trHeight w:val="276" w:hRule="atLeast"/>
        </w:trPr>
        <w:tc>
          <w:tcPr>
            <w:tcW w:w="1186"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SWV6J63</w:t>
            </w:r>
          </w:p>
        </w:tc>
        <w:tc>
          <w:tcPr>
            <w:tcW w:w="271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STRADA ENDURANCE CS</w:t>
            </w:r>
          </w:p>
        </w:tc>
        <w:tc>
          <w:tcPr>
            <w:tcW w:w="1995"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FIAT</w:t>
            </w:r>
          </w:p>
        </w:tc>
        <w:tc>
          <w:tcPr>
            <w:tcW w:w="67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2023</w:t>
            </w:r>
          </w:p>
        </w:tc>
        <w:tc>
          <w:tcPr>
            <w:tcW w:w="690"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2023</w:t>
            </w:r>
          </w:p>
        </w:tc>
        <w:tc>
          <w:tcPr>
            <w:tcW w:w="3613" w:type="dxa"/>
            <w:tcBorders/>
            <w:shd w:color="auto" w:fill="auto" w:val="clear"/>
            <w:vAlign w:val="bottom"/>
          </w:tcPr>
          <w:p>
            <w:pPr>
              <w:pStyle w:val="LO-normal"/>
              <w:widowControl w:val="false"/>
              <w:spacing w:lineRule="auto" w:line="360"/>
              <w:jc w:val="both"/>
              <w:rPr>
                <w:rFonts w:ascii="Arial" w:hAnsi="Arial" w:cs="Arial"/>
                <w:sz w:val="16"/>
                <w:szCs w:val="16"/>
              </w:rPr>
            </w:pPr>
            <w:r>
              <w:rPr>
                <w:rFonts w:cs="Arial" w:ascii="Arial" w:hAnsi="Arial"/>
                <w:sz w:val="16"/>
                <w:szCs w:val="16"/>
              </w:rPr>
              <w:t>CAMINHONETE</w:t>
            </w:r>
          </w:p>
        </w:tc>
      </w:tr>
    </w:tbl>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hanging="0"/>
        <w:jc w:val="both"/>
        <w:rPr>
          <w:rFonts w:ascii="Arial" w:hAnsi="Arial" w:cs="Arial"/>
          <w:sz w:val="22"/>
          <w:szCs w:val="22"/>
        </w:rPr>
      </w:pPr>
      <w:r>
        <w:rPr>
          <w:rFonts w:cs="Arial" w:ascii="Arial" w:hAnsi="Arial"/>
          <w:b/>
          <w:bCs/>
          <w:sz w:val="22"/>
          <w:szCs w:val="22"/>
        </w:rPr>
        <w:t xml:space="preserve">ANEXO II </w:t>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7" w:hanging="0"/>
        <w:jc w:val="both"/>
        <w:rPr>
          <w:rFonts w:ascii="Arial" w:hAnsi="Arial" w:cs="Arial"/>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sz w:val="22"/>
          <w:szCs w:val="22"/>
        </w:rPr>
      </w:pPr>
      <w:r>
        <w:rPr>
          <w:rFonts w:cs="Arial" w:ascii="Arial" w:hAnsi="Arial"/>
          <w:b/>
          <w:bCs/>
          <w:sz w:val="22"/>
          <w:szCs w:val="22"/>
        </w:rPr>
        <w:t>PREGÃO ELETRÔNICO 107/2024</w:t>
      </w:r>
    </w:p>
    <w:p>
      <w:pPr>
        <w:pStyle w:val="Normal"/>
        <w:spacing w:lineRule="auto" w:line="360"/>
        <w:ind w:right="-57" w:hanging="0"/>
        <w:jc w:val="both"/>
        <w:rPr>
          <w:rFonts w:ascii="Arial" w:hAnsi="Arial" w:cs="Arial"/>
          <w:sz w:val="22"/>
          <w:szCs w:val="22"/>
        </w:rPr>
      </w:pPr>
      <w:r>
        <w:rPr>
          <w:rFonts w:cs="Arial" w:ascii="Arial" w:hAnsi="Arial"/>
          <w:b/>
          <w:bCs/>
          <w:sz w:val="22"/>
          <w:szCs w:val="22"/>
        </w:rPr>
        <w:t>EDITAL Nº 139/2024</w:t>
      </w:r>
    </w:p>
    <w:p>
      <w:pPr>
        <w:pStyle w:val="Normal"/>
        <w:spacing w:lineRule="auto" w:line="360"/>
        <w:ind w:right="-57" w:hanging="0"/>
        <w:jc w:val="both"/>
        <w:rPr>
          <w:rFonts w:ascii="Arial" w:hAnsi="Arial" w:cs="Arial"/>
          <w:sz w:val="22"/>
          <w:szCs w:val="22"/>
        </w:rPr>
      </w:pPr>
      <w:r>
        <w:rPr>
          <w:rFonts w:cs="Arial" w:ascii="Arial" w:hAnsi="Arial"/>
          <w:b/>
          <w:bCs/>
          <w:sz w:val="22"/>
          <w:szCs w:val="22"/>
        </w:rPr>
        <w:t>Processo nº 7906/2024</w:t>
      </w:r>
    </w:p>
    <w:p>
      <w:pPr>
        <w:pStyle w:val="Normal"/>
        <w:tabs>
          <w:tab w:val="clear" w:pos="709"/>
          <w:tab w:val="left" w:pos="1978" w:leader="none"/>
        </w:tabs>
        <w:spacing w:lineRule="auto" w:line="360"/>
        <w:ind w:right="-54" w:hanging="0"/>
        <w:jc w:val="both"/>
        <w:rPr>
          <w:rFonts w:ascii="Arial" w:hAnsi="Arial" w:cs="Arial"/>
          <w:sz w:val="22"/>
          <w:szCs w:val="22"/>
        </w:rPr>
      </w:pPr>
      <w:r>
        <w:rPr>
          <w:rFonts w:cs="Arial" w:ascii="Arial" w:hAnsi="Arial"/>
          <w:sz w:val="22"/>
          <w:szCs w:val="22"/>
        </w:rPr>
        <w:t xml:space="preserve">                   </w:t>
      </w:r>
      <w:r>
        <w:rPr>
          <w:rFonts w:cs="Arial" w:ascii="Arial" w:hAnsi="Arial"/>
          <w:sz w:val="22"/>
          <w:szCs w:val="22"/>
        </w:rPr>
        <w:tab/>
      </w:r>
    </w:p>
    <w:p>
      <w:pPr>
        <w:pStyle w:val="Normal"/>
        <w:spacing w:lineRule="auto" w:line="360"/>
        <w:ind w:right="-54" w:hanging="0"/>
        <w:jc w:val="center"/>
        <w:rPr>
          <w:rFonts w:ascii="Arial" w:hAnsi="Arial" w:cs="Arial"/>
          <w:sz w:val="22"/>
          <w:szCs w:val="22"/>
        </w:rPr>
      </w:pPr>
      <w:r>
        <w:rPr>
          <w:rFonts w:cs="Arial" w:ascii="Arial" w:hAnsi="Arial"/>
          <w:sz w:val="22"/>
          <w:szCs w:val="22"/>
          <w:u w:val="single"/>
        </w:rPr>
        <w:t>MODELO DE CREDENCIAMENTO</w:t>
      </w:r>
    </w:p>
    <w:p>
      <w:pPr>
        <w:pStyle w:val="Normal"/>
        <w:spacing w:lineRule="auto" w:line="360"/>
        <w:ind w:right="-54" w:hanging="0"/>
        <w:jc w:val="center"/>
        <w:rPr>
          <w:rFonts w:ascii="Arial" w:hAnsi="Arial" w:cs="Arial"/>
          <w:sz w:val="22"/>
          <w:szCs w:val="22"/>
        </w:rPr>
      </w:pPr>
      <w:r>
        <w:rPr>
          <w:rFonts w:cs="Arial" w:ascii="Arial" w:hAnsi="Arial"/>
          <w:sz w:val="22"/>
          <w:szCs w:val="22"/>
          <w:u w:val="single"/>
        </w:rPr>
        <w:t>PROCURAÇÃO</w:t>
      </w:r>
    </w:p>
    <w:p>
      <w:pPr>
        <w:pStyle w:val="Normal"/>
        <w:spacing w:lineRule="auto" w:line="360"/>
        <w:ind w:right="-54" w:hanging="0"/>
        <w:jc w:val="both"/>
        <w:rPr>
          <w:rFonts w:ascii="Arial" w:hAnsi="Arial" w:cs="Arial"/>
          <w:sz w:val="22"/>
          <w:szCs w:val="22"/>
          <w:u w:val="single"/>
        </w:rPr>
      </w:pPr>
      <w:r>
        <w:rPr>
          <w:rFonts w:cs="Arial" w:ascii="Arial" w:hAnsi="Arial"/>
          <w:sz w:val="22"/>
          <w:szCs w:val="22"/>
          <w:u w:val="single"/>
        </w:rPr>
      </w:r>
    </w:p>
    <w:p>
      <w:pPr>
        <w:pStyle w:val="Normal"/>
        <w:spacing w:lineRule="auto" w:line="360"/>
        <w:ind w:right="-57" w:hanging="0"/>
        <w:jc w:val="both"/>
        <w:rPr>
          <w:rFonts w:ascii="Arial" w:hAnsi="Arial" w:cs="Arial"/>
          <w:sz w:val="22"/>
          <w:szCs w:val="22"/>
        </w:rPr>
      </w:pPr>
      <w:r>
        <w:rPr>
          <w:rFonts w:cs="Arial" w:ascii="Arial" w:hAnsi="Arial"/>
          <w:sz w:val="22"/>
          <w:szCs w:val="22"/>
        </w:rPr>
        <w:t xml:space="preserve">                                                          </w:t>
      </w:r>
      <w:r>
        <w:rPr>
          <w:rFonts w:cs="Arial" w:ascii="Arial" w:hAnsi="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para outrem, com ou sem reservas de iguais poderes, dando tudo por bom firme e valioso, e, em especial, para (se for o caso de apenas uma licitação).</w:t>
      </w:r>
    </w:p>
    <w:p>
      <w:pPr>
        <w:pStyle w:val="Normal"/>
        <w:spacing w:lineRule="auto" w:line="360"/>
        <w:ind w:right="-57"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tab/>
        <w:tab/>
        <w:tab/>
        <w:tab/>
        <w:tab/>
        <w:t>..........................   , .... de ............... de 2024.</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t>______________________________________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tabs>
          <w:tab w:val="clear" w:pos="709"/>
          <w:tab w:val="left" w:pos="2304"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sz w:val="22"/>
          <w:szCs w:val="22"/>
        </w:rPr>
      </w:pPr>
      <w:r>
        <w:rPr>
          <w:rFonts w:cs="Arial" w:ascii="Arial" w:hAnsi="Arial"/>
          <w:b/>
          <w:bCs/>
          <w:sz w:val="22"/>
          <w:szCs w:val="22"/>
        </w:rPr>
        <w:t>ANEXO III</w:t>
      </w:r>
    </w:p>
    <w:p>
      <w:pPr>
        <w:pStyle w:val="Normal"/>
        <w:spacing w:lineRule="auto" w:line="360"/>
        <w:ind w:right="-54" w:hanging="0"/>
        <w:jc w:val="both"/>
        <w:rPr>
          <w:rFonts w:ascii="Arial" w:hAnsi="Arial" w:cs="Arial"/>
          <w:sz w:val="22"/>
          <w:szCs w:val="22"/>
        </w:rPr>
      </w:pPr>
      <w:r>
        <w:rPr>
          <w:rFonts w:eastAsia="Arial" w:cs="Arial" w:ascii="Arial" w:hAnsi="Arial"/>
          <w:b/>
          <w:bCs/>
          <w:sz w:val="22"/>
          <w:szCs w:val="22"/>
        </w:rPr>
        <w:t xml:space="preserve"> </w:t>
      </w:r>
    </w:p>
    <w:p>
      <w:pPr>
        <w:pStyle w:val="Normal"/>
        <w:spacing w:lineRule="auto" w:line="360"/>
        <w:ind w:right="-57" w:hanging="0"/>
        <w:jc w:val="both"/>
        <w:rPr>
          <w:rFonts w:ascii="Arial" w:hAnsi="Arial" w:cs="Arial"/>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sz w:val="22"/>
          <w:szCs w:val="22"/>
        </w:rPr>
      </w:pPr>
      <w:r>
        <w:rPr>
          <w:rFonts w:cs="Arial" w:ascii="Arial" w:hAnsi="Arial"/>
          <w:b/>
          <w:bCs/>
          <w:sz w:val="22"/>
          <w:szCs w:val="22"/>
        </w:rPr>
        <w:t>PREGÃO ELETRÔNICO 107/2024</w:t>
      </w:r>
    </w:p>
    <w:p>
      <w:pPr>
        <w:pStyle w:val="Normal"/>
        <w:spacing w:lineRule="auto" w:line="360"/>
        <w:ind w:right="-57" w:hanging="0"/>
        <w:jc w:val="both"/>
        <w:rPr>
          <w:rFonts w:ascii="Arial" w:hAnsi="Arial" w:cs="Arial"/>
          <w:sz w:val="22"/>
          <w:szCs w:val="22"/>
        </w:rPr>
      </w:pPr>
      <w:r>
        <w:rPr>
          <w:rFonts w:cs="Arial" w:ascii="Arial" w:hAnsi="Arial"/>
          <w:b/>
          <w:bCs/>
          <w:sz w:val="22"/>
          <w:szCs w:val="22"/>
        </w:rPr>
        <w:t>EDITAL Nº 139/2024</w:t>
      </w:r>
    </w:p>
    <w:p>
      <w:pPr>
        <w:pStyle w:val="Normal"/>
        <w:spacing w:lineRule="auto" w:line="360"/>
        <w:ind w:right="-57" w:hanging="0"/>
        <w:jc w:val="both"/>
        <w:rPr>
          <w:rFonts w:ascii="Arial" w:hAnsi="Arial" w:cs="Arial"/>
          <w:sz w:val="22"/>
          <w:szCs w:val="22"/>
        </w:rPr>
      </w:pPr>
      <w:r>
        <w:rPr>
          <w:rFonts w:cs="Arial" w:ascii="Arial" w:hAnsi="Arial"/>
          <w:b/>
          <w:bCs/>
          <w:sz w:val="22"/>
          <w:szCs w:val="22"/>
        </w:rPr>
        <w:t>Processo nº 7906/2024</w:t>
      </w:r>
    </w:p>
    <w:p>
      <w:pPr>
        <w:pStyle w:val="Normal"/>
        <w:tabs>
          <w:tab w:val="clear" w:pos="709"/>
          <w:tab w:val="left" w:pos="1978" w:leader="none"/>
        </w:tabs>
        <w:spacing w:lineRule="auto" w:line="360"/>
        <w:ind w:right="-54" w:hanging="0"/>
        <w:jc w:val="both"/>
        <w:rPr>
          <w:rFonts w:ascii="Arial" w:hAnsi="Arial" w:cs="Arial"/>
          <w:sz w:val="22"/>
          <w:szCs w:val="22"/>
        </w:rPr>
      </w:pPr>
      <w:r>
        <w:rPr>
          <w:rFonts w:cs="Arial" w:ascii="Arial" w:hAnsi="Arial"/>
          <w:sz w:val="22"/>
          <w:szCs w:val="22"/>
        </w:rPr>
        <w:t xml:space="preserve">                   </w:t>
      </w:r>
      <w:r>
        <w:rPr>
          <w:rFonts w:cs="Arial" w:ascii="Arial" w:hAnsi="Arial"/>
          <w:sz w:val="22"/>
          <w:szCs w:val="22"/>
        </w:rPr>
        <w:tab/>
      </w:r>
    </w:p>
    <w:p>
      <w:pPr>
        <w:pStyle w:val="Normal"/>
        <w:spacing w:lineRule="auto" w:line="360"/>
        <w:ind w:right="-57" w:hanging="0"/>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sz w:val="22"/>
          <w:szCs w:val="22"/>
        </w:rPr>
      </w:pPr>
      <w:r>
        <w:rPr>
          <w:rFonts w:cs="Arial" w:ascii="Arial" w:hAnsi="Arial"/>
          <w:sz w:val="22"/>
          <w:szCs w:val="22"/>
          <w:u w:val="single"/>
        </w:rPr>
        <w:t>DECLARAÇÃO</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tabs>
          <w:tab w:val="clear" w:pos="709"/>
          <w:tab w:val="center" w:pos="4704" w:leader="none"/>
        </w:tabs>
        <w:spacing w:lineRule="auto" w:line="360"/>
        <w:ind w:right="-54"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Eu, ............(nome)..........., CPF: ____________representante legal da firma ..........................., CNPJ__________ interessada em participar no Processo Licitatório (Pregão nº 107/2024), da PREFEITURA DO MUNICÍPIO DE ITATIBA,  DECLARO,  sob as penas da Lei, que, nos termos do item 6.1.5, subitem 6.1.5.1 do Edital,  que inexiste impedimento legal contra a firma ____________para licitar ou contratar com a Administração</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tab/>
        <w:tab/>
        <w:t xml:space="preserve">  </w:t>
        <w:tab/>
        <w:t xml:space="preserve"> ...........................   , .... de ............... de 2024.</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______________________________________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eastAsia="Arial" w:cs="Arial"/>
          <w:b/>
          <w:bCs/>
          <w:sz w:val="22"/>
          <w:szCs w:val="22"/>
        </w:rPr>
      </w:pPr>
      <w:r>
        <w:rPr>
          <w:rFonts w:cs="Arial" w:ascii="Arial" w:hAnsi="Arial"/>
          <w:b/>
          <w:bCs/>
          <w:sz w:val="22"/>
          <w:szCs w:val="22"/>
        </w:rPr>
        <w:t>ANEXO IV</w:t>
      </w:r>
      <w:r>
        <w:rPr>
          <w:rFonts w:eastAsia="Arial" w:cs="Arial" w:ascii="Arial" w:hAnsi="Arial"/>
          <w:b/>
          <w:bCs/>
          <w:sz w:val="22"/>
          <w:szCs w:val="22"/>
        </w:rPr>
        <w:t xml:space="preserve"> </w:t>
      </w:r>
    </w:p>
    <w:p>
      <w:pPr>
        <w:pStyle w:val="Normal"/>
        <w:tabs>
          <w:tab w:val="clear" w:pos="709"/>
          <w:tab w:val="left" w:pos="2304" w:leader="none"/>
        </w:tabs>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7" w:hanging="0"/>
        <w:jc w:val="both"/>
        <w:rPr>
          <w:rFonts w:ascii="Arial" w:hAnsi="Arial" w:cs="Arial"/>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sz w:val="22"/>
          <w:szCs w:val="22"/>
        </w:rPr>
      </w:pPr>
      <w:r>
        <w:rPr>
          <w:rFonts w:cs="Arial" w:ascii="Arial" w:hAnsi="Arial"/>
          <w:b/>
          <w:bCs/>
          <w:sz w:val="22"/>
          <w:szCs w:val="22"/>
        </w:rPr>
        <w:t>PREGÃO ELETRÔNICO 107/2024</w:t>
      </w:r>
    </w:p>
    <w:p>
      <w:pPr>
        <w:pStyle w:val="Normal"/>
        <w:spacing w:lineRule="auto" w:line="360"/>
        <w:ind w:right="-57" w:hanging="0"/>
        <w:jc w:val="both"/>
        <w:rPr>
          <w:rFonts w:ascii="Arial" w:hAnsi="Arial" w:cs="Arial"/>
          <w:sz w:val="22"/>
          <w:szCs w:val="22"/>
        </w:rPr>
      </w:pPr>
      <w:r>
        <w:rPr>
          <w:rFonts w:cs="Arial" w:ascii="Arial" w:hAnsi="Arial"/>
          <w:b/>
          <w:bCs/>
          <w:sz w:val="22"/>
          <w:szCs w:val="22"/>
        </w:rPr>
        <w:t>EDITAL Nº 139/2024</w:t>
      </w:r>
    </w:p>
    <w:p>
      <w:pPr>
        <w:pStyle w:val="Normal"/>
        <w:spacing w:lineRule="auto" w:line="360"/>
        <w:ind w:right="-57" w:hanging="0"/>
        <w:jc w:val="both"/>
        <w:rPr>
          <w:rFonts w:ascii="Arial" w:hAnsi="Arial" w:cs="Arial"/>
          <w:sz w:val="22"/>
          <w:szCs w:val="22"/>
        </w:rPr>
      </w:pPr>
      <w:r>
        <w:rPr>
          <w:rFonts w:cs="Arial" w:ascii="Arial" w:hAnsi="Arial"/>
          <w:b/>
          <w:bCs/>
          <w:sz w:val="22"/>
          <w:szCs w:val="22"/>
        </w:rPr>
        <w:t>Processo nº 7906/2024</w:t>
      </w:r>
    </w:p>
    <w:p>
      <w:pPr>
        <w:pStyle w:val="Normal"/>
        <w:spacing w:lineRule="auto" w:line="360"/>
        <w:jc w:val="both"/>
        <w:rPr>
          <w:rFonts w:ascii="Arial" w:hAnsi="Arial" w:cs="Arial"/>
          <w:b/>
          <w:sz w:val="22"/>
          <w:szCs w:val="22"/>
        </w:rPr>
      </w:pPr>
      <w:r>
        <w:rPr>
          <w:rFonts w:cs="Arial" w:ascii="Arial" w:hAnsi="Arial"/>
          <w:b/>
          <w:sz w:val="22"/>
          <w:szCs w:val="22"/>
        </w:rPr>
      </w:r>
    </w:p>
    <w:p>
      <w:pPr>
        <w:pStyle w:val="Normal"/>
        <w:spacing w:lineRule="auto" w:line="360"/>
        <w:ind w:right="-54" w:hanging="0"/>
        <w:jc w:val="center"/>
        <w:rPr>
          <w:rFonts w:ascii="Arial" w:hAnsi="Arial" w:cs="Arial"/>
          <w:sz w:val="22"/>
          <w:szCs w:val="22"/>
        </w:rPr>
      </w:pPr>
      <w:r>
        <w:rPr>
          <w:rFonts w:cs="Arial" w:ascii="Arial" w:hAnsi="Arial"/>
          <w:sz w:val="22"/>
          <w:szCs w:val="22"/>
        </w:rPr>
        <w:t xml:space="preserve">DECLARAÇÃO DE QUALIFICAÇÃO MICROEMPRESA </w:t>
      </w:r>
    </w:p>
    <w:p>
      <w:pPr>
        <w:pStyle w:val="Normal"/>
        <w:spacing w:lineRule="auto" w:line="360"/>
        <w:ind w:right="-54" w:hanging="0"/>
        <w:jc w:val="center"/>
        <w:rPr>
          <w:rFonts w:ascii="Arial" w:hAnsi="Arial" w:cs="Arial"/>
          <w:sz w:val="22"/>
          <w:szCs w:val="22"/>
        </w:rPr>
      </w:pPr>
      <w:r>
        <w:rPr>
          <w:rFonts w:cs="Arial" w:ascii="Arial" w:hAnsi="Arial"/>
          <w:sz w:val="22"/>
          <w:szCs w:val="22"/>
        </w:rPr>
        <w:t>OU</w:t>
      </w:r>
    </w:p>
    <w:p>
      <w:pPr>
        <w:pStyle w:val="Normal"/>
        <w:spacing w:lineRule="auto" w:line="360"/>
        <w:ind w:right="-54" w:hanging="0"/>
        <w:jc w:val="center"/>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EMPRESA DE PEQUENO PORTE</w:t>
      </w:r>
    </w:p>
    <w:p>
      <w:pPr>
        <w:pStyle w:val="Normal"/>
        <w:spacing w:lineRule="auto" w:line="360"/>
        <w:ind w:right="-54" w:hanging="0"/>
        <w:jc w:val="both"/>
        <w:rPr>
          <w:rFonts w:ascii="Arial" w:hAnsi="Arial" w:cs="Arial"/>
          <w:sz w:val="22"/>
          <w:szCs w:val="22"/>
        </w:rPr>
      </w:pPr>
      <w:r>
        <w:rPr>
          <w:rFonts w:cs="Arial" w:ascii="Arial" w:hAnsi="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que esta empresa, na presente data enquadra-se como:</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  ) MICROEMPRESA, conforme inciso I do artigo 3º da Lei Complementar nº 123, de 14.12.2006. </w:t>
      </w:r>
    </w:p>
    <w:p>
      <w:pPr>
        <w:pStyle w:val="Normal"/>
        <w:spacing w:lineRule="auto" w:line="360"/>
        <w:ind w:right="-54" w:hanging="0"/>
        <w:jc w:val="both"/>
        <w:rPr>
          <w:rFonts w:ascii="Arial" w:hAnsi="Arial" w:cs="Arial"/>
          <w:sz w:val="22"/>
          <w:szCs w:val="22"/>
        </w:rPr>
      </w:pPr>
      <w:r>
        <w:rPr>
          <w:rFonts w:cs="Arial" w:ascii="Arial" w:hAnsi="Arial"/>
          <w:sz w:val="22"/>
          <w:szCs w:val="22"/>
        </w:rPr>
        <w:t>(    ) EMPRESA DE PEQUENO PORTE, conforme inciso II do artigo 3º da Lei Complementar nº 123, de 14.12.2006.</w:t>
      </w:r>
    </w:p>
    <w:p>
      <w:pPr>
        <w:pStyle w:val="Normal"/>
        <w:spacing w:lineRule="auto" w:line="360"/>
        <w:ind w:right="-54" w:hanging="0"/>
        <w:jc w:val="both"/>
        <w:rPr>
          <w:rFonts w:ascii="Arial" w:hAnsi="Arial" w:cs="Arial"/>
          <w:sz w:val="22"/>
          <w:szCs w:val="22"/>
        </w:rPr>
      </w:pPr>
      <w:r>
        <w:rPr>
          <w:rFonts w:cs="Arial" w:ascii="Arial" w:hAnsi="Arial"/>
          <w:sz w:val="22"/>
          <w:szCs w:val="22"/>
        </w:rPr>
        <w:tab/>
        <w:tab/>
        <w:tab/>
        <w:tab/>
        <w:tab/>
        <w:t>..............................  , .... de ............... de 2024.</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3540" w:right="-54" w:hanging="0"/>
        <w:jc w:val="both"/>
        <w:rPr>
          <w:rFonts w:ascii="Arial" w:hAnsi="Arial" w:cs="Arial"/>
          <w:sz w:val="22"/>
          <w:szCs w:val="22"/>
        </w:rPr>
      </w:pPr>
      <w:r>
        <w:rPr>
          <w:rFonts w:cs="Arial" w:ascii="Arial" w:hAnsi="Arial"/>
          <w:sz w:val="22"/>
          <w:szCs w:val="22"/>
        </w:rPr>
        <w:t>_______________________________________</w:t>
      </w:r>
    </w:p>
    <w:p>
      <w:pPr>
        <w:pStyle w:val="Normal"/>
        <w:spacing w:lineRule="auto" w:line="360"/>
        <w:ind w:left="2832" w:right="-54" w:firstLine="708"/>
        <w:jc w:val="both"/>
        <w:rPr>
          <w:rFonts w:ascii="Arial" w:hAnsi="Arial" w:cs="Arial"/>
          <w:sz w:val="22"/>
          <w:szCs w:val="22"/>
        </w:rPr>
      </w:pPr>
      <w:r>
        <w:rPr>
          <w:rFonts w:cs="Arial" w:ascii="Arial" w:hAnsi="Arial"/>
          <w:sz w:val="22"/>
          <w:szCs w:val="22"/>
        </w:rPr>
        <w:t>Assinatura do representante legal</w:t>
      </w:r>
    </w:p>
    <w:p>
      <w:pPr>
        <w:pStyle w:val="Normal"/>
        <w:spacing w:lineRule="auto" w:line="360"/>
        <w:ind w:left="2832" w:right="-54" w:firstLine="708"/>
        <w:jc w:val="both"/>
        <w:rPr>
          <w:rFonts w:ascii="Arial" w:hAnsi="Arial" w:cs="Arial"/>
          <w:sz w:val="22"/>
          <w:szCs w:val="22"/>
        </w:rPr>
      </w:pPr>
      <w:r>
        <w:rPr>
          <w:rFonts w:cs="Arial" w:ascii="Arial" w:hAnsi="Arial"/>
          <w:sz w:val="22"/>
          <w:szCs w:val="22"/>
        </w:rPr>
        <w:t>Nome</w:t>
      </w:r>
    </w:p>
    <w:p>
      <w:pPr>
        <w:pStyle w:val="Normal"/>
        <w:spacing w:lineRule="auto" w:line="360"/>
        <w:ind w:left="3540" w:right="-54" w:hanging="0"/>
        <w:jc w:val="both"/>
        <w:rPr>
          <w:rFonts w:ascii="Arial" w:hAnsi="Arial" w:cs="Arial"/>
          <w:sz w:val="22"/>
          <w:szCs w:val="22"/>
        </w:rPr>
      </w:pPr>
      <w:r>
        <w:rPr>
          <w:rFonts w:cs="Arial" w:ascii="Arial" w:hAnsi="Arial"/>
          <w:sz w:val="22"/>
          <w:szCs w:val="22"/>
        </w:rPr>
        <w:t>RG nº...................................</w:t>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t xml:space="preserve">ANEXO V </w:t>
      </w:r>
    </w:p>
    <w:p>
      <w:pPr>
        <w:pStyle w:val="Normal"/>
        <w:spacing w:lineRule="auto" w:line="360"/>
        <w:ind w:right="-54" w:hanging="0"/>
        <w:jc w:val="both"/>
        <w:rPr>
          <w:rFonts w:ascii="Arial" w:hAnsi="Arial" w:cs="Arial"/>
          <w:sz w:val="22"/>
          <w:szCs w:val="22"/>
        </w:rPr>
      </w:pPr>
      <w:r>
        <w:rPr>
          <w:rFonts w:cs="Arial" w:ascii="Arial" w:hAnsi="Arial"/>
          <w:b/>
          <w:bCs/>
          <w:sz w:val="22"/>
          <w:szCs w:val="22"/>
        </w:rPr>
        <w:t>MODELO - Proposta</w:t>
      </w:r>
    </w:p>
    <w:p>
      <w:pPr>
        <w:pStyle w:val="Normal"/>
        <w:spacing w:lineRule="auto" w:line="360"/>
        <w:ind w:right="-57" w:hanging="0"/>
        <w:jc w:val="both"/>
        <w:rPr>
          <w:rFonts w:ascii="Arial" w:hAnsi="Arial" w:cs="Arial"/>
          <w:sz w:val="22"/>
          <w:szCs w:val="22"/>
        </w:rPr>
      </w:pPr>
      <w:r>
        <w:rPr>
          <w:rFonts w:cs="Arial" w:ascii="Arial" w:hAnsi="Arial"/>
          <w:b/>
          <w:bCs/>
          <w:sz w:val="22"/>
          <w:szCs w:val="22"/>
        </w:rPr>
        <w:t>Pregão nº 107/2024</w:t>
      </w:r>
    </w:p>
    <w:p>
      <w:pPr>
        <w:pStyle w:val="Normal"/>
        <w:spacing w:lineRule="auto" w:line="360"/>
        <w:ind w:right="-57" w:hanging="0"/>
        <w:jc w:val="both"/>
        <w:rPr>
          <w:rFonts w:ascii="Arial" w:hAnsi="Arial" w:cs="Arial"/>
          <w:sz w:val="22"/>
          <w:szCs w:val="22"/>
        </w:rPr>
      </w:pPr>
      <w:r>
        <w:rPr>
          <w:rFonts w:cs="Arial" w:ascii="Arial" w:hAnsi="Arial"/>
          <w:b/>
          <w:bCs/>
          <w:sz w:val="22"/>
          <w:szCs w:val="22"/>
        </w:rPr>
        <w:t>Processo nº 7906/2024</w:t>
      </w:r>
    </w:p>
    <w:p>
      <w:pPr>
        <w:pStyle w:val="Normal"/>
        <w:spacing w:lineRule="auto" w:line="360"/>
        <w:ind w:right="-54" w:hanging="0"/>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hanging="0"/>
        <w:jc w:val="both"/>
        <w:rPr>
          <w:rFonts w:ascii="Arial" w:hAnsi="Arial" w:cs="Arial"/>
          <w:sz w:val="22"/>
          <w:szCs w:val="22"/>
        </w:rPr>
      </w:pPr>
      <w:r>
        <w:rPr>
          <w:rFonts w:cs="Arial" w:ascii="Arial" w:hAnsi="Arial"/>
          <w:sz w:val="22"/>
          <w:szCs w:val="22"/>
        </w:rPr>
        <w:t>À</w:t>
      </w:r>
    </w:p>
    <w:p>
      <w:pPr>
        <w:pStyle w:val="Normal"/>
        <w:spacing w:lineRule="auto" w:line="360"/>
        <w:ind w:right="-54" w:hanging="0"/>
        <w:jc w:val="both"/>
        <w:rPr>
          <w:rFonts w:ascii="Arial" w:hAnsi="Arial" w:cs="Arial"/>
          <w:sz w:val="22"/>
          <w:szCs w:val="22"/>
        </w:rPr>
      </w:pPr>
      <w:r>
        <w:rPr>
          <w:rFonts w:cs="Arial" w:ascii="Arial" w:hAnsi="Arial"/>
          <w:sz w:val="22"/>
          <w:szCs w:val="22"/>
        </w:rPr>
        <w:t>PREFEITURA MUNICIPAL DE ITATIBA</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E-mail: _______________________________________________________________________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Banco: ____ - ________________ Agência: ____ - ______ Conta:________________________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Telefone para contato ____________________________________________________________</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t>Segue nossa proposta para fornecimento dos serviços a seguir:</w:t>
      </w:r>
    </w:p>
    <w:p>
      <w:pPr>
        <w:pStyle w:val="Normal"/>
        <w:spacing w:lineRule="auto" w:line="360"/>
        <w:ind w:right="-54" w:hanging="0"/>
        <w:jc w:val="both"/>
        <w:rPr>
          <w:rFonts w:ascii="Arial" w:hAnsi="Arial" w:cs="Arial"/>
          <w:sz w:val="22"/>
          <w:szCs w:val="22"/>
        </w:rPr>
      </w:pPr>
      <w:r>
        <w:rPr>
          <w:rFonts w:cs="Arial" w:ascii="Arial" w:hAnsi="Arial"/>
          <w:sz w:val="22"/>
          <w:szCs w:val="22"/>
        </w:rPr>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998"/>
        <w:gridCol w:w="3533"/>
        <w:gridCol w:w="992"/>
        <w:gridCol w:w="1136"/>
        <w:gridCol w:w="283"/>
        <w:gridCol w:w="1277"/>
        <w:gridCol w:w="1273"/>
      </w:tblGrid>
      <w:tr>
        <w:trPr>
          <w:cantSplit w:val="true"/>
        </w:trPr>
        <w:tc>
          <w:tcPr>
            <w:tcW w:w="9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LOTE 1</w:t>
            </w:r>
          </w:p>
        </w:tc>
        <w:tc>
          <w:tcPr>
            <w:tcW w:w="35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sz w:val="18"/>
                <w:szCs w:val="18"/>
              </w:rPr>
            </w:pPr>
            <w:r>
              <w:rPr>
                <w:rFonts w:cs="Arial" w:ascii="Arial" w:hAnsi="Arial"/>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t>Unidade</w:t>
            </w:r>
          </w:p>
        </w:tc>
        <w:tc>
          <w:tcPr>
            <w:tcW w:w="1136" w:type="dxa"/>
            <w:tcBorders>
              <w:top w:val="single" w:sz="4" w:space="0" w:color="000000"/>
              <w:left w:val="single" w:sz="4" w:space="0" w:color="000000"/>
              <w:bottom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Unitário</w:t>
            </w:r>
          </w:p>
        </w:tc>
        <w:tc>
          <w:tcPr>
            <w:tcW w:w="127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Total</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1.1</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1.24.22.2256-90 - PEÇAS PARA MANUTENÇÃO VEÍCULOS PESADOS - MECÂNICO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UN</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1</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center"/>
              <w:rPr>
                <w:rFonts w:ascii="Arial" w:hAnsi="Arial" w:cs="Arial"/>
                <w:sz w:val="18"/>
                <w:szCs w:val="18"/>
              </w:rPr>
            </w:pPr>
            <w:r>
              <w:rPr>
                <w:rFonts w:cs="Arial" w:ascii="Arial" w:hAnsi="Arial"/>
                <w:sz w:val="18"/>
                <w:szCs w:val="18"/>
              </w:rPr>
              <w:t xml:space="preserve">Percentual de desconto </w:t>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 xml:space="preserve">PEÇAS PARA MANUTENÇÃO VEÍCULOS PESADOS – MECÂNICO, previsão de valor para aquisição de peças R$ 437.196,16 </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1.2</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2.02.13.0218-5 - HORAS TÉCNICAS VEÍCULOS PESADOS (CONTRATO)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HR</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8.938</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 xml:space="preserve">HORAS TÉCNICAS VEÍCULOS PESADOS (ESTIMADA), para execução de serviços mecânicos preventivos e corretivos em veículos pesados (ônibus, micro-ônibus, Vans, caminhões, etc). </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 xml:space="preserve">Valor Global do Lote                                                                                                        </w:t>
            </w:r>
          </w:p>
        </w:tc>
      </w:tr>
      <w:tr>
        <w:trPr>
          <w:cantSplit w:val="true"/>
        </w:trPr>
        <w:tc>
          <w:tcPr>
            <w:tcW w:w="9492" w:type="dxa"/>
            <w:gridSpan w:val="7"/>
            <w:tcBorders>
              <w:top w:val="single" w:sz="4" w:space="0" w:color="000000"/>
              <w:bottom w:val="single" w:sz="4" w:space="0" w:color="000000"/>
            </w:tcBorders>
            <w:shd w:color="auto" w:fill="FFFFFF" w:themeFill="background1" w:val="clear"/>
          </w:tcPr>
          <w:p>
            <w:pPr>
              <w:pStyle w:val="Normal"/>
              <w:widowControl w:val="false"/>
              <w:spacing w:lineRule="auto" w:line="360"/>
              <w:jc w:val="both"/>
              <w:rPr>
                <w:rFonts w:ascii="Arial" w:hAnsi="Arial" w:cs="Arial"/>
                <w:b/>
                <w:sz w:val="18"/>
                <w:szCs w:val="18"/>
              </w:rPr>
            </w:pPr>
            <w:r>
              <w:rPr>
                <w:rFonts w:cs="Arial" w:ascii="Arial" w:hAnsi="Arial"/>
                <w:b/>
                <w:sz w:val="18"/>
                <w:szCs w:val="18"/>
              </w:rPr>
            </w:r>
          </w:p>
          <w:p>
            <w:pPr>
              <w:pStyle w:val="Normal"/>
              <w:widowControl w:val="false"/>
              <w:spacing w:lineRule="auto" w:line="360"/>
              <w:jc w:val="both"/>
              <w:rPr>
                <w:rFonts w:ascii="Arial" w:hAnsi="Arial" w:cs="Arial"/>
                <w:b/>
                <w:sz w:val="18"/>
                <w:szCs w:val="18"/>
              </w:rPr>
            </w:pPr>
            <w:r>
              <w:rPr>
                <w:rFonts w:cs="Arial" w:ascii="Arial" w:hAnsi="Arial"/>
                <w:b/>
                <w:sz w:val="18"/>
                <w:szCs w:val="18"/>
              </w:rPr>
            </w:r>
          </w:p>
          <w:p>
            <w:pPr>
              <w:pStyle w:val="Normal"/>
              <w:widowControl w:val="false"/>
              <w:spacing w:lineRule="auto" w:line="360"/>
              <w:jc w:val="both"/>
              <w:rPr>
                <w:rFonts w:ascii="Arial" w:hAnsi="Arial" w:cs="Arial"/>
                <w:b/>
                <w:sz w:val="18"/>
                <w:szCs w:val="18"/>
              </w:rPr>
            </w:pPr>
            <w:r>
              <w:rPr>
                <w:rFonts w:cs="Arial" w:ascii="Arial" w:hAnsi="Arial"/>
                <w:b/>
                <w:sz w:val="18"/>
                <w:szCs w:val="18"/>
              </w:rPr>
            </w:r>
          </w:p>
          <w:p>
            <w:pPr>
              <w:pStyle w:val="Normal"/>
              <w:widowControl w:val="false"/>
              <w:spacing w:lineRule="auto" w:line="360"/>
              <w:jc w:val="both"/>
              <w:rPr>
                <w:rFonts w:ascii="Arial" w:hAnsi="Arial" w:cs="Arial"/>
                <w:b/>
                <w:sz w:val="18"/>
                <w:szCs w:val="18"/>
              </w:rPr>
            </w:pPr>
            <w:r>
              <w:rPr>
                <w:rFonts w:cs="Arial" w:ascii="Arial" w:hAnsi="Arial"/>
                <w:b/>
                <w:sz w:val="18"/>
                <w:szCs w:val="18"/>
              </w:rPr>
            </w:r>
          </w:p>
        </w:tc>
      </w:tr>
      <w:tr>
        <w:trPr>
          <w:cantSplit w:val="true"/>
        </w:trPr>
        <w:tc>
          <w:tcPr>
            <w:tcW w:w="9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LOTE 2</w:t>
            </w:r>
          </w:p>
        </w:tc>
        <w:tc>
          <w:tcPr>
            <w:tcW w:w="35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sz w:val="18"/>
                <w:szCs w:val="18"/>
              </w:rPr>
            </w:pPr>
            <w:r>
              <w:rPr>
                <w:rFonts w:cs="Arial" w:ascii="Arial" w:hAnsi="Arial"/>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t>Unidade</w:t>
            </w:r>
          </w:p>
        </w:tc>
        <w:tc>
          <w:tcPr>
            <w:tcW w:w="1136" w:type="dxa"/>
            <w:tcBorders>
              <w:top w:val="single" w:sz="4" w:space="0" w:color="000000"/>
              <w:left w:val="single" w:sz="4" w:space="0" w:color="000000"/>
              <w:bottom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4" w:space="0" w:color="000000"/>
              <w:right w:val="single" w:sz="4" w:space="0" w:color="000000"/>
            </w:tcBorders>
            <w:shd w:color="auto" w:fill="B7B7B7" w:val="clear"/>
          </w:tcPr>
          <w:p>
            <w:pPr>
              <w:pStyle w:val="Normal"/>
              <w:widowControl w:val="false"/>
              <w:spacing w:lineRule="auto" w:line="360"/>
              <w:jc w:val="center"/>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center"/>
              <w:rPr>
                <w:rFonts w:ascii="Arial" w:hAnsi="Arial" w:cs="Arial"/>
                <w:sz w:val="18"/>
                <w:szCs w:val="18"/>
              </w:rPr>
            </w:pPr>
            <w:r>
              <w:rPr>
                <w:rFonts w:cs="Arial" w:ascii="Arial" w:hAnsi="Arial"/>
                <w:sz w:val="18"/>
                <w:szCs w:val="18"/>
              </w:rPr>
              <w:t>Preço Unitário</w:t>
            </w:r>
          </w:p>
        </w:tc>
        <w:tc>
          <w:tcPr>
            <w:tcW w:w="127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Total</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2.1</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1.24.22.2255-0 - PEÇAS PARA MANUTENÇÃO VEÍCULOS PESADOS - ELÉTRICO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UN</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1</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jc w:val="center"/>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center"/>
              <w:rPr>
                <w:rFonts w:ascii="Arial" w:hAnsi="Arial" w:cs="Arial"/>
                <w:sz w:val="18"/>
                <w:szCs w:val="18"/>
              </w:rPr>
            </w:pPr>
            <w:r>
              <w:rPr>
                <w:rFonts w:cs="Arial" w:ascii="Arial" w:hAnsi="Arial"/>
                <w:sz w:val="18"/>
                <w:szCs w:val="18"/>
              </w:rPr>
              <w:t>Percentual de desconto</w:t>
            </w:r>
          </w:p>
          <w:p>
            <w:pPr>
              <w:pStyle w:val="Normal"/>
              <w:widowControl w:val="false"/>
              <w:spacing w:lineRule="auto" w:line="360"/>
              <w:jc w:val="center"/>
              <w:rPr>
                <w:rFonts w:ascii="Arial" w:hAnsi="Arial" w:cs="Arial"/>
                <w:sz w:val="18"/>
                <w:szCs w:val="18"/>
              </w:rPr>
            </w:pPr>
            <w:r>
              <w:rPr>
                <w:rFonts w:cs="Arial" w:ascii="Arial" w:hAnsi="Arial"/>
                <w:sz w:val="18"/>
                <w:szCs w:val="18"/>
              </w:rPr>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PEÇAS PARA MANUTENÇÃO VEÍCULOS PESADOS – ELÉTRICO, previsão de valor para aquisição de peças R$ 200.204,84</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2.2</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2.02.13.1095-1 - HORAS TÉCNICAS SERVIÇOS ELÉTRICOS EM VEÍCULOS PESADOS (CONTR ATO)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HR</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4.170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HORAS TÉCNICAS SERVIÇOS ELÉTRICOS EM VEÍCULOS PESADOS (CONTRATO)</w:t>
            </w:r>
          </w:p>
          <w:p>
            <w:pPr>
              <w:pStyle w:val="Normal"/>
              <w:widowControl w:val="false"/>
              <w:spacing w:lineRule="auto" w:line="360"/>
              <w:jc w:val="both"/>
              <w:rPr>
                <w:rFonts w:ascii="Arial" w:hAnsi="Arial" w:cs="Arial"/>
                <w:sz w:val="18"/>
                <w:szCs w:val="18"/>
              </w:rPr>
            </w:pPr>
            <w:r>
              <w:rPr>
                <w:rFonts w:cs="Arial" w:ascii="Arial" w:hAnsi="Arial"/>
                <w:sz w:val="18"/>
                <w:szCs w:val="18"/>
              </w:rPr>
              <w:t xml:space="preserve">Especificações: HORAS TÉCNICAS SERVIÇOS ELÉTRICOS EM VEÍCULOS PESADOS (ESTIMADA), para execução de serviços elétricos preventivos e corretivos em veículos pesados (ônibus, micro-ônibus, Vans, caminhões). </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 xml:space="preserve">Valor Global do Lote                                                                                                        R$ </w:t>
            </w:r>
          </w:p>
        </w:tc>
      </w:tr>
      <w:tr>
        <w:trPr>
          <w:cantSplit w:val="true"/>
        </w:trPr>
        <w:tc>
          <w:tcPr>
            <w:tcW w:w="9492" w:type="dxa"/>
            <w:gridSpan w:val="7"/>
            <w:tcBorders>
              <w:top w:val="single" w:sz="4" w:space="0" w:color="000000"/>
              <w:bottom w:val="single" w:sz="4" w:space="0" w:color="000000"/>
            </w:tcBorders>
            <w:shd w:color="auto" w:fill="FFFFFF" w:themeFill="background1" w:val="clear"/>
          </w:tcPr>
          <w:p>
            <w:pPr>
              <w:pStyle w:val="Normal"/>
              <w:widowControl w:val="false"/>
              <w:spacing w:lineRule="auto" w:line="360"/>
              <w:jc w:val="both"/>
              <w:rPr>
                <w:rFonts w:ascii="Arial" w:hAnsi="Arial" w:cs="Arial"/>
                <w:b/>
                <w:sz w:val="18"/>
                <w:szCs w:val="18"/>
              </w:rPr>
            </w:pPr>
            <w:r>
              <w:rPr>
                <w:rFonts w:cs="Arial" w:ascii="Arial" w:hAnsi="Arial"/>
                <w:b/>
                <w:sz w:val="18"/>
                <w:szCs w:val="18"/>
              </w:rPr>
            </w:r>
          </w:p>
        </w:tc>
      </w:tr>
      <w:tr>
        <w:trPr>
          <w:cantSplit w:val="true"/>
        </w:trPr>
        <w:tc>
          <w:tcPr>
            <w:tcW w:w="9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LOTE 03</w:t>
            </w:r>
          </w:p>
        </w:tc>
        <w:tc>
          <w:tcPr>
            <w:tcW w:w="35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sz w:val="18"/>
                <w:szCs w:val="18"/>
              </w:rPr>
            </w:pPr>
            <w:r>
              <w:rPr>
                <w:rFonts w:cs="Arial" w:ascii="Arial" w:hAnsi="Arial"/>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t>Unidade</w:t>
            </w:r>
          </w:p>
        </w:tc>
        <w:tc>
          <w:tcPr>
            <w:tcW w:w="1136" w:type="dxa"/>
            <w:tcBorders>
              <w:top w:val="single" w:sz="4" w:space="0" w:color="000000"/>
              <w:left w:val="single" w:sz="4" w:space="0" w:color="000000"/>
              <w:bottom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Unitário</w:t>
            </w:r>
          </w:p>
        </w:tc>
        <w:tc>
          <w:tcPr>
            <w:tcW w:w="127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Total</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3.1</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1.24.22.2257-7 - PEÇAS PARA MANUTENÇÃO VEÍCULOS LEVES - MECÂNICO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UN</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1</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center"/>
              <w:rPr>
                <w:rFonts w:ascii="Arial" w:hAnsi="Arial" w:cs="Arial"/>
                <w:sz w:val="18"/>
                <w:szCs w:val="18"/>
              </w:rPr>
            </w:pPr>
            <w:r>
              <w:rPr>
                <w:rFonts w:cs="Arial" w:ascii="Arial" w:hAnsi="Arial"/>
                <w:sz w:val="18"/>
                <w:szCs w:val="18"/>
              </w:rPr>
              <w:t>Percentual de desconto</w:t>
            </w:r>
          </w:p>
          <w:p>
            <w:pPr>
              <w:pStyle w:val="Normal"/>
              <w:widowControl w:val="false"/>
              <w:spacing w:lineRule="auto" w:line="360"/>
              <w:jc w:val="center"/>
              <w:rPr>
                <w:rFonts w:ascii="Arial" w:hAnsi="Arial" w:cs="Arial"/>
                <w:sz w:val="18"/>
                <w:szCs w:val="18"/>
              </w:rPr>
            </w:pPr>
            <w:r>
              <w:rPr>
                <w:rFonts w:cs="Arial" w:ascii="Arial" w:hAnsi="Arial"/>
                <w:sz w:val="18"/>
                <w:szCs w:val="18"/>
              </w:rPr>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PEÇAS PARA MANUTENÇÃO VEÍCULOS LEVES, previsão de valor para aquisição de peças R$ 334.530,80</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3.2</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2.02.13.0219-3 - HORAS TÉCNICAS VEÍCULOS LEVES (CONTRATO)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HR</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4.564</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 xml:space="preserve">HORAS TÉCNICAS VEÍCULOS LEVES (ESTIMADA), para execução de serviços mecânicos preventivos e corretivos em veículos leves (tipo veículos de passeio e peruas tipo Kombi). </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 xml:space="preserve">Valor Global do Lote                                                                                                                   </w:t>
            </w:r>
          </w:p>
        </w:tc>
      </w:tr>
      <w:tr>
        <w:trPr>
          <w:cantSplit w:val="true"/>
        </w:trPr>
        <w:tc>
          <w:tcPr>
            <w:tcW w:w="9492" w:type="dxa"/>
            <w:gridSpan w:val="7"/>
            <w:tcBorders>
              <w:top w:val="single" w:sz="4" w:space="0" w:color="000000"/>
              <w:bottom w:val="single" w:sz="4" w:space="0" w:color="000000"/>
            </w:tcBorders>
            <w:shd w:color="auto" w:fill="FFFFFF" w:themeFill="background1" w:val="clear"/>
          </w:tcPr>
          <w:p>
            <w:pPr>
              <w:pStyle w:val="Normal"/>
              <w:widowControl w:val="false"/>
              <w:spacing w:lineRule="auto" w:line="360"/>
              <w:jc w:val="both"/>
              <w:rPr>
                <w:rFonts w:ascii="Arial" w:hAnsi="Arial" w:cs="Arial"/>
                <w:b/>
                <w:sz w:val="18"/>
                <w:szCs w:val="18"/>
              </w:rPr>
            </w:pPr>
            <w:r>
              <w:rPr>
                <w:rFonts w:cs="Arial" w:ascii="Arial" w:hAnsi="Arial"/>
                <w:b/>
                <w:sz w:val="18"/>
                <w:szCs w:val="18"/>
              </w:rPr>
            </w:r>
          </w:p>
        </w:tc>
      </w:tr>
      <w:tr>
        <w:trPr>
          <w:cantSplit w:val="true"/>
        </w:trPr>
        <w:tc>
          <w:tcPr>
            <w:tcW w:w="9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LOTE 04</w:t>
            </w:r>
          </w:p>
        </w:tc>
        <w:tc>
          <w:tcPr>
            <w:tcW w:w="35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sz w:val="18"/>
                <w:szCs w:val="18"/>
              </w:rPr>
            </w:pPr>
            <w:r>
              <w:rPr>
                <w:rFonts w:cs="Arial" w:ascii="Arial" w:hAnsi="Arial"/>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t>Unidade</w:t>
            </w:r>
          </w:p>
        </w:tc>
        <w:tc>
          <w:tcPr>
            <w:tcW w:w="1136" w:type="dxa"/>
            <w:tcBorders>
              <w:top w:val="single" w:sz="4" w:space="0" w:color="000000"/>
              <w:left w:val="single" w:sz="4" w:space="0" w:color="000000"/>
              <w:bottom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Unitário</w:t>
            </w:r>
          </w:p>
        </w:tc>
        <w:tc>
          <w:tcPr>
            <w:tcW w:w="127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Total</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4.1</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1.24.22.2258-5 - PEÇAS PARA MANUTENÇÃO VEÍCULOS LEVES - ELÉTRICA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UN</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1</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center"/>
              <w:rPr>
                <w:rFonts w:ascii="Arial" w:hAnsi="Arial" w:cs="Arial"/>
                <w:sz w:val="18"/>
                <w:szCs w:val="18"/>
              </w:rPr>
            </w:pPr>
            <w:r>
              <w:rPr>
                <w:rFonts w:cs="Arial" w:ascii="Arial" w:hAnsi="Arial"/>
                <w:sz w:val="18"/>
                <w:szCs w:val="18"/>
              </w:rPr>
              <w:t>Percentual de desconto</w:t>
            </w:r>
          </w:p>
          <w:p>
            <w:pPr>
              <w:pStyle w:val="Normal"/>
              <w:widowControl w:val="false"/>
              <w:spacing w:lineRule="auto" w:line="360"/>
              <w:jc w:val="center"/>
              <w:rPr>
                <w:rFonts w:ascii="Arial" w:hAnsi="Arial" w:cs="Arial"/>
                <w:sz w:val="18"/>
                <w:szCs w:val="18"/>
              </w:rPr>
            </w:pPr>
            <w:r>
              <w:rPr>
                <w:rFonts w:cs="Arial" w:ascii="Arial" w:hAnsi="Arial"/>
                <w:sz w:val="18"/>
                <w:szCs w:val="18"/>
              </w:rPr>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PEÇAS PARA MANUTENÇÃO VEÍCULOS LEVES - ELÉTRICA, previsão de valor para aquisição de peças R$ 206.125,18</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4.2</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2.02.13.1096-0 - HORAS TÉCNICAS SERVIÇOS ELÉTRICOS EM VEÍCULOS LEVES (CONTRAT 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HR</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3.482</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HORAS TÉCNICAS SERVIÇOS ELÉTRICOS EM VEÍCULOS LEVES (CONTRATO)</w:t>
            </w:r>
          </w:p>
          <w:p>
            <w:pPr>
              <w:pStyle w:val="Normal"/>
              <w:widowControl w:val="false"/>
              <w:spacing w:lineRule="auto" w:line="360"/>
              <w:jc w:val="both"/>
              <w:rPr>
                <w:rFonts w:ascii="Arial" w:hAnsi="Arial" w:cs="Arial"/>
                <w:sz w:val="18"/>
                <w:szCs w:val="18"/>
              </w:rPr>
            </w:pPr>
            <w:r>
              <w:rPr>
                <w:rFonts w:cs="Arial" w:ascii="Arial" w:hAnsi="Arial"/>
                <w:sz w:val="18"/>
                <w:szCs w:val="18"/>
              </w:rPr>
              <w:t>Especificações: HORAS TÉCNICAS SERVIÇOS ELÉTRICOS EM VEÍCULOS LEVES (ESTIMADA), para execução de serviços elétricos preventivos e corretivos em veículos leves (tipo veículos de passeio e peruas tipo Kombi).</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 xml:space="preserve">Valor Global do Lote                                                                                                        R$ </w:t>
            </w:r>
          </w:p>
        </w:tc>
      </w:tr>
      <w:tr>
        <w:trPr>
          <w:cantSplit w:val="true"/>
        </w:trPr>
        <w:tc>
          <w:tcPr>
            <w:tcW w:w="9492" w:type="dxa"/>
            <w:gridSpan w:val="7"/>
            <w:tcBorders>
              <w:top w:val="single" w:sz="4" w:space="0" w:color="000000"/>
              <w:bottom w:val="single" w:sz="4" w:space="0" w:color="000000"/>
            </w:tcBorders>
            <w:shd w:color="auto" w:fill="FFFFFF" w:themeFill="background1" w:val="clear"/>
          </w:tcPr>
          <w:p>
            <w:pPr>
              <w:pStyle w:val="Normal"/>
              <w:widowControl w:val="false"/>
              <w:spacing w:lineRule="auto" w:line="360"/>
              <w:jc w:val="both"/>
              <w:rPr>
                <w:rFonts w:ascii="Arial" w:hAnsi="Arial" w:cs="Arial"/>
                <w:b/>
                <w:sz w:val="18"/>
                <w:szCs w:val="18"/>
              </w:rPr>
            </w:pPr>
            <w:r>
              <w:rPr>
                <w:rFonts w:cs="Arial" w:ascii="Arial" w:hAnsi="Arial"/>
                <w:b/>
                <w:sz w:val="18"/>
                <w:szCs w:val="18"/>
              </w:rPr>
            </w:r>
          </w:p>
        </w:tc>
      </w:tr>
      <w:tr>
        <w:trPr>
          <w:cantSplit w:val="true"/>
        </w:trPr>
        <w:tc>
          <w:tcPr>
            <w:tcW w:w="9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LOTE 05</w:t>
            </w:r>
          </w:p>
        </w:tc>
        <w:tc>
          <w:tcPr>
            <w:tcW w:w="35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sz w:val="18"/>
                <w:szCs w:val="18"/>
              </w:rPr>
            </w:pPr>
            <w:r>
              <w:rPr>
                <w:rFonts w:cs="Arial" w:ascii="Arial" w:hAnsi="Arial"/>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t>Unidade</w:t>
            </w:r>
          </w:p>
        </w:tc>
        <w:tc>
          <w:tcPr>
            <w:tcW w:w="1136" w:type="dxa"/>
            <w:tcBorders>
              <w:top w:val="single" w:sz="4" w:space="0" w:color="000000"/>
              <w:left w:val="single" w:sz="4" w:space="0" w:color="000000"/>
              <w:bottom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Unitário</w:t>
            </w:r>
          </w:p>
        </w:tc>
        <w:tc>
          <w:tcPr>
            <w:tcW w:w="127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Total</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5.1</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1.24.22.2259-3 - PEÇAS PARA MANUTENÇÃO VEÍCULOS MÁQUINAS - MECÂNICO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UN</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1</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center"/>
              <w:rPr>
                <w:rFonts w:ascii="Arial" w:hAnsi="Arial" w:cs="Arial"/>
                <w:sz w:val="18"/>
                <w:szCs w:val="18"/>
              </w:rPr>
            </w:pPr>
            <w:r>
              <w:rPr>
                <w:rFonts w:cs="Arial" w:ascii="Arial" w:hAnsi="Arial"/>
                <w:sz w:val="18"/>
                <w:szCs w:val="18"/>
              </w:rPr>
              <w:t>Percentual de desconto</w:t>
            </w:r>
          </w:p>
          <w:p>
            <w:pPr>
              <w:pStyle w:val="Normal"/>
              <w:widowControl w:val="false"/>
              <w:spacing w:lineRule="auto" w:line="360"/>
              <w:jc w:val="center"/>
              <w:rPr>
                <w:rFonts w:ascii="Arial" w:hAnsi="Arial" w:cs="Arial"/>
                <w:sz w:val="18"/>
                <w:szCs w:val="18"/>
              </w:rPr>
            </w:pPr>
            <w:r>
              <w:rPr>
                <w:rFonts w:cs="Arial" w:ascii="Arial" w:hAnsi="Arial"/>
                <w:sz w:val="18"/>
                <w:szCs w:val="18"/>
              </w:rPr>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PEÇAS PARA MANUTENÇÃO VEÍCULOS MÁQUINAS, previsão de valor para aquisição de peças R$ 185.832,00</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5.2</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2.02.13.0220-7 - HORAS TÉCNICAS MÁQUINAS (CONTRATO)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HR</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1.826</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HORAS TÉCNICAS MÁQUINAS (ESTIMADA), para execução de serviços mecânicos preventivos e corretivos em máquinas (máquinas de terraplenagem, trator, rolo compactador, retro-escavadeira, etc.).</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 xml:space="preserve">Valor Global do Lote                                                                                                                       R$ </w:t>
            </w:r>
          </w:p>
        </w:tc>
      </w:tr>
      <w:tr>
        <w:trPr>
          <w:cantSplit w:val="true"/>
        </w:trPr>
        <w:tc>
          <w:tcPr>
            <w:tcW w:w="9492" w:type="dxa"/>
            <w:gridSpan w:val="7"/>
            <w:tcBorders>
              <w:top w:val="single" w:sz="4" w:space="0" w:color="000000"/>
              <w:bottom w:val="single" w:sz="4" w:space="0" w:color="000000"/>
            </w:tcBorders>
            <w:shd w:color="auto" w:fill="FFFFFF" w:themeFill="background1" w:val="clear"/>
          </w:tcPr>
          <w:p>
            <w:pPr>
              <w:pStyle w:val="Normal"/>
              <w:widowControl w:val="false"/>
              <w:spacing w:lineRule="auto" w:line="360"/>
              <w:jc w:val="both"/>
              <w:rPr>
                <w:rFonts w:ascii="Arial" w:hAnsi="Arial" w:cs="Arial"/>
                <w:b/>
                <w:sz w:val="18"/>
                <w:szCs w:val="18"/>
              </w:rPr>
            </w:pPr>
            <w:r>
              <w:rPr>
                <w:rFonts w:cs="Arial" w:ascii="Arial" w:hAnsi="Arial"/>
                <w:b/>
                <w:sz w:val="18"/>
                <w:szCs w:val="18"/>
              </w:rPr>
            </w:r>
          </w:p>
        </w:tc>
      </w:tr>
      <w:tr>
        <w:trPr>
          <w:cantSplit w:val="true"/>
        </w:trPr>
        <w:tc>
          <w:tcPr>
            <w:tcW w:w="9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LOTE 06</w:t>
            </w:r>
          </w:p>
        </w:tc>
        <w:tc>
          <w:tcPr>
            <w:tcW w:w="35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sz w:val="18"/>
                <w:szCs w:val="18"/>
              </w:rPr>
            </w:pPr>
            <w:r>
              <w:rPr>
                <w:rFonts w:cs="Arial" w:ascii="Arial" w:hAnsi="Arial"/>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t>Unidade</w:t>
            </w:r>
          </w:p>
        </w:tc>
        <w:tc>
          <w:tcPr>
            <w:tcW w:w="1136" w:type="dxa"/>
            <w:tcBorders>
              <w:top w:val="single" w:sz="4" w:space="0" w:color="000000"/>
              <w:left w:val="single" w:sz="4" w:space="0" w:color="000000"/>
              <w:bottom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Unitário</w:t>
            </w:r>
          </w:p>
        </w:tc>
        <w:tc>
          <w:tcPr>
            <w:tcW w:w="127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Total</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6.1</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1.24.22.2260-7 - PEÇAS PARA MANUTENÇÃO VEÍCULOS MÁQUINAS - ELÉTRICA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UN</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1</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center"/>
              <w:rPr>
                <w:rFonts w:ascii="Arial" w:hAnsi="Arial" w:cs="Arial"/>
                <w:sz w:val="18"/>
                <w:szCs w:val="18"/>
              </w:rPr>
            </w:pPr>
            <w:r>
              <w:rPr>
                <w:rFonts w:cs="Arial" w:ascii="Arial" w:hAnsi="Arial"/>
                <w:sz w:val="18"/>
                <w:szCs w:val="18"/>
              </w:rPr>
              <w:t>Percentual de desconto</w:t>
            </w:r>
          </w:p>
          <w:p>
            <w:pPr>
              <w:pStyle w:val="Normal"/>
              <w:widowControl w:val="false"/>
              <w:spacing w:lineRule="auto" w:line="360"/>
              <w:jc w:val="center"/>
              <w:rPr>
                <w:rFonts w:ascii="Arial" w:hAnsi="Arial" w:cs="Arial"/>
                <w:sz w:val="18"/>
                <w:szCs w:val="18"/>
              </w:rPr>
            </w:pPr>
            <w:r>
              <w:rPr>
                <w:rFonts w:cs="Arial" w:ascii="Arial" w:hAnsi="Arial"/>
                <w:sz w:val="18"/>
                <w:szCs w:val="18"/>
              </w:rPr>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PEÇAS PARA MANUTENÇÃO VEÍCULOS MÁQUINAS - ELÉTRICA, previsão de valor para aquisição de peças R$ 79.816,00</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6.2</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2.02.13.1152-4 - HORAS TÉCNICAS SERVIÇOS ELÉTRICOS - MÁQUINAS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HR</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1.750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HORAS TÉCNICAS SERVIÇOS ELÉTRICOS - MÁQUINAS</w:t>
            </w:r>
          </w:p>
          <w:p>
            <w:pPr>
              <w:pStyle w:val="Normal"/>
              <w:widowControl w:val="false"/>
              <w:spacing w:lineRule="auto" w:line="360"/>
              <w:jc w:val="both"/>
              <w:rPr>
                <w:rFonts w:ascii="Arial" w:hAnsi="Arial" w:cs="Arial"/>
                <w:sz w:val="18"/>
                <w:szCs w:val="18"/>
              </w:rPr>
            </w:pPr>
            <w:r>
              <w:rPr>
                <w:rFonts w:cs="Arial" w:ascii="Arial" w:hAnsi="Arial"/>
                <w:sz w:val="18"/>
                <w:szCs w:val="18"/>
              </w:rPr>
              <w:t xml:space="preserve">Especificações: HORAS TÉCNICAS SERVIÇOS ELÉTRICOS EM MÁQUINAS, para execução de serviços elétricos preventivos e corretivos em máquinas (máquinas de terraplanagem, trator, rolo compactador, etc). </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 xml:space="preserve">Valor Global do Lote                                                                                                        R$ </w:t>
            </w:r>
          </w:p>
        </w:tc>
      </w:tr>
      <w:tr>
        <w:trPr>
          <w:cantSplit w:val="true"/>
        </w:trPr>
        <w:tc>
          <w:tcPr>
            <w:tcW w:w="9492" w:type="dxa"/>
            <w:gridSpan w:val="7"/>
            <w:tcBorders>
              <w:top w:val="single" w:sz="4" w:space="0" w:color="000000"/>
              <w:bottom w:val="single" w:sz="4" w:space="0" w:color="000000"/>
            </w:tcBorders>
            <w:shd w:color="auto" w:fill="FFFFFF" w:themeFill="background1" w:val="clear"/>
          </w:tcPr>
          <w:p>
            <w:pPr>
              <w:pStyle w:val="Normal"/>
              <w:widowControl w:val="false"/>
              <w:spacing w:lineRule="auto" w:line="360"/>
              <w:jc w:val="both"/>
              <w:rPr>
                <w:rFonts w:ascii="Arial" w:hAnsi="Arial" w:cs="Arial"/>
                <w:b/>
                <w:sz w:val="18"/>
                <w:szCs w:val="18"/>
              </w:rPr>
            </w:pPr>
            <w:r>
              <w:rPr>
                <w:rFonts w:cs="Arial" w:ascii="Arial" w:hAnsi="Arial"/>
                <w:b/>
                <w:sz w:val="18"/>
                <w:szCs w:val="18"/>
              </w:rPr>
            </w:r>
          </w:p>
        </w:tc>
      </w:tr>
      <w:tr>
        <w:trPr>
          <w:cantSplit w:val="true"/>
        </w:trPr>
        <w:tc>
          <w:tcPr>
            <w:tcW w:w="9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LOTE 07</w:t>
            </w:r>
          </w:p>
        </w:tc>
        <w:tc>
          <w:tcPr>
            <w:tcW w:w="35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sz w:val="18"/>
                <w:szCs w:val="18"/>
              </w:rPr>
            </w:pPr>
            <w:r>
              <w:rPr>
                <w:rFonts w:cs="Arial" w:ascii="Arial" w:hAnsi="Arial"/>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t>Unidade</w:t>
            </w:r>
          </w:p>
        </w:tc>
        <w:tc>
          <w:tcPr>
            <w:tcW w:w="1136" w:type="dxa"/>
            <w:tcBorders>
              <w:top w:val="single" w:sz="4" w:space="0" w:color="000000"/>
              <w:left w:val="single" w:sz="4" w:space="0" w:color="000000"/>
              <w:bottom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Unitário</w:t>
            </w:r>
          </w:p>
        </w:tc>
        <w:tc>
          <w:tcPr>
            <w:tcW w:w="127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Total</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7.1</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1.24.22.2261-5 - PEÇAS PARA MANUTENÇÃO DE MOTOCICLETA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UN</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1</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center"/>
              <w:rPr>
                <w:rFonts w:ascii="Arial" w:hAnsi="Arial" w:cs="Arial"/>
                <w:sz w:val="18"/>
                <w:szCs w:val="18"/>
              </w:rPr>
            </w:pPr>
            <w:r>
              <w:rPr>
                <w:rFonts w:cs="Arial" w:ascii="Arial" w:hAnsi="Arial"/>
                <w:sz w:val="18"/>
                <w:szCs w:val="18"/>
              </w:rPr>
              <w:t>Percentual de desconto</w:t>
            </w:r>
          </w:p>
          <w:p>
            <w:pPr>
              <w:pStyle w:val="Normal"/>
              <w:widowControl w:val="false"/>
              <w:spacing w:lineRule="auto" w:line="360"/>
              <w:jc w:val="center"/>
              <w:rPr>
                <w:rFonts w:ascii="Arial" w:hAnsi="Arial" w:cs="Arial"/>
                <w:sz w:val="18"/>
                <w:szCs w:val="18"/>
              </w:rPr>
            </w:pPr>
            <w:r>
              <w:rPr>
                <w:rFonts w:cs="Arial" w:ascii="Arial" w:hAnsi="Arial"/>
                <w:sz w:val="18"/>
                <w:szCs w:val="18"/>
              </w:rPr>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PEÇAS PARA MANUTENÇÃO DE MOTOCICLETA, previsão de valor para aquisição de peças R$ 32.352,00</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7.2</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2.02.13.1150-8 - HORAS TÉCNICAS MOTOCICLETA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HR</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406</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HORAS TÉCNICAS MOTOCICLETA (ESTIMADA), para execução de serviços mecânicos e elétricos, preventivos e corretivos em motocicletas.</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 xml:space="preserve">Valor Global do Lote                                                                                                                              R$ </w:t>
            </w:r>
          </w:p>
        </w:tc>
      </w:tr>
      <w:tr>
        <w:trPr>
          <w:cantSplit w:val="true"/>
        </w:trPr>
        <w:tc>
          <w:tcPr>
            <w:tcW w:w="9492" w:type="dxa"/>
            <w:gridSpan w:val="7"/>
            <w:tcBorders>
              <w:top w:val="single" w:sz="4" w:space="0" w:color="000000"/>
              <w:bottom w:val="single" w:sz="4" w:space="0" w:color="000000"/>
            </w:tcBorders>
            <w:shd w:color="auto" w:fill="FFFFFF" w:themeFill="background1" w:val="clear"/>
          </w:tcPr>
          <w:p>
            <w:pPr>
              <w:pStyle w:val="Normal"/>
              <w:widowControl w:val="false"/>
              <w:spacing w:lineRule="auto" w:line="360"/>
              <w:jc w:val="both"/>
              <w:rPr>
                <w:rFonts w:ascii="Arial" w:hAnsi="Arial" w:cs="Arial"/>
                <w:b/>
                <w:sz w:val="18"/>
                <w:szCs w:val="18"/>
              </w:rPr>
            </w:pPr>
            <w:r>
              <w:rPr>
                <w:rFonts w:cs="Arial" w:ascii="Arial" w:hAnsi="Arial"/>
                <w:b/>
                <w:sz w:val="18"/>
                <w:szCs w:val="18"/>
              </w:rPr>
            </w:r>
          </w:p>
        </w:tc>
      </w:tr>
      <w:tr>
        <w:trPr>
          <w:cantSplit w:val="true"/>
        </w:trPr>
        <w:tc>
          <w:tcPr>
            <w:tcW w:w="9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LOTE 8</w:t>
            </w:r>
          </w:p>
        </w:tc>
        <w:tc>
          <w:tcPr>
            <w:tcW w:w="35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sz w:val="18"/>
                <w:szCs w:val="18"/>
              </w:rPr>
            </w:pPr>
            <w:r>
              <w:rPr>
                <w:rFonts w:cs="Arial" w:ascii="Arial" w:hAnsi="Arial"/>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t>Unidade</w:t>
            </w:r>
          </w:p>
        </w:tc>
        <w:tc>
          <w:tcPr>
            <w:tcW w:w="1136" w:type="dxa"/>
            <w:tcBorders>
              <w:top w:val="single" w:sz="4" w:space="0" w:color="000000"/>
              <w:left w:val="single" w:sz="4" w:space="0" w:color="000000"/>
              <w:bottom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Unitário</w:t>
            </w:r>
          </w:p>
        </w:tc>
        <w:tc>
          <w:tcPr>
            <w:tcW w:w="127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Total</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8.1</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1.24.22.2262-3 - PEÇAS PARA MANUTENÇÃO DE VEÍCULO - ACESSÓRIOS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UN</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1</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center"/>
              <w:rPr>
                <w:rFonts w:ascii="Arial" w:hAnsi="Arial" w:cs="Arial"/>
                <w:sz w:val="18"/>
                <w:szCs w:val="18"/>
              </w:rPr>
            </w:pPr>
            <w:r>
              <w:rPr>
                <w:rFonts w:cs="Arial" w:ascii="Arial" w:hAnsi="Arial"/>
                <w:sz w:val="18"/>
                <w:szCs w:val="18"/>
              </w:rPr>
              <w:t>Percentual de desconto</w:t>
            </w:r>
          </w:p>
          <w:p>
            <w:pPr>
              <w:pStyle w:val="Normal"/>
              <w:widowControl w:val="false"/>
              <w:spacing w:lineRule="auto" w:line="360"/>
              <w:jc w:val="center"/>
              <w:rPr>
                <w:rFonts w:ascii="Arial" w:hAnsi="Arial" w:cs="Arial"/>
                <w:sz w:val="18"/>
                <w:szCs w:val="18"/>
              </w:rPr>
            </w:pPr>
            <w:r>
              <w:rPr>
                <w:rFonts w:cs="Arial" w:ascii="Arial" w:hAnsi="Arial"/>
                <w:sz w:val="18"/>
                <w:szCs w:val="18"/>
              </w:rPr>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52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PEÇAS PARA MANUTENÇÃO DE VEÍCULO - ACESSÓRIOS, previsão de valor para aquisição de peças R$ 111.829,10</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8.2</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2.02.13.1153-2 - HORAS TÉCNICAS - SERVIÇO DE INSTALAÇÃO E MANUTENÇÃO - ACESSÓ RIOS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HR</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1.458</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HORAS TÉCNICAS - SERVIÇO DE INSTALAÇÃO E MANUTENÇÃO - ACESSÓRIOS</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 xml:space="preserve">Valor Global do Lote                                                                                                                         R$ </w:t>
            </w:r>
          </w:p>
        </w:tc>
      </w:tr>
      <w:tr>
        <w:trPr>
          <w:cantSplit w:val="true"/>
        </w:trPr>
        <w:tc>
          <w:tcPr>
            <w:tcW w:w="9492" w:type="dxa"/>
            <w:gridSpan w:val="7"/>
            <w:tcBorders>
              <w:top w:val="single" w:sz="4" w:space="0" w:color="000000"/>
              <w:bottom w:val="single" w:sz="4" w:space="0" w:color="000000"/>
            </w:tcBorders>
            <w:shd w:color="auto" w:fill="FFFFFF" w:themeFill="background1" w:val="clear"/>
          </w:tcPr>
          <w:p>
            <w:pPr>
              <w:pStyle w:val="Normal"/>
              <w:widowControl w:val="false"/>
              <w:spacing w:lineRule="auto" w:line="360"/>
              <w:jc w:val="both"/>
              <w:rPr>
                <w:rFonts w:ascii="Arial" w:hAnsi="Arial" w:cs="Arial"/>
                <w:b/>
                <w:sz w:val="18"/>
                <w:szCs w:val="18"/>
              </w:rPr>
            </w:pPr>
            <w:r>
              <w:rPr>
                <w:rFonts w:cs="Arial" w:ascii="Arial" w:hAnsi="Arial"/>
                <w:b/>
                <w:sz w:val="18"/>
                <w:szCs w:val="18"/>
              </w:rPr>
            </w:r>
          </w:p>
        </w:tc>
      </w:tr>
      <w:tr>
        <w:trPr>
          <w:cantSplit w:val="true"/>
        </w:trPr>
        <w:tc>
          <w:tcPr>
            <w:tcW w:w="9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LOTE 09</w:t>
            </w:r>
          </w:p>
        </w:tc>
        <w:tc>
          <w:tcPr>
            <w:tcW w:w="35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sz w:val="18"/>
                <w:szCs w:val="18"/>
              </w:rPr>
            </w:pPr>
            <w:r>
              <w:rPr>
                <w:rFonts w:cs="Arial" w:ascii="Arial" w:hAnsi="Arial"/>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t>Unidade</w:t>
            </w:r>
          </w:p>
        </w:tc>
        <w:tc>
          <w:tcPr>
            <w:tcW w:w="1136" w:type="dxa"/>
            <w:tcBorders>
              <w:top w:val="single" w:sz="4" w:space="0" w:color="000000"/>
              <w:left w:val="single" w:sz="4" w:space="0" w:color="000000"/>
              <w:bottom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Unitário</w:t>
            </w:r>
          </w:p>
        </w:tc>
        <w:tc>
          <w:tcPr>
            <w:tcW w:w="127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Total</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9.1</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2.12.02.0002-0 - SERVIÇO DE GUINCHO EM VEÍCULOS LEVES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HR</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712</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SERVIÇO DE GUINCHO EM VEÍCULOS LEVES</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 xml:space="preserve">Valor Global do Lote                                                                                                                        R$ </w:t>
            </w:r>
          </w:p>
        </w:tc>
      </w:tr>
      <w:tr>
        <w:trPr>
          <w:cantSplit w:val="true"/>
        </w:trPr>
        <w:tc>
          <w:tcPr>
            <w:tcW w:w="9492" w:type="dxa"/>
            <w:gridSpan w:val="7"/>
            <w:tcBorders>
              <w:top w:val="single" w:sz="4" w:space="0" w:color="000000"/>
              <w:bottom w:val="single" w:sz="4" w:space="0" w:color="000000"/>
            </w:tcBorders>
            <w:shd w:color="auto" w:fill="FFFFFF" w:themeFill="background1" w:val="clear"/>
          </w:tcPr>
          <w:p>
            <w:pPr>
              <w:pStyle w:val="Normal"/>
              <w:widowControl w:val="false"/>
              <w:spacing w:lineRule="auto" w:line="360"/>
              <w:jc w:val="both"/>
              <w:rPr>
                <w:rFonts w:ascii="Arial" w:hAnsi="Arial" w:cs="Arial"/>
                <w:b/>
                <w:sz w:val="18"/>
                <w:szCs w:val="18"/>
              </w:rPr>
            </w:pPr>
            <w:r>
              <w:rPr>
                <w:rFonts w:cs="Arial" w:ascii="Arial" w:hAnsi="Arial"/>
                <w:b/>
                <w:sz w:val="18"/>
                <w:szCs w:val="18"/>
              </w:rPr>
            </w:r>
          </w:p>
          <w:p>
            <w:pPr>
              <w:pStyle w:val="Normal"/>
              <w:widowControl w:val="false"/>
              <w:spacing w:lineRule="auto" w:line="360"/>
              <w:jc w:val="both"/>
              <w:rPr>
                <w:rFonts w:ascii="Arial" w:hAnsi="Arial" w:cs="Arial"/>
                <w:b/>
                <w:sz w:val="18"/>
                <w:szCs w:val="18"/>
              </w:rPr>
            </w:pPr>
            <w:r>
              <w:rPr>
                <w:rFonts w:cs="Arial" w:ascii="Arial" w:hAnsi="Arial"/>
                <w:b/>
                <w:sz w:val="18"/>
                <w:szCs w:val="18"/>
              </w:rPr>
            </w:r>
          </w:p>
          <w:p>
            <w:pPr>
              <w:pStyle w:val="Normal"/>
              <w:widowControl w:val="false"/>
              <w:spacing w:lineRule="auto" w:line="360"/>
              <w:jc w:val="both"/>
              <w:rPr>
                <w:rFonts w:ascii="Arial" w:hAnsi="Arial" w:cs="Arial"/>
                <w:b/>
                <w:sz w:val="18"/>
                <w:szCs w:val="18"/>
              </w:rPr>
            </w:pPr>
            <w:r>
              <w:rPr>
                <w:rFonts w:cs="Arial" w:ascii="Arial" w:hAnsi="Arial"/>
                <w:b/>
                <w:sz w:val="18"/>
                <w:szCs w:val="18"/>
              </w:rPr>
            </w:r>
          </w:p>
        </w:tc>
      </w:tr>
      <w:tr>
        <w:trPr>
          <w:cantSplit w:val="true"/>
        </w:trPr>
        <w:tc>
          <w:tcPr>
            <w:tcW w:w="9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LOTE 10</w:t>
            </w:r>
          </w:p>
        </w:tc>
        <w:tc>
          <w:tcPr>
            <w:tcW w:w="35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sz w:val="18"/>
                <w:szCs w:val="18"/>
              </w:rPr>
            </w:pPr>
            <w:r>
              <w:rPr>
                <w:rFonts w:cs="Arial" w:ascii="Arial" w:hAnsi="Arial"/>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t>Unidade</w:t>
            </w:r>
          </w:p>
        </w:tc>
        <w:tc>
          <w:tcPr>
            <w:tcW w:w="1136" w:type="dxa"/>
            <w:tcBorders>
              <w:top w:val="single" w:sz="4" w:space="0" w:color="000000"/>
              <w:left w:val="single" w:sz="4" w:space="0" w:color="000000"/>
              <w:bottom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4" w:space="0" w:color="000000"/>
              <w:right w:val="single" w:sz="4" w:space="0" w:color="000000"/>
            </w:tcBorders>
            <w:shd w:color="auto" w:fill="B7B7B7"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Unitário</w:t>
            </w:r>
          </w:p>
        </w:tc>
        <w:tc>
          <w:tcPr>
            <w:tcW w:w="127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right"/>
              <w:rPr>
                <w:rFonts w:ascii="Arial" w:hAnsi="Arial" w:cs="Arial"/>
                <w:sz w:val="18"/>
                <w:szCs w:val="18"/>
              </w:rPr>
            </w:pPr>
            <w:r>
              <w:rPr>
                <w:rFonts w:cs="Arial" w:ascii="Arial" w:hAnsi="Arial"/>
                <w:sz w:val="18"/>
                <w:szCs w:val="18"/>
              </w:rPr>
              <w:t>Preço Total</w:t>
            </w:r>
          </w:p>
        </w:tc>
      </w:tr>
      <w:tr>
        <w:trPr>
          <w:cantSplit w:val="true"/>
        </w:trPr>
        <w:tc>
          <w:tcPr>
            <w:tcW w:w="998"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10.1</w:t>
            </w:r>
          </w:p>
        </w:tc>
        <w:tc>
          <w:tcPr>
            <w:tcW w:w="35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both"/>
              <w:rPr>
                <w:rFonts w:ascii="Arial" w:hAnsi="Arial" w:cs="Arial"/>
                <w:sz w:val="18"/>
                <w:szCs w:val="18"/>
              </w:rPr>
            </w:pPr>
            <w:r>
              <w:rPr>
                <w:rFonts w:cs="Arial" w:ascii="Arial" w:hAnsi="Arial"/>
                <w:sz w:val="18"/>
                <w:szCs w:val="18"/>
              </w:rPr>
              <w:t>2.12.02.0009-7 - SERVIÇO DE GUINCHO - VEÍCULOS PESADOS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t>HR</w:t>
            </w:r>
          </w:p>
        </w:tc>
        <w:tc>
          <w:tcPr>
            <w:tcW w:w="1136"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t>924</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spacing w:lineRule="auto" w:line="360"/>
              <w:rPr>
                <w:rFonts w:ascii="Arial" w:hAnsi="Arial" w:cs="Arial"/>
                <w:sz w:val="18"/>
                <w:szCs w:val="18"/>
              </w:rPr>
            </w:pPr>
            <w:r>
              <w:rPr>
                <w:rFonts w:cs="Arial" w:ascii="Arial" w:hAnsi="Arial"/>
                <w:sz w:val="18"/>
                <w:szCs w:val="18"/>
              </w:rPr>
            </w:r>
          </w:p>
        </w:tc>
        <w:tc>
          <w:tcPr>
            <w:tcW w:w="12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r>
          </w:p>
        </w:tc>
        <w:tc>
          <w:tcPr>
            <w:tcW w:w="12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sz w:val="18"/>
                <w:szCs w:val="18"/>
              </w:rPr>
            </w:pPr>
            <w:r>
              <w:rPr>
                <w:rFonts w:cs="Arial" w:ascii="Arial" w:hAnsi="Arial"/>
                <w:sz w:val="18"/>
                <w:szCs w:val="18"/>
              </w:rPr>
              <w:t>SERVIÇO DE GUINCHO - VEÍCULOS PESADOS</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360"/>
              <w:jc w:val="both"/>
              <w:rPr>
                <w:rFonts w:ascii="Arial" w:hAnsi="Arial" w:cs="Arial"/>
                <w:b/>
                <w:bCs/>
                <w:sz w:val="18"/>
                <w:szCs w:val="18"/>
              </w:rPr>
            </w:pPr>
            <w:r>
              <w:rPr>
                <w:rFonts w:cs="Arial" w:ascii="Arial" w:hAnsi="Arial"/>
                <w:b/>
                <w:bCs/>
                <w:sz w:val="18"/>
                <w:szCs w:val="18"/>
              </w:rPr>
              <w:t xml:space="preserve">Valor Global do Lote                                                                                                                             R$ </w:t>
            </w:r>
          </w:p>
        </w:tc>
      </w:tr>
    </w:tbl>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Standard"/>
        <w:spacing w:lineRule="auto" w:line="360"/>
        <w:ind w:left="375" w:hanging="0"/>
        <w:jc w:val="both"/>
        <w:rPr>
          <w:b/>
          <w:bCs/>
          <w:sz w:val="22"/>
          <w:szCs w:val="22"/>
        </w:rPr>
      </w:pPr>
      <w:r>
        <w:rPr>
          <w:b/>
          <w:bCs/>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t>..........................   , .... de ............... de 2024.</w:t>
      </w:r>
    </w:p>
    <w:p>
      <w:pPr>
        <w:pStyle w:val="Normal"/>
        <w:spacing w:lineRule="auto" w:line="360"/>
        <w:ind w:left="2832" w:right="-54" w:firstLine="708"/>
        <w:jc w:val="both"/>
        <w:rPr>
          <w:rFonts w:ascii="Arial" w:hAnsi="Arial" w:cs="Arial"/>
          <w:sz w:val="22"/>
          <w:szCs w:val="22"/>
        </w:rPr>
      </w:pPr>
      <w:r>
        <w:rPr>
          <w:rFonts w:cs="Arial" w:ascii="Arial" w:hAnsi="Arial"/>
          <w:sz w:val="22"/>
          <w:szCs w:val="22"/>
        </w:rPr>
        <w:t xml:space="preserve"> </w:t>
      </w:r>
      <w:r>
        <w:rPr>
          <w:rFonts w:cs="Arial" w:ascii="Arial" w:hAnsi="Arial"/>
          <w:sz w:val="22"/>
          <w:szCs w:val="22"/>
        </w:rPr>
        <w:t>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right="-57" w:hanging="0"/>
        <w:jc w:val="both"/>
        <w:rPr>
          <w:rFonts w:ascii="Arial" w:hAnsi="Arial" w:cs="Arial"/>
          <w:sz w:val="22"/>
          <w:szCs w:val="22"/>
        </w:rPr>
      </w:pPr>
      <w:r>
        <w:rPr>
          <w:rFonts w:cs="Arial" w:ascii="Arial" w:hAnsi="Arial"/>
          <w:sz w:val="22"/>
          <w:szCs w:val="22"/>
        </w:rPr>
      </w:r>
    </w:p>
    <w:p>
      <w:pPr>
        <w:pStyle w:val="Normal"/>
        <w:spacing w:lineRule="auto" w:line="360"/>
        <w:ind w:right="-57" w:hanging="0"/>
        <w:jc w:val="both"/>
        <w:rPr>
          <w:rFonts w:ascii="Arial" w:hAnsi="Arial" w:cs="Arial"/>
          <w:sz w:val="22"/>
          <w:szCs w:val="22"/>
        </w:rPr>
      </w:pPr>
      <w:r>
        <w:rPr>
          <w:rFonts w:cs="Arial" w:ascii="Arial" w:hAnsi="Arial"/>
          <w:sz w:val="22"/>
          <w:szCs w:val="22"/>
        </w:rPr>
      </w:r>
    </w:p>
    <w:p>
      <w:pPr>
        <w:pStyle w:val="Normal"/>
        <w:spacing w:lineRule="auto" w:line="360"/>
        <w:ind w:right="-57" w:hanging="0"/>
        <w:jc w:val="both"/>
        <w:rPr>
          <w:rFonts w:ascii="Arial" w:hAnsi="Arial" w:cs="Arial"/>
          <w:sz w:val="22"/>
          <w:szCs w:val="22"/>
        </w:rPr>
      </w:pPr>
      <w:r>
        <w:rPr>
          <w:rFonts w:cs="Arial" w:ascii="Arial" w:hAnsi="Arial"/>
          <w:sz w:val="22"/>
          <w:szCs w:val="22"/>
        </w:rPr>
      </w:r>
    </w:p>
    <w:p>
      <w:pPr>
        <w:pStyle w:val="Normal"/>
        <w:spacing w:lineRule="auto" w:line="360"/>
        <w:ind w:right="-57" w:hanging="0"/>
        <w:jc w:val="both"/>
        <w:rPr>
          <w:rFonts w:ascii="Arial" w:hAnsi="Arial" w:cs="Arial"/>
          <w:sz w:val="22"/>
          <w:szCs w:val="22"/>
        </w:rPr>
      </w:pPr>
      <w:r>
        <w:rPr>
          <w:rFonts w:cs="Arial" w:ascii="Arial" w:hAnsi="Arial"/>
          <w:sz w:val="22"/>
          <w:szCs w:val="22"/>
        </w:rPr>
      </w:r>
    </w:p>
    <w:p>
      <w:pPr>
        <w:pStyle w:val="Normal"/>
        <w:spacing w:lineRule="auto" w:line="360"/>
        <w:ind w:right="-57" w:hanging="0"/>
        <w:jc w:val="both"/>
        <w:rPr>
          <w:rFonts w:ascii="Arial" w:hAnsi="Arial" w:cs="Arial"/>
          <w:sz w:val="22"/>
          <w:szCs w:val="22"/>
        </w:rPr>
      </w:pPr>
      <w:r>
        <w:rPr>
          <w:rFonts w:cs="Arial" w:ascii="Arial" w:hAnsi="Arial"/>
          <w:sz w:val="22"/>
          <w:szCs w:val="22"/>
        </w:rPr>
      </w:r>
    </w:p>
    <w:p>
      <w:pPr>
        <w:pStyle w:val="Normal"/>
        <w:spacing w:lineRule="auto" w:line="360"/>
        <w:ind w:right="-57" w:hanging="0"/>
        <w:jc w:val="both"/>
        <w:rPr>
          <w:rFonts w:ascii="Arial" w:hAnsi="Arial" w:cs="Arial"/>
          <w:sz w:val="22"/>
          <w:szCs w:val="22"/>
        </w:rPr>
      </w:pPr>
      <w:r>
        <w:rPr>
          <w:rFonts w:cs="Arial" w:ascii="Arial" w:hAnsi="Arial"/>
          <w:sz w:val="22"/>
          <w:szCs w:val="22"/>
        </w:rPr>
      </w:r>
    </w:p>
    <w:p>
      <w:pPr>
        <w:pStyle w:val="Normal"/>
        <w:spacing w:lineRule="auto" w:line="360"/>
        <w:ind w:right="-57" w:hanging="0"/>
        <w:jc w:val="both"/>
        <w:rPr>
          <w:rFonts w:ascii="Arial" w:hAnsi="Arial" w:cs="Arial"/>
          <w:sz w:val="22"/>
          <w:szCs w:val="22"/>
        </w:rPr>
      </w:pPr>
      <w:r>
        <w:rPr>
          <w:rFonts w:cs="Arial" w:ascii="Arial" w:hAnsi="Arial"/>
          <w:sz w:val="22"/>
          <w:szCs w:val="22"/>
        </w:rPr>
      </w:r>
    </w:p>
    <w:p>
      <w:pPr>
        <w:pStyle w:val="Normal"/>
        <w:spacing w:lineRule="auto" w:line="360"/>
        <w:ind w:right="-57" w:hanging="0"/>
        <w:jc w:val="both"/>
        <w:rPr>
          <w:rFonts w:ascii="Arial" w:hAnsi="Arial" w:cs="Arial"/>
          <w:sz w:val="22"/>
          <w:szCs w:val="22"/>
        </w:rPr>
      </w:pPr>
      <w:r>
        <w:rPr>
          <w:rFonts w:cs="Arial" w:ascii="Arial" w:hAnsi="Arial"/>
          <w:sz w:val="22"/>
          <w:szCs w:val="22"/>
        </w:rPr>
      </w:r>
    </w:p>
    <w:p>
      <w:pPr>
        <w:pStyle w:val="Normal"/>
        <w:spacing w:lineRule="auto" w:line="360"/>
        <w:ind w:right="-57" w:hanging="0"/>
        <w:jc w:val="both"/>
        <w:rPr>
          <w:rFonts w:ascii="Arial" w:hAnsi="Arial" w:cs="Arial"/>
          <w:sz w:val="22"/>
          <w:szCs w:val="22"/>
        </w:rPr>
      </w:pPr>
      <w:r>
        <w:rPr>
          <w:rFonts w:cs="Arial" w:ascii="Arial" w:hAnsi="Arial"/>
          <w:sz w:val="22"/>
          <w:szCs w:val="22"/>
        </w:rPr>
      </w:r>
    </w:p>
    <w:p>
      <w:pPr>
        <w:pStyle w:val="Normal"/>
        <w:spacing w:lineRule="auto" w:line="360"/>
        <w:ind w:right="-57" w:hanging="0"/>
        <w:jc w:val="both"/>
        <w:rPr>
          <w:rFonts w:ascii="Arial" w:hAnsi="Arial" w:cs="Arial"/>
          <w:sz w:val="22"/>
          <w:szCs w:val="22"/>
        </w:rPr>
      </w:pPr>
      <w:r>
        <w:rPr>
          <w:rFonts w:cs="Arial" w:ascii="Arial" w:hAnsi="Arial"/>
          <w:sz w:val="22"/>
          <w:szCs w:val="22"/>
        </w:rPr>
      </w:r>
    </w:p>
    <w:p>
      <w:pPr>
        <w:pStyle w:val="Normal"/>
        <w:spacing w:lineRule="auto" w:line="360"/>
        <w:ind w:right="-57" w:hanging="0"/>
        <w:jc w:val="both"/>
        <w:rPr>
          <w:rFonts w:ascii="Arial" w:hAnsi="Arial" w:cs="Arial"/>
          <w:sz w:val="22"/>
          <w:szCs w:val="22"/>
        </w:rPr>
      </w:pPr>
      <w:r>
        <w:rPr>
          <w:rFonts w:cs="Arial" w:ascii="Arial" w:hAnsi="Arial"/>
          <w:sz w:val="22"/>
          <w:szCs w:val="22"/>
        </w:rPr>
      </w:r>
    </w:p>
    <w:p>
      <w:pPr>
        <w:pStyle w:val="Normal"/>
        <w:spacing w:lineRule="auto" w:line="360"/>
        <w:ind w:right="-57" w:hanging="0"/>
        <w:jc w:val="both"/>
        <w:rPr>
          <w:rFonts w:ascii="Arial" w:hAnsi="Arial" w:cs="Arial"/>
          <w:sz w:val="22"/>
          <w:szCs w:val="22"/>
        </w:rPr>
      </w:pPr>
      <w:r>
        <w:rPr>
          <w:rFonts w:cs="Arial" w:ascii="Arial" w:hAnsi="Arial"/>
          <w:sz w:val="22"/>
          <w:szCs w:val="22"/>
        </w:rPr>
      </w:r>
    </w:p>
    <w:p>
      <w:pPr>
        <w:pStyle w:val="Normal"/>
        <w:spacing w:lineRule="auto" w:line="360"/>
        <w:ind w:right="-57" w:hanging="0"/>
        <w:jc w:val="both"/>
        <w:rPr>
          <w:rFonts w:ascii="Arial" w:hAnsi="Arial" w:cs="Arial"/>
          <w:sz w:val="22"/>
          <w:szCs w:val="22"/>
        </w:rPr>
      </w:pPr>
      <w:r>
        <w:rPr>
          <w:rFonts w:cs="Arial" w:ascii="Arial" w:hAnsi="Arial"/>
          <w:sz w:val="22"/>
          <w:szCs w:val="22"/>
        </w:rPr>
      </w:r>
    </w:p>
    <w:p>
      <w:pPr>
        <w:pStyle w:val="Normal"/>
        <w:spacing w:lineRule="auto" w:line="360"/>
        <w:ind w:right="-57" w:hanging="0"/>
        <w:jc w:val="both"/>
        <w:rPr>
          <w:rFonts w:ascii="Arial" w:hAnsi="Arial" w:cs="Arial"/>
          <w:sz w:val="22"/>
          <w:szCs w:val="22"/>
        </w:rPr>
      </w:pPr>
      <w:r>
        <w:rPr>
          <w:rFonts w:cs="Arial" w:ascii="Arial" w:hAnsi="Arial"/>
          <w:sz w:val="22"/>
          <w:szCs w:val="22"/>
        </w:rPr>
      </w:r>
    </w:p>
    <w:p>
      <w:pPr>
        <w:pStyle w:val="Normal"/>
        <w:spacing w:lineRule="auto" w:line="360"/>
        <w:ind w:right="-57" w:hanging="0"/>
        <w:jc w:val="both"/>
        <w:rPr>
          <w:rFonts w:ascii="Arial" w:hAnsi="Arial" w:cs="Arial"/>
          <w:sz w:val="22"/>
          <w:szCs w:val="22"/>
        </w:rPr>
      </w:pPr>
      <w:r>
        <w:rPr>
          <w:rFonts w:cs="Arial" w:ascii="Arial" w:hAnsi="Arial"/>
          <w:sz w:val="22"/>
          <w:szCs w:val="22"/>
        </w:rPr>
      </w:r>
    </w:p>
    <w:p>
      <w:pPr>
        <w:pStyle w:val="Normal"/>
        <w:spacing w:lineRule="auto" w:line="360"/>
        <w:ind w:right="-57" w:hanging="0"/>
        <w:jc w:val="both"/>
        <w:rPr>
          <w:rFonts w:ascii="Arial" w:hAnsi="Arial" w:cs="Arial"/>
          <w:sz w:val="22"/>
          <w:szCs w:val="22"/>
        </w:rPr>
      </w:pPr>
      <w:r>
        <w:rPr>
          <w:rFonts w:cs="Arial" w:ascii="Arial" w:hAnsi="Arial"/>
          <w:sz w:val="22"/>
          <w:szCs w:val="22"/>
        </w:rPr>
      </w:r>
    </w:p>
    <w:p>
      <w:pPr>
        <w:pStyle w:val="Normal"/>
        <w:spacing w:lineRule="auto" w:line="360"/>
        <w:ind w:right="-57" w:hanging="0"/>
        <w:jc w:val="both"/>
        <w:rPr>
          <w:rFonts w:ascii="Arial" w:hAnsi="Arial" w:cs="Arial"/>
          <w:sz w:val="22"/>
          <w:szCs w:val="22"/>
        </w:rPr>
      </w:pPr>
      <w:r>
        <w:rPr>
          <w:rFonts w:cs="Arial" w:ascii="Arial" w:hAnsi="Arial"/>
          <w:sz w:val="22"/>
          <w:szCs w:val="22"/>
        </w:rPr>
      </w:r>
    </w:p>
    <w:p>
      <w:pPr>
        <w:pStyle w:val="Normal"/>
        <w:spacing w:lineRule="auto" w:line="360"/>
        <w:ind w:right="-57" w:hanging="0"/>
        <w:jc w:val="both"/>
        <w:rPr>
          <w:rFonts w:ascii="Arial" w:hAnsi="Arial" w:cs="Arial"/>
          <w:sz w:val="22"/>
          <w:szCs w:val="22"/>
        </w:rPr>
      </w:pPr>
      <w:r>
        <w:rPr>
          <w:rFonts w:cs="Arial" w:ascii="Arial" w:hAnsi="Arial"/>
          <w:sz w:val="22"/>
          <w:szCs w:val="22"/>
        </w:rPr>
      </w:r>
    </w:p>
    <w:p>
      <w:pPr>
        <w:pStyle w:val="Normal"/>
        <w:spacing w:lineRule="auto" w:line="360"/>
        <w:ind w:right="-57" w:hanging="0"/>
        <w:jc w:val="both"/>
        <w:rPr>
          <w:rFonts w:ascii="Arial" w:hAnsi="Arial" w:cs="Arial"/>
          <w:sz w:val="22"/>
          <w:szCs w:val="22"/>
        </w:rPr>
      </w:pPr>
      <w:r>
        <w:rPr>
          <w:rFonts w:cs="Arial" w:ascii="Arial" w:hAnsi="Arial"/>
          <w:sz w:val="22"/>
          <w:szCs w:val="22"/>
        </w:rPr>
      </w:r>
    </w:p>
    <w:p>
      <w:pPr>
        <w:pStyle w:val="Normal"/>
        <w:widowControl w:val="false"/>
        <w:tabs>
          <w:tab w:val="clear" w:pos="709"/>
          <w:tab w:val="left" w:pos="8322" w:leader="none"/>
        </w:tabs>
        <w:spacing w:lineRule="auto" w:line="360"/>
        <w:rPr>
          <w:rFonts w:ascii="Arial" w:hAnsi="Arial" w:cs="Arial"/>
          <w:b/>
          <w:bCs/>
          <w:sz w:val="22"/>
          <w:szCs w:val="22"/>
        </w:rPr>
      </w:pPr>
      <w:r>
        <mc:AlternateContent>
          <mc:Choice Requires="wps">
            <w:drawing>
              <wp:anchor behindDoc="0" distT="0" distB="0" distL="0" distR="0" simplePos="0" locked="0" layoutInCell="1" allowOverlap="1" relativeHeight="156" wp14:anchorId="2D6CE090">
                <wp:simplePos x="0" y="0"/>
                <wp:positionH relativeFrom="column">
                  <wp:posOffset>0</wp:posOffset>
                </wp:positionH>
                <wp:positionV relativeFrom="paragraph">
                  <wp:posOffset>635</wp:posOffset>
                </wp:positionV>
                <wp:extent cx="635000" cy="635000"/>
                <wp:effectExtent l="0" t="0" r="0" b="0"/>
                <wp:wrapNone/>
                <wp:docPr id="1" name="_x0000_tole_rId5" hidden="1"/>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_x0000_tole_rId5" path="m0,0l-2147483645,0l-2147483645,-2147483646l0,-2147483646xe" stroked="f" o:allowincell="f" style="position:absolute;margin-left:0pt;margin-top:0.05pt;width:49.95pt;height:49.95pt;mso-wrap-style:none;v-text-anchor:middle" wp14:anchorId="2D6CE090">
                <v:fill o:detectmouseclick="t" on="false"/>
                <v:stroke color="#3465a4" joinstyle="round" endcap="flat"/>
                <w10:wrap type="none"/>
              </v:rect>
            </w:pict>
          </mc:Fallback>
        </mc:AlternateContent>
        <mc:AlternateContent>
          <mc:Choice Requires="wps">
            <w:drawing>
              <wp:anchor behindDoc="0" distT="0" distB="0" distL="635" distR="0" simplePos="0" locked="0" layoutInCell="1" allowOverlap="1" relativeHeight="157" wp14:anchorId="3E7F82F2">
                <wp:simplePos x="0" y="0"/>
                <wp:positionH relativeFrom="column">
                  <wp:posOffset>635</wp:posOffset>
                </wp:positionH>
                <wp:positionV relativeFrom="paragraph">
                  <wp:posOffset>635</wp:posOffset>
                </wp:positionV>
                <wp:extent cx="635000" cy="635000"/>
                <wp:effectExtent l="635" t="0" r="0" b="0"/>
                <wp:wrapNone/>
                <wp:docPr id="2" name="_x0000_tole_rId14"/>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_x0000_tole_rId14" path="m0,0l-2147483645,0l-2147483645,-2147483646l0,-2147483646xe" stroked="f" o:allowincell="f" style="position:absolute;margin-left:0.05pt;margin-top:0.05pt;width:49.95pt;height:49.95pt;mso-wrap-style:none;v-text-anchor:middle" wp14:anchorId="3E7F82F2">
                <v:fill o:detectmouseclick="t" on="false"/>
                <v:stroke color="#3465a4" joinstyle="round" endcap="flat"/>
                <w10:wrap type="none"/>
              </v:rect>
            </w:pict>
          </mc:Fallback>
        </mc:AlternateContent>
      </w:r>
      <w:r>
        <w:rPr>
          <w:rFonts w:cs="Arial" w:ascii="Arial" w:hAnsi="Arial"/>
          <w:b/>
          <w:bCs/>
          <w:sz w:val="22"/>
          <w:szCs w:val="22"/>
        </w:rPr>
        <w:t>ANEXO VI – MINUTA DE CONTRATO</w:t>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ind w:right="-54" w:hanging="0"/>
        <w:jc w:val="center"/>
        <w:rPr>
          <w:rFonts w:ascii="Arial" w:hAnsi="Arial" w:cs="Arial"/>
          <w:b/>
          <w:bCs/>
          <w:sz w:val="22"/>
          <w:szCs w:val="22"/>
        </w:rPr>
      </w:pPr>
      <w:r>
        <w:rPr>
          <w:rFonts w:cs="Arial" w:ascii="Arial" w:hAnsi="Arial"/>
          <w:b/>
          <w:bCs/>
          <w:sz w:val="22"/>
          <w:szCs w:val="22"/>
        </w:rPr>
        <w:t>CONTRATO ADMINISTRATIVO Nº  XX/2024</w:t>
      </w:r>
    </w:p>
    <w:p>
      <w:pPr>
        <w:pStyle w:val="Normal"/>
        <w:pBdr>
          <w:top w:val="single" w:sz="4" w:space="1" w:color="000000"/>
          <w:left w:val="single" w:sz="4" w:space="4" w:color="000000"/>
          <w:bottom w:val="single" w:sz="4" w:space="1" w:color="000000"/>
          <w:right w:val="single" w:sz="4" w:space="4" w:color="000000"/>
        </w:pBdr>
        <w:spacing w:lineRule="auto" w:line="360"/>
        <w:ind w:right="-54" w:hanging="0"/>
        <w:jc w:val="center"/>
        <w:rPr>
          <w:rFonts w:ascii="Arial" w:hAnsi="Arial" w:cs="Arial"/>
          <w:sz w:val="22"/>
          <w:szCs w:val="22"/>
        </w:rPr>
      </w:pPr>
      <w:r>
        <w:rPr>
          <w:rFonts w:cs="Arial" w:ascii="Arial" w:hAnsi="Arial"/>
          <w:b/>
          <w:bCs/>
          <w:sz w:val="22"/>
          <w:szCs w:val="22"/>
        </w:rPr>
        <w:t>PREFEITURA DO MUNICÍPIO DE ITATIBA</w:t>
      </w:r>
    </w:p>
    <w:p>
      <w:pPr>
        <w:pStyle w:val="Normal"/>
        <w:pBdr>
          <w:top w:val="single" w:sz="4" w:space="1" w:color="000000"/>
          <w:left w:val="single" w:sz="4" w:space="4" w:color="000000"/>
          <w:bottom w:val="single" w:sz="4" w:space="1" w:color="000000"/>
          <w:right w:val="single" w:sz="4" w:space="4" w:color="000000"/>
        </w:pBdr>
        <w:spacing w:lineRule="auto" w:line="360"/>
        <w:ind w:right="-54" w:hanging="0"/>
        <w:jc w:val="center"/>
        <w:rPr>
          <w:rFonts w:ascii="Arial" w:hAnsi="Arial" w:cs="Arial"/>
          <w:sz w:val="22"/>
          <w:szCs w:val="22"/>
        </w:rPr>
      </w:pPr>
      <w:r>
        <w:rPr>
          <w:rFonts w:cs="Arial" w:ascii="Arial" w:hAnsi="Arial"/>
          <w:b/>
          <w:bCs/>
          <w:sz w:val="22"/>
          <w:szCs w:val="22"/>
        </w:rPr>
        <w:t>SECRETARIA xxxxx</w:t>
      </w:r>
    </w:p>
    <w:p>
      <w:pPr>
        <w:pStyle w:val="Normal"/>
        <w:pBdr>
          <w:top w:val="single" w:sz="4" w:space="1" w:color="000000"/>
          <w:left w:val="single" w:sz="4" w:space="4" w:color="000000"/>
          <w:bottom w:val="single" w:sz="4" w:space="1" w:color="000000"/>
          <w:right w:val="single" w:sz="4" w:space="4" w:color="000000"/>
        </w:pBdr>
        <w:spacing w:lineRule="auto" w:line="360"/>
        <w:ind w:right="-54" w:hanging="0"/>
        <w:jc w:val="center"/>
        <w:rPr>
          <w:rFonts w:ascii="Arial" w:hAnsi="Arial" w:cs="Arial"/>
          <w:sz w:val="22"/>
          <w:szCs w:val="22"/>
        </w:rPr>
      </w:pPr>
      <w:r>
        <w:rPr>
          <w:rFonts w:cs="Arial" w:ascii="Arial" w:hAnsi="Arial"/>
          <w:b/>
          <w:bCs/>
          <w:sz w:val="22"/>
          <w:szCs w:val="22"/>
        </w:rPr>
        <w:t>PROCESSO ADMINISTRATIVO Nº 7906/2024</w:t>
      </w:r>
    </w:p>
    <w:p>
      <w:pPr>
        <w:pStyle w:val="Normal"/>
        <w:pBdr>
          <w:top w:val="single" w:sz="4" w:space="1" w:color="000000"/>
          <w:left w:val="single" w:sz="4" w:space="4" w:color="000000"/>
          <w:bottom w:val="single" w:sz="4" w:space="1" w:color="000000"/>
          <w:right w:val="single" w:sz="4" w:space="4" w:color="000000"/>
        </w:pBdr>
        <w:spacing w:lineRule="auto" w:line="360"/>
        <w:ind w:right="-54" w:hanging="0"/>
        <w:jc w:val="center"/>
        <w:rPr>
          <w:rFonts w:ascii="Arial" w:hAnsi="Arial" w:cs="Arial"/>
          <w:b/>
          <w:bCs/>
          <w:sz w:val="22"/>
          <w:szCs w:val="22"/>
        </w:rPr>
      </w:pPr>
      <w:r>
        <w:rPr>
          <w:rFonts w:cs="Arial" w:ascii="Arial" w:hAnsi="Arial"/>
          <w:b/>
          <w:bCs/>
          <w:sz w:val="22"/>
          <w:szCs w:val="22"/>
        </w:rPr>
        <w:t>Pregão Eletrônico 107/2024</w:t>
      </w:r>
    </w:p>
    <w:p>
      <w:pPr>
        <w:pStyle w:val="Normal"/>
        <w:spacing w:lineRule="auto" w:line="360"/>
        <w:ind w:right="-54" w:hanging="0"/>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b/>
          <w:sz w:val="22"/>
          <w:szCs w:val="22"/>
          <w:u w:val="single"/>
        </w:rPr>
      </w:pPr>
      <w:r>
        <w:rPr>
          <w:rFonts w:cs="Arial" w:ascii="Arial" w:hAnsi="Arial"/>
          <w:b/>
          <w:sz w:val="22"/>
          <w:szCs w:val="22"/>
          <w:u w:val="single"/>
        </w:rPr>
      </w:r>
    </w:p>
    <w:p>
      <w:pPr>
        <w:pStyle w:val="Normal"/>
        <w:spacing w:lineRule="auto" w:line="360"/>
        <w:jc w:val="both"/>
        <w:rPr>
          <w:rFonts w:ascii="Arial" w:hAnsi="Arial" w:eastAsia="Arial" w:cs="Arial"/>
          <w:sz w:val="22"/>
          <w:szCs w:val="22"/>
        </w:rPr>
      </w:pPr>
      <w:r>
        <w:rPr>
          <w:rFonts w:cs="Arial" w:ascii="Arial" w:hAnsi="Arial"/>
          <w:sz w:val="22"/>
          <w:szCs w:val="22"/>
        </w:rPr>
        <w:t xml:space="preserve">A </w:t>
      </w:r>
      <w:r>
        <w:rPr>
          <w:rFonts w:cs="Arial" w:ascii="Arial" w:hAnsi="Arial"/>
          <w:b/>
          <w:bCs/>
          <w:sz w:val="22"/>
          <w:szCs w:val="22"/>
        </w:rPr>
        <w:t>PREFEITURA DO MUNICÍPIO DE ITATIBA</w:t>
      </w:r>
      <w:r>
        <w:rPr>
          <w:rFonts w:cs="Arial" w:ascii="Arial" w:hAnsi="Arial"/>
          <w:sz w:val="22"/>
          <w:szCs w:val="22"/>
        </w:rPr>
        <w:t xml:space="preserve">, através da </w:t>
      </w:r>
      <w:r>
        <w:rPr>
          <w:rFonts w:cs="Arial" w:ascii="Arial" w:hAnsi="Arial"/>
          <w:b/>
          <w:bCs/>
          <w:sz w:val="22"/>
          <w:szCs w:val="22"/>
        </w:rPr>
        <w:t>SECRETARIA DA XXXXX</w:t>
      </w:r>
      <w:r>
        <w:rPr>
          <w:rFonts w:cs="Arial" w:ascii="Arial" w:hAnsi="Arial"/>
          <w:sz w:val="22"/>
          <w:szCs w:val="22"/>
        </w:rPr>
        <w:t xml:space="preserve">, representada por xxxxxxxxxxxxxxx, Prefeito Municipal, neste ato assistido por xxxxxxxx, Secretário de xxxxxxxxx, </w:t>
      </w:r>
      <w:r>
        <w:rPr>
          <w:rFonts w:eastAsia="Arial" w:cs="Arial" w:ascii="Arial" w:hAnsi="Arial"/>
          <w:sz w:val="22"/>
          <w:szCs w:val="22"/>
        </w:rPr>
        <w:t xml:space="preserve">doravante denominado CONTRATANTE, inscrita no CNPJ sob o nº ............................, sediado(a) na ..................................., doravante designado CONTRATADO, neste ato representado(a) por .................................. (nome e função no contratado), conforme atos constitutivos da empresa </w:t>
      </w:r>
      <w:r>
        <w:rPr>
          <w:rFonts w:eastAsia="Arial" w:cs="Arial" w:ascii="Arial" w:hAnsi="Arial"/>
          <w:b/>
          <w:bCs/>
          <w:sz w:val="22"/>
          <w:szCs w:val="22"/>
        </w:rPr>
        <w:t>OU</w:t>
      </w:r>
      <w:r>
        <w:rPr>
          <w:rFonts w:eastAsia="Arial" w:cs="Arial" w:ascii="Arial" w:hAnsi="Arial"/>
          <w:sz w:val="22"/>
          <w:szCs w:val="22"/>
        </w:rPr>
        <w:t xml:space="preserve"> procuração apresentada nos autos, inscrita no CNPJ sob o nº ................., sediado (a) ..........................., tendo em vista o que consta no Processo nº .............................. e em observância às disposições da </w:t>
      </w:r>
      <w:hyperlink r:id="rId22">
        <w:r>
          <w:rPr>
            <w:rStyle w:val="LinkdaInternet"/>
            <w:rFonts w:eastAsia="Arial" w:cs="Arial" w:ascii="Arial" w:hAnsi="Arial"/>
            <w:color w:val="auto"/>
            <w:sz w:val="22"/>
            <w:szCs w:val="22"/>
          </w:rPr>
          <w:t>Lei nº 14.133, de 1º de abril de 2021</w:t>
        </w:r>
      </w:hyperlink>
      <w:r>
        <w:rPr>
          <w:rFonts w:eastAsia="Arial" w:cs="Arial" w:ascii="Arial" w:hAnsi="Arial"/>
          <w:sz w:val="22"/>
          <w:szCs w:val="22"/>
        </w:rPr>
        <w:t>, e demais legislação aplicável, resolvem celebrar o presente Termo de Contrato, decorrente do Pregão Eletrônico n. .../..., mediante as cláusulas e condições a seguir enunciadas.</w:t>
      </w:r>
    </w:p>
    <w:p>
      <w:pPr>
        <w:pStyle w:val="Normal"/>
        <w:spacing w:lineRule="auto" w:line="360"/>
        <w:jc w:val="both"/>
        <w:rPr>
          <w:rFonts w:ascii="Arial" w:hAnsi="Arial" w:eastAsia="Arial" w:cs="Arial"/>
          <w:sz w:val="22"/>
          <w:szCs w:val="22"/>
        </w:rPr>
      </w:pPr>
      <w:r>
        <w:rPr>
          <w:rFonts w:eastAsia="Arial" w:cs="Arial" w:ascii="Arial" w:hAnsi="Arial"/>
          <w:sz w:val="22"/>
          <w:szCs w:val="22"/>
        </w:rPr>
      </w:r>
    </w:p>
    <w:p>
      <w:pPr>
        <w:pStyle w:val="Nivel01"/>
        <w:numPr>
          <w:ilvl w:val="0"/>
          <w:numId w:val="0"/>
        </w:numPr>
        <w:spacing w:lineRule="auto" w:line="360" w:before="120" w:after="288"/>
        <w:ind w:left="0" w:hanging="0"/>
        <w:rPr>
          <w:sz w:val="22"/>
          <w:szCs w:val="22"/>
        </w:rPr>
      </w:pPr>
      <w:r>
        <w:rPr>
          <w:sz w:val="22"/>
          <w:szCs w:val="22"/>
        </w:rPr>
        <w:t>CLÁUSULA PRIMEIRA – OBJETO</w:t>
      </w:r>
    </w:p>
    <w:p>
      <w:pPr>
        <w:pStyle w:val="Nivel2"/>
        <w:numPr>
          <w:ilvl w:val="3"/>
          <w:numId w:val="18"/>
        </w:numPr>
        <w:spacing w:before="120" w:after="288"/>
        <w:ind w:left="0" w:hanging="0"/>
        <w:rPr>
          <w:rFonts w:eastAsia="Arial"/>
          <w:b/>
          <w:bCs/>
          <w:sz w:val="22"/>
          <w:szCs w:val="22"/>
        </w:rPr>
      </w:pPr>
      <w:r>
        <w:rPr>
          <w:color w:val="auto"/>
          <w:sz w:val="22"/>
          <w:szCs w:val="22"/>
        </w:rPr>
        <w:t xml:space="preserve">O objeto do presente instrumento é a contratação de .........................., nas condições estabelecidas no </w:t>
      </w:r>
      <w:r>
        <w:rPr>
          <w:sz w:val="22"/>
          <w:szCs w:val="22"/>
        </w:rPr>
        <w:t>Termo de Referência do Edital, que fica fazendo parte integrante desse Contrato.</w:t>
      </w:r>
    </w:p>
    <w:tbl>
      <w:tblPr>
        <w:tblW w:w="949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704"/>
        <w:gridCol w:w="2556"/>
        <w:gridCol w:w="1280"/>
        <w:gridCol w:w="1136"/>
        <w:gridCol w:w="1553"/>
        <w:gridCol w:w="1285"/>
        <w:gridCol w:w="983"/>
      </w:tblGrid>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Cs/>
                <w:sz w:val="16"/>
                <w:szCs w:val="16"/>
              </w:rPr>
            </w:pPr>
            <w:r>
              <w:rPr>
                <w:rFonts w:eastAsia="Arial" w:cs="Arial" w:ascii="Arial" w:hAnsi="Arial"/>
                <w:b/>
                <w:bCs/>
                <w:sz w:val="16"/>
                <w:szCs w:val="16"/>
              </w:rPr>
              <w:t>ITEM</w:t>
            </w:r>
          </w:p>
          <w:p>
            <w:pPr>
              <w:pStyle w:val="Normal"/>
              <w:widowControl w:val="false"/>
              <w:spacing w:lineRule="auto" w:line="360" w:before="120" w:after="288"/>
              <w:jc w:val="center"/>
              <w:rPr>
                <w:rFonts w:ascii="Arial" w:hAnsi="Arial" w:eastAsia="Arial" w:cs="Arial"/>
                <w:b/>
                <w:bCs/>
                <w:sz w:val="16"/>
                <w:szCs w:val="16"/>
              </w:rPr>
            </w:pPr>
            <w:r>
              <w:rPr>
                <w:rFonts w:eastAsia="Arial" w:cs="Arial" w:ascii="Arial" w:hAnsi="Arial"/>
                <w:b/>
                <w:bCs/>
                <w:sz w:val="16"/>
                <w:szCs w:val="16"/>
              </w:rPr>
            </w:r>
          </w:p>
        </w:tc>
        <w:tc>
          <w:tcPr>
            <w:tcW w:w="25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sz w:val="16"/>
                <w:szCs w:val="16"/>
              </w:rPr>
            </w:pPr>
            <w:r>
              <w:rPr>
                <w:rFonts w:eastAsia="Arial" w:cs="Arial" w:ascii="Arial" w:hAnsi="Arial"/>
                <w:b/>
                <w:bCs/>
                <w:sz w:val="16"/>
                <w:szCs w:val="16"/>
              </w:rPr>
              <w:t>ESPECIFICAÇÃO</w:t>
            </w:r>
          </w:p>
        </w:tc>
        <w:tc>
          <w:tcPr>
            <w:tcW w:w="12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sz w:val="16"/>
                <w:szCs w:val="16"/>
              </w:rPr>
            </w:pPr>
            <w:r>
              <w:rPr>
                <w:rFonts w:eastAsia="Arial" w:cs="Arial" w:ascii="Arial" w:hAnsi="Arial"/>
                <w:b/>
                <w:bCs/>
                <w:sz w:val="16"/>
                <w:szCs w:val="16"/>
              </w:rPr>
              <w:t>CÓDIGO</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sz w:val="16"/>
                <w:szCs w:val="16"/>
              </w:rPr>
            </w:pPr>
            <w:r>
              <w:rPr>
                <w:rFonts w:eastAsia="Arial" w:cs="Arial" w:ascii="Arial" w:hAnsi="Arial"/>
                <w:b/>
                <w:bCs/>
                <w:sz w:val="16"/>
                <w:szCs w:val="16"/>
              </w:rPr>
              <w:t>UNIDADE DE MEDIDA</w:t>
            </w:r>
          </w:p>
        </w:tc>
        <w:tc>
          <w:tcPr>
            <w:tcW w:w="1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Cs/>
                <w:sz w:val="16"/>
                <w:szCs w:val="16"/>
              </w:rPr>
            </w:pPr>
            <w:r>
              <w:rPr>
                <w:rFonts w:eastAsia="Arial" w:cs="Arial" w:ascii="Arial" w:hAnsi="Arial"/>
                <w:b/>
                <w:bCs/>
                <w:sz w:val="16"/>
                <w:szCs w:val="16"/>
              </w:rPr>
              <w:t>QUANTIDADE</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Cs/>
                <w:sz w:val="16"/>
                <w:szCs w:val="16"/>
              </w:rPr>
            </w:pPr>
            <w:r>
              <w:rPr>
                <w:rFonts w:eastAsia="Arial" w:cs="Arial" w:ascii="Arial" w:hAnsi="Arial"/>
                <w:b/>
                <w:bCs/>
                <w:sz w:val="16"/>
                <w:szCs w:val="16"/>
              </w:rPr>
              <w:t>VALOR UNITÁRIO</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Cs/>
                <w:sz w:val="16"/>
                <w:szCs w:val="16"/>
              </w:rPr>
            </w:pPr>
            <w:r>
              <w:rPr>
                <w:rFonts w:eastAsia="Arial" w:cs="Arial" w:ascii="Arial" w:hAnsi="Arial"/>
                <w:b/>
                <w:bCs/>
                <w:sz w:val="16"/>
                <w:szCs w:val="16"/>
              </w:rPr>
              <w:t>VALOR TOTAL</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Cs/>
                <w:sz w:val="16"/>
                <w:szCs w:val="16"/>
              </w:rPr>
            </w:pPr>
            <w:r>
              <w:rPr>
                <w:rFonts w:eastAsia="Arial" w:cs="Arial" w:ascii="Arial" w:hAnsi="Arial"/>
                <w:b/>
                <w:bCs/>
                <w:sz w:val="16"/>
                <w:szCs w:val="16"/>
              </w:rPr>
              <w:t>1</w:t>
            </w:r>
          </w:p>
        </w:tc>
        <w:tc>
          <w:tcPr>
            <w:tcW w:w="25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rPr>
                <w:rFonts w:ascii="Arial" w:hAnsi="Arial" w:eastAsia="Arial" w:cs="Arial"/>
                <w:sz w:val="16"/>
                <w:szCs w:val="16"/>
              </w:rPr>
            </w:pPr>
            <w:r>
              <w:rPr>
                <w:rFonts w:eastAsia="Arial" w:cs="Arial" w:ascii="Arial" w:hAnsi="Arial"/>
                <w:sz w:val="16"/>
                <w:szCs w:val="16"/>
              </w:rPr>
            </w:r>
          </w:p>
        </w:tc>
        <w:tc>
          <w:tcPr>
            <w:tcW w:w="12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rPr>
                <w:rFonts w:ascii="Arial" w:hAnsi="Arial" w:eastAsia="Arial" w:cs="Arial"/>
                <w:sz w:val="16"/>
                <w:szCs w:val="16"/>
              </w:rPr>
            </w:pPr>
            <w:r>
              <w:rPr>
                <w:rFonts w:eastAsia="Arial" w:cs="Arial" w:ascii="Arial" w:hAnsi="Arial"/>
                <w:sz w:val="16"/>
                <w:szCs w:val="16"/>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rPr>
                <w:rFonts w:ascii="Arial" w:hAnsi="Arial" w:eastAsia="Arial" w:cs="Arial"/>
                <w:sz w:val="16"/>
                <w:szCs w:val="16"/>
              </w:rPr>
            </w:pPr>
            <w:r>
              <w:rPr>
                <w:rFonts w:eastAsia="Arial" w:cs="Arial" w:ascii="Arial" w:hAnsi="Arial"/>
                <w:sz w:val="16"/>
                <w:szCs w:val="16"/>
              </w:rPr>
            </w:r>
          </w:p>
        </w:tc>
        <w:tc>
          <w:tcPr>
            <w:tcW w:w="1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rPr>
                <w:rFonts w:ascii="Arial" w:hAnsi="Arial" w:eastAsia="Arial" w:cs="Arial"/>
                <w:sz w:val="16"/>
                <w:szCs w:val="16"/>
              </w:rPr>
            </w:pPr>
            <w:r>
              <w:rPr>
                <w:rFonts w:eastAsia="Arial" w:cs="Arial" w:ascii="Arial" w:hAnsi="Arial"/>
                <w:sz w:val="16"/>
                <w:szCs w:val="16"/>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rPr>
                <w:rFonts w:ascii="Arial" w:hAnsi="Arial" w:eastAsia="Arial" w:cs="Arial"/>
                <w:sz w:val="16"/>
                <w:szCs w:val="16"/>
              </w:rPr>
            </w:pPr>
            <w:r>
              <w:rPr>
                <w:rFonts w:eastAsia="Arial" w:cs="Arial" w:ascii="Arial" w:hAnsi="Arial"/>
                <w:sz w:val="16"/>
                <w:szCs w:val="16"/>
              </w:rPr>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rPr>
                <w:rFonts w:ascii="Arial" w:hAnsi="Arial" w:eastAsia="Arial" w:cs="Arial"/>
                <w:sz w:val="16"/>
                <w:szCs w:val="16"/>
              </w:rPr>
            </w:pPr>
            <w:r>
              <w:rPr>
                <w:rFonts w:eastAsia="Arial" w:cs="Arial" w:ascii="Arial" w:hAnsi="Arial"/>
                <w:sz w:val="16"/>
                <w:szCs w:val="16"/>
              </w:rPr>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Cs/>
                <w:sz w:val="16"/>
                <w:szCs w:val="16"/>
              </w:rPr>
            </w:pPr>
            <w:r>
              <w:rPr>
                <w:rFonts w:eastAsia="Arial" w:cs="Arial" w:ascii="Arial" w:hAnsi="Arial"/>
                <w:b/>
                <w:bCs/>
                <w:sz w:val="16"/>
                <w:szCs w:val="16"/>
              </w:rPr>
              <w:t>...</w:t>
            </w:r>
          </w:p>
        </w:tc>
        <w:tc>
          <w:tcPr>
            <w:tcW w:w="25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sz w:val="16"/>
                <w:szCs w:val="16"/>
              </w:rPr>
            </w:pPr>
            <w:r>
              <w:rPr>
                <w:rFonts w:eastAsia="Arial" w:cs="Arial" w:ascii="Arial" w:hAnsi="Arial"/>
                <w:sz w:val="16"/>
                <w:szCs w:val="16"/>
              </w:rPr>
            </w:r>
          </w:p>
        </w:tc>
        <w:tc>
          <w:tcPr>
            <w:tcW w:w="12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rPr>
                <w:rFonts w:ascii="Arial" w:hAnsi="Arial" w:eastAsia="Arial" w:cs="Arial"/>
                <w:sz w:val="16"/>
                <w:szCs w:val="16"/>
              </w:rPr>
            </w:pPr>
            <w:r>
              <w:rPr>
                <w:rFonts w:eastAsia="Arial" w:cs="Arial" w:ascii="Arial" w:hAnsi="Arial"/>
                <w:sz w:val="16"/>
                <w:szCs w:val="16"/>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rPr>
                <w:rFonts w:ascii="Arial" w:hAnsi="Arial" w:eastAsia="Arial" w:cs="Arial"/>
                <w:sz w:val="16"/>
                <w:szCs w:val="16"/>
              </w:rPr>
            </w:pPr>
            <w:r>
              <w:rPr>
                <w:rFonts w:eastAsia="Arial" w:cs="Arial" w:ascii="Arial" w:hAnsi="Arial"/>
                <w:sz w:val="16"/>
                <w:szCs w:val="16"/>
              </w:rPr>
            </w:r>
          </w:p>
        </w:tc>
        <w:tc>
          <w:tcPr>
            <w:tcW w:w="1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rPr>
                <w:rFonts w:ascii="Arial" w:hAnsi="Arial" w:eastAsia="Arial" w:cs="Arial"/>
                <w:sz w:val="16"/>
                <w:szCs w:val="16"/>
              </w:rPr>
            </w:pPr>
            <w:r>
              <w:rPr>
                <w:rFonts w:eastAsia="Arial" w:cs="Arial" w:ascii="Arial" w:hAnsi="Arial"/>
                <w:sz w:val="16"/>
                <w:szCs w:val="16"/>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rPr>
                <w:rFonts w:ascii="Arial" w:hAnsi="Arial" w:eastAsia="Arial" w:cs="Arial"/>
                <w:sz w:val="16"/>
                <w:szCs w:val="16"/>
              </w:rPr>
            </w:pPr>
            <w:r>
              <w:rPr>
                <w:rFonts w:eastAsia="Arial" w:cs="Arial" w:ascii="Arial" w:hAnsi="Arial"/>
                <w:sz w:val="16"/>
                <w:szCs w:val="16"/>
              </w:rPr>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rPr>
                <w:rFonts w:ascii="Arial" w:hAnsi="Arial" w:eastAsia="Arial" w:cs="Arial"/>
                <w:sz w:val="16"/>
                <w:szCs w:val="16"/>
              </w:rPr>
            </w:pPr>
            <w:r>
              <w:rPr>
                <w:rFonts w:eastAsia="Arial" w:cs="Arial" w:ascii="Arial" w:hAnsi="Arial"/>
                <w:sz w:val="16"/>
                <w:szCs w:val="16"/>
              </w:rPr>
            </w:r>
          </w:p>
        </w:tc>
      </w:tr>
    </w:tbl>
    <w:p>
      <w:pPr>
        <w:pStyle w:val="Nivel2"/>
        <w:numPr>
          <w:ilvl w:val="0"/>
          <w:numId w:val="0"/>
        </w:numPr>
        <w:spacing w:lineRule="auto" w:line="360" w:before="120" w:after="288"/>
        <w:ind w:left="0" w:hanging="7"/>
        <w:rPr>
          <w:color w:val="auto"/>
          <w:sz w:val="22"/>
          <w:szCs w:val="22"/>
          <w:lang w:val="x-none"/>
        </w:rPr>
      </w:pPr>
      <w:r>
        <w:rPr>
          <w:color w:val="auto"/>
          <w:sz w:val="22"/>
          <w:szCs w:val="22"/>
        </w:rPr>
        <w:t>1.2 - Vinculam esta contratação, independentemente de transcrição:</w:t>
      </w:r>
    </w:p>
    <w:p>
      <w:pPr>
        <w:pStyle w:val="Nivel3"/>
        <w:numPr>
          <w:ilvl w:val="0"/>
          <w:numId w:val="3"/>
        </w:numPr>
        <w:spacing w:lineRule="auto" w:line="360" w:before="120" w:after="288"/>
        <w:ind w:left="0" w:hanging="0"/>
        <w:rPr>
          <w:color w:val="auto"/>
          <w:sz w:val="22"/>
          <w:szCs w:val="22"/>
          <w:lang w:val="x-none"/>
        </w:rPr>
      </w:pPr>
      <w:r>
        <w:rPr>
          <w:color w:val="auto"/>
          <w:sz w:val="22"/>
          <w:szCs w:val="22"/>
        </w:rPr>
        <w:t>O Termo de Referência;</w:t>
      </w:r>
    </w:p>
    <w:p>
      <w:pPr>
        <w:pStyle w:val="Nivel3"/>
        <w:numPr>
          <w:ilvl w:val="0"/>
          <w:numId w:val="3"/>
        </w:numPr>
        <w:spacing w:lineRule="auto" w:line="360" w:before="120" w:after="288"/>
        <w:ind w:left="0" w:hanging="0"/>
        <w:rPr>
          <w:color w:val="auto"/>
          <w:sz w:val="22"/>
          <w:szCs w:val="22"/>
          <w:lang w:val="x-none"/>
        </w:rPr>
      </w:pPr>
      <w:r>
        <w:rPr>
          <w:color w:val="auto"/>
          <w:sz w:val="22"/>
          <w:szCs w:val="22"/>
        </w:rPr>
        <w:t>O Edital da Licitação;</w:t>
      </w:r>
    </w:p>
    <w:p>
      <w:pPr>
        <w:pStyle w:val="Nivel3"/>
        <w:numPr>
          <w:ilvl w:val="0"/>
          <w:numId w:val="3"/>
        </w:numPr>
        <w:spacing w:lineRule="auto" w:line="360" w:before="120" w:after="288"/>
        <w:ind w:left="0" w:hanging="0"/>
        <w:rPr>
          <w:color w:val="auto"/>
          <w:sz w:val="22"/>
          <w:szCs w:val="22"/>
          <w:lang w:val="x-none"/>
        </w:rPr>
      </w:pPr>
      <w:r>
        <w:rPr>
          <w:color w:val="auto"/>
          <w:sz w:val="22"/>
          <w:szCs w:val="22"/>
        </w:rPr>
        <w:t>A Proposta do contratado;</w:t>
      </w:r>
    </w:p>
    <w:p>
      <w:pPr>
        <w:pStyle w:val="Nivel3"/>
        <w:numPr>
          <w:ilvl w:val="0"/>
          <w:numId w:val="3"/>
        </w:numPr>
        <w:spacing w:lineRule="auto" w:line="360" w:before="120" w:after="288"/>
        <w:ind w:left="0" w:hanging="0"/>
        <w:rPr>
          <w:color w:val="auto"/>
          <w:sz w:val="22"/>
          <w:szCs w:val="22"/>
          <w:lang w:val="x-none"/>
        </w:rPr>
      </w:pPr>
      <w:r>
        <w:rPr>
          <w:color w:val="auto"/>
          <w:sz w:val="22"/>
          <w:szCs w:val="22"/>
        </w:rPr>
        <w:t>Eventuais anexos dos documentos supracitados.</w:t>
      </w:r>
    </w:p>
    <w:p>
      <w:pPr>
        <w:pStyle w:val="Nivel01"/>
        <w:numPr>
          <w:ilvl w:val="0"/>
          <w:numId w:val="0"/>
        </w:numPr>
        <w:spacing w:lineRule="auto" w:line="360" w:before="120" w:after="288"/>
        <w:ind w:left="0" w:hanging="0"/>
        <w:rPr>
          <w:sz w:val="22"/>
          <w:szCs w:val="22"/>
        </w:rPr>
      </w:pPr>
      <w:r>
        <w:rPr>
          <w:sz w:val="22"/>
          <w:szCs w:val="22"/>
        </w:rPr>
        <w:t>CLÁUSULA SEGUNDA – VIGÊNCIA E PRORROGAÇÃO</w:t>
      </w:r>
    </w:p>
    <w:p>
      <w:pPr>
        <w:pStyle w:val="Nvel2-Red"/>
        <w:numPr>
          <w:ilvl w:val="1"/>
          <w:numId w:val="4"/>
        </w:numPr>
        <w:spacing w:lineRule="auto" w:line="360" w:before="120" w:after="288"/>
        <w:ind w:left="0" w:hanging="0"/>
        <w:rPr>
          <w:i w:val="false"/>
          <w:i w:val="false"/>
          <w:iCs w:val="false"/>
          <w:color w:val="auto"/>
          <w:sz w:val="22"/>
          <w:szCs w:val="22"/>
        </w:rPr>
      </w:pPr>
      <w:r>
        <w:rPr>
          <w:i w:val="false"/>
          <w:iCs w:val="false"/>
          <w:color w:val="auto"/>
          <w:sz w:val="22"/>
          <w:szCs w:val="22"/>
        </w:rPr>
        <w:t xml:space="preserve">- O prazo de vigência da contratação é de 24 (vinte e quatro) meses, contados da assinatura do Contrato, na forma do </w:t>
      </w:r>
      <w:r>
        <w:fldChar w:fldCharType="begin"/>
      </w:r>
      <w:r>
        <w:rPr>
          <w:rStyle w:val="LinkdaInternet"/>
          <w:sz w:val="22"/>
          <w:i w:val="false"/>
          <w:szCs w:val="22"/>
          <w:iCs w:val="false"/>
          <w:color w:val="auto"/>
        </w:rPr>
        <w:instrText xml:space="preserve"> HYPERLINK "http://www.planalto.gov.br/ccivil_03/_ato2019-2022/2021/lei/L14133.htm" \l "art105"</w:instrText>
      </w:r>
      <w:r>
        <w:rPr>
          <w:rStyle w:val="LinkdaInternet"/>
          <w:sz w:val="22"/>
          <w:i w:val="false"/>
          <w:szCs w:val="22"/>
          <w:iCs w:val="false"/>
          <w:color w:val="auto"/>
        </w:rPr>
        <w:fldChar w:fldCharType="separate"/>
      </w:r>
      <w:r>
        <w:rPr>
          <w:rStyle w:val="LinkdaInternet"/>
          <w:i w:val="false"/>
          <w:iCs w:val="false"/>
          <w:color w:val="auto"/>
          <w:sz w:val="22"/>
          <w:szCs w:val="22"/>
        </w:rPr>
        <w:t>artigo 105 da Lei n° 14.133, de 2021</w:t>
      </w:r>
      <w:r>
        <w:rPr>
          <w:rStyle w:val="LinkdaInternet"/>
          <w:sz w:val="22"/>
          <w:i w:val="false"/>
          <w:szCs w:val="22"/>
          <w:iCs w:val="false"/>
          <w:color w:val="auto"/>
        </w:rPr>
        <w:fldChar w:fldCharType="end"/>
      </w:r>
      <w:r>
        <w:rPr>
          <w:i w:val="false"/>
          <w:iCs w:val="false"/>
          <w:color w:val="auto"/>
          <w:sz w:val="22"/>
          <w:szCs w:val="22"/>
        </w:rPr>
        <w:t xml:space="preserve">, podendo ser prorrogado de acordo com a Lei 14.133/2021, mediante Termo Aditivo. </w:t>
      </w:r>
    </w:p>
    <w:p>
      <w:pPr>
        <w:pStyle w:val="Nivel01"/>
        <w:numPr>
          <w:ilvl w:val="0"/>
          <w:numId w:val="0"/>
        </w:numPr>
        <w:spacing w:lineRule="auto" w:line="360" w:before="120" w:after="288"/>
        <w:ind w:left="0" w:hanging="0"/>
        <w:rPr>
          <w:sz w:val="22"/>
          <w:szCs w:val="22"/>
        </w:rPr>
      </w:pPr>
      <w:r>
        <w:rPr>
          <w:sz w:val="22"/>
          <w:szCs w:val="22"/>
        </w:rPr>
        <w:t>CLÁUSULA TERCEIRA – MODELOS DE EXECUÇÃO E GESTÃO CONTRATUAIS</w:t>
      </w:r>
    </w:p>
    <w:p>
      <w:pPr>
        <w:pStyle w:val="Nivel2"/>
        <w:numPr>
          <w:ilvl w:val="0"/>
          <w:numId w:val="0"/>
        </w:numPr>
        <w:spacing w:lineRule="auto" w:line="360" w:before="120" w:after="288"/>
        <w:ind w:left="0" w:hanging="0"/>
        <w:rPr>
          <w:color w:val="auto"/>
          <w:sz w:val="22"/>
          <w:szCs w:val="22"/>
        </w:rPr>
      </w:pPr>
      <w:r>
        <w:rPr>
          <w:color w:val="auto"/>
          <w:sz w:val="22"/>
          <w:szCs w:val="22"/>
        </w:rPr>
        <w:t>3.1 - O regime de execução contratual, os modelos de gestão e de execução, assim como os prazos e condições de conclusão, entrega, observação e recebimento do objeto constam no Termo de Referência, que fica fazendo parte integrante deste Contrato.</w:t>
      </w:r>
    </w:p>
    <w:p>
      <w:pPr>
        <w:pStyle w:val="Nivel01"/>
        <w:numPr>
          <w:ilvl w:val="0"/>
          <w:numId w:val="0"/>
        </w:numPr>
        <w:spacing w:lineRule="auto" w:line="360" w:before="120" w:after="288"/>
        <w:ind w:left="0" w:hanging="0"/>
        <w:rPr>
          <w:sz w:val="22"/>
          <w:szCs w:val="22"/>
        </w:rPr>
      </w:pPr>
      <w:r>
        <w:rPr>
          <w:sz w:val="22"/>
          <w:szCs w:val="22"/>
        </w:rPr>
        <w:t>CLÁUSULA QUARTA – SUBCONTRATAÇÃO</w:t>
      </w:r>
    </w:p>
    <w:p>
      <w:pPr>
        <w:pStyle w:val="Nvel2-Red"/>
        <w:spacing w:lineRule="auto" w:line="360" w:before="120" w:after="288"/>
        <w:ind w:left="0" w:hanging="0"/>
        <w:rPr>
          <w:i w:val="false"/>
          <w:i w:val="false"/>
          <w:iCs w:val="false"/>
          <w:color w:val="auto"/>
          <w:sz w:val="22"/>
          <w:szCs w:val="22"/>
        </w:rPr>
      </w:pPr>
      <w:r>
        <w:rPr>
          <w:i w:val="false"/>
          <w:iCs w:val="false"/>
          <w:color w:val="auto"/>
          <w:sz w:val="22"/>
          <w:szCs w:val="22"/>
        </w:rPr>
        <w:t>4.1. Poderão ser subcontratados até 30% dos serviços contratados</w:t>
      </w:r>
    </w:p>
    <w:p>
      <w:pPr>
        <w:pStyle w:val="Nvel2-Red"/>
        <w:spacing w:lineRule="auto" w:line="360" w:before="120" w:after="288"/>
        <w:ind w:left="0" w:hanging="0"/>
        <w:rPr>
          <w:b/>
          <w:bCs/>
          <w:i w:val="false"/>
          <w:i w:val="false"/>
          <w:iCs w:val="false"/>
          <w:color w:val="auto"/>
          <w:sz w:val="22"/>
          <w:szCs w:val="22"/>
        </w:rPr>
      </w:pPr>
      <w:r>
        <w:rPr>
          <w:b/>
          <w:bCs/>
          <w:i w:val="false"/>
          <w:iCs w:val="false"/>
          <w:color w:val="auto"/>
          <w:sz w:val="22"/>
          <w:szCs w:val="22"/>
        </w:rPr>
        <w:t>CLÁUSULA QUINTA – PREÇO E DA DOTAÇÃO ORÇAMENTÁRIA</w:t>
      </w:r>
    </w:p>
    <w:p>
      <w:pPr>
        <w:pStyle w:val="Nvel2-Red"/>
        <w:numPr>
          <w:ilvl w:val="1"/>
          <w:numId w:val="6"/>
        </w:numPr>
        <w:spacing w:lineRule="auto" w:line="360" w:before="120" w:after="288"/>
        <w:rPr>
          <w:i w:val="false"/>
          <w:i w:val="false"/>
          <w:iCs w:val="false"/>
          <w:color w:val="auto"/>
          <w:sz w:val="22"/>
          <w:szCs w:val="22"/>
        </w:rPr>
      </w:pPr>
      <w:r>
        <w:rPr>
          <w:i w:val="false"/>
          <w:iCs w:val="false"/>
          <w:color w:val="auto"/>
          <w:sz w:val="22"/>
          <w:szCs w:val="22"/>
        </w:rPr>
        <w:t>- O valor total da contratação é de R$.......... (.....)</w:t>
      </w:r>
    </w:p>
    <w:p>
      <w:pPr>
        <w:pStyle w:val="Normal"/>
        <w:spacing w:lineRule="auto" w:line="360"/>
        <w:ind w:right="-54" w:hanging="0"/>
        <w:jc w:val="both"/>
        <w:rPr>
          <w:rFonts w:ascii="Arial" w:hAnsi="Arial" w:cs="Arial"/>
          <w:sz w:val="22"/>
          <w:szCs w:val="22"/>
        </w:rPr>
      </w:pPr>
      <w:r>
        <w:rPr>
          <w:rFonts w:cs="Arial" w:ascii="Arial" w:hAnsi="Arial"/>
          <w:sz w:val="22"/>
          <w:szCs w:val="22"/>
        </w:rPr>
        <w:t>5.2 - Para fazer frente às despesas do presente contrato, existem recursos orçamentários reservados, onerando a dotação classificada na Natureza da despesa nº ______. Unidade Orçamentária: __________</w:t>
      </w:r>
    </w:p>
    <w:p>
      <w:pPr>
        <w:pStyle w:val="Nivel01"/>
        <w:numPr>
          <w:ilvl w:val="0"/>
          <w:numId w:val="0"/>
        </w:numPr>
        <w:spacing w:lineRule="auto" w:line="360" w:before="120" w:after="288"/>
        <w:ind w:left="0" w:hanging="0"/>
        <w:rPr>
          <w:sz w:val="22"/>
          <w:szCs w:val="22"/>
        </w:rPr>
      </w:pPr>
      <w:r>
        <w:rPr>
          <w:sz w:val="22"/>
          <w:szCs w:val="22"/>
        </w:rPr>
        <w:t>CLÁUSULA SEXTA - PAGAMENTO</w:t>
      </w:r>
    </w:p>
    <w:p>
      <w:pPr>
        <w:pStyle w:val="Nivel2"/>
        <w:numPr>
          <w:ilvl w:val="1"/>
          <w:numId w:val="5"/>
        </w:numPr>
        <w:spacing w:lineRule="auto" w:line="360" w:before="120" w:after="288"/>
        <w:ind w:left="0" w:hanging="0"/>
        <w:rPr>
          <w:color w:val="auto"/>
          <w:sz w:val="22"/>
          <w:szCs w:val="22"/>
        </w:rPr>
      </w:pPr>
      <w:r>
        <w:rPr>
          <w:color w:val="auto"/>
          <w:sz w:val="22"/>
          <w:szCs w:val="22"/>
        </w:rPr>
        <w:t xml:space="preserve">- O prazo para pagamento </w:t>
      </w:r>
      <w:r>
        <w:rPr>
          <w:color w:val="auto"/>
          <w:sz w:val="22"/>
          <w:szCs w:val="22"/>
          <w:lang w:eastAsia="en-US"/>
        </w:rPr>
        <w:t>ao contratado</w:t>
      </w:r>
      <w:r>
        <w:rPr>
          <w:color w:val="auto"/>
          <w:sz w:val="22"/>
          <w:szCs w:val="22"/>
        </w:rPr>
        <w:t xml:space="preserve"> e demais condições a ele referentes encontram-se definidos no Termo de Referência, que fica fazendo parte integrante deste Contrato.</w:t>
      </w:r>
    </w:p>
    <w:p>
      <w:pPr>
        <w:pStyle w:val="Nivel01"/>
        <w:numPr>
          <w:ilvl w:val="0"/>
          <w:numId w:val="0"/>
        </w:numPr>
        <w:spacing w:lineRule="auto" w:line="360" w:before="120" w:after="288"/>
        <w:ind w:left="0" w:hanging="0"/>
        <w:rPr>
          <w:sz w:val="22"/>
          <w:szCs w:val="22"/>
        </w:rPr>
      </w:pPr>
      <w:r>
        <w:rPr>
          <w:sz w:val="22"/>
          <w:szCs w:val="22"/>
        </w:rPr>
        <w:t>CLÁUSULA SÉTIMA - REAJUSTE (</w:t>
      </w:r>
      <w:r>
        <w:fldChar w:fldCharType="begin"/>
      </w:r>
      <w:r>
        <w:rPr>
          <w:rStyle w:val="LinkdaInternet"/>
          <w:sz w:val="22"/>
          <w:szCs w:val="22"/>
          <w:color w:val="auto"/>
        </w:rPr>
        <w:instrText xml:space="preserve"> HYPERLINK "http://www.planalto.gov.br/ccivil_03/_ato2019-2022/2021/lei/L14133.htm" \l "art92"</w:instrText>
      </w:r>
      <w:r>
        <w:rPr>
          <w:rStyle w:val="LinkdaInternet"/>
          <w:sz w:val="22"/>
          <w:szCs w:val="22"/>
          <w:color w:val="auto"/>
        </w:rPr>
        <w:fldChar w:fldCharType="separate"/>
      </w:r>
      <w:r>
        <w:rPr>
          <w:rStyle w:val="LinkdaInternet"/>
          <w:color w:val="auto"/>
          <w:sz w:val="22"/>
          <w:szCs w:val="22"/>
        </w:rPr>
        <w:t>art. 92, V)</w:t>
      </w:r>
      <w:r>
        <w:rPr>
          <w:rStyle w:val="LinkdaInternet"/>
          <w:sz w:val="22"/>
          <w:szCs w:val="22"/>
          <w:color w:val="auto"/>
        </w:rPr>
        <w:fldChar w:fldCharType="end"/>
      </w:r>
    </w:p>
    <w:p>
      <w:pPr>
        <w:pStyle w:val="Nivel01"/>
        <w:numPr>
          <w:ilvl w:val="0"/>
          <w:numId w:val="0"/>
        </w:numPr>
        <w:spacing w:lineRule="auto" w:line="360"/>
        <w:ind w:left="0" w:hanging="0"/>
        <w:rPr>
          <w:rFonts w:eastAsia="MS Mincho"/>
          <w:b w:val="false"/>
          <w:bCs w:val="false"/>
          <w:sz w:val="22"/>
          <w:szCs w:val="22"/>
        </w:rPr>
      </w:pPr>
      <w:r>
        <w:rPr>
          <w:rFonts w:eastAsia="MS Mincho"/>
          <w:b w:val="false"/>
          <w:bCs w:val="false"/>
          <w:sz w:val="22"/>
          <w:szCs w:val="22"/>
        </w:rPr>
        <w:t xml:space="preserve">7.1 Os preços inicialmente contratados são fixos e irreajustáveis no prazo de um ano contado da data do orçamento estimado. </w:t>
      </w:r>
    </w:p>
    <w:p>
      <w:pPr>
        <w:pStyle w:val="Nivel2"/>
        <w:numPr>
          <w:ilvl w:val="0"/>
          <w:numId w:val="0"/>
        </w:numPr>
        <w:spacing w:lineRule="auto" w:line="360" w:before="120" w:after="288"/>
        <w:ind w:left="0" w:hanging="0"/>
        <w:rPr>
          <w:color w:val="auto"/>
          <w:sz w:val="22"/>
          <w:szCs w:val="22"/>
        </w:rPr>
      </w:pPr>
      <w:r>
        <w:rPr>
          <w:color w:val="auto"/>
          <w:sz w:val="22"/>
          <w:szCs w:val="22"/>
        </w:rPr>
        <w:t>7.2 Após o interregno de um ano, os preços iniciais poderão ser reajustados, mediante a aplicação, pelo contratante, do índice de variação do IPCA-IBGE, exclusivamente para as obrigações iniciadas e concluídas após a ocorrência da anualidade.</w:t>
      </w:r>
    </w:p>
    <w:p>
      <w:pPr>
        <w:pStyle w:val="Nivel01"/>
        <w:numPr>
          <w:ilvl w:val="0"/>
          <w:numId w:val="0"/>
        </w:numPr>
        <w:spacing w:lineRule="auto" w:line="360" w:before="120" w:after="288"/>
        <w:ind w:left="0" w:hanging="0"/>
        <w:rPr>
          <w:sz w:val="22"/>
          <w:szCs w:val="22"/>
        </w:rPr>
      </w:pPr>
      <w:r>
        <w:rPr>
          <w:sz w:val="22"/>
          <w:szCs w:val="22"/>
        </w:rPr>
        <w:t>CLÁUSULA OITAVA – GARANTIA CONTRATUAL</w:t>
      </w:r>
    </w:p>
    <w:p>
      <w:pPr>
        <w:pStyle w:val="Nivel2"/>
        <w:numPr>
          <w:ilvl w:val="0"/>
          <w:numId w:val="0"/>
        </w:numPr>
        <w:spacing w:lineRule="auto" w:line="360" w:before="120" w:after="288"/>
        <w:ind w:left="0" w:hanging="7"/>
        <w:rPr>
          <w:color w:val="auto"/>
          <w:sz w:val="22"/>
          <w:szCs w:val="22"/>
        </w:rPr>
      </w:pPr>
      <w:r>
        <w:rPr>
          <w:color w:val="auto"/>
          <w:sz w:val="22"/>
          <w:szCs w:val="22"/>
        </w:rPr>
        <w:t xml:space="preserve">8.1 – </w:t>
      </w:r>
      <w:r>
        <w:rPr>
          <w:sz w:val="22"/>
          <w:szCs w:val="22"/>
        </w:rPr>
        <w:t>Não haverá exigência de garantia contratual da execução.</w:t>
      </w:r>
    </w:p>
    <w:p>
      <w:pPr>
        <w:pStyle w:val="Nivel01"/>
        <w:numPr>
          <w:ilvl w:val="0"/>
          <w:numId w:val="0"/>
        </w:numPr>
        <w:spacing w:lineRule="auto" w:line="360" w:before="120" w:after="288"/>
        <w:ind w:left="0" w:hanging="0"/>
        <w:rPr>
          <w:sz w:val="22"/>
          <w:szCs w:val="22"/>
        </w:rPr>
      </w:pPr>
      <w:r>
        <w:rPr>
          <w:sz w:val="22"/>
          <w:szCs w:val="22"/>
        </w:rPr>
        <w:t>CLÁUSULA NONA - OBRIGAÇÕES DO CONTRATANTE</w:t>
      </w:r>
    </w:p>
    <w:p>
      <w:pPr>
        <w:pStyle w:val="Nivel2"/>
        <w:numPr>
          <w:ilvl w:val="0"/>
          <w:numId w:val="0"/>
        </w:numPr>
        <w:spacing w:lineRule="auto" w:line="360" w:before="120" w:after="288"/>
        <w:ind w:left="0" w:hanging="7"/>
        <w:rPr>
          <w:b/>
          <w:bCs/>
          <w:color w:val="auto"/>
          <w:sz w:val="22"/>
          <w:szCs w:val="22"/>
        </w:rPr>
      </w:pPr>
      <w:r>
        <w:rPr>
          <w:color w:val="auto"/>
          <w:sz w:val="22"/>
          <w:szCs w:val="22"/>
        </w:rPr>
        <w:t>9.1 - São obrigações do Contratante:</w:t>
      </w:r>
    </w:p>
    <w:p>
      <w:pPr>
        <w:pStyle w:val="Nivel2"/>
        <w:numPr>
          <w:ilvl w:val="0"/>
          <w:numId w:val="0"/>
        </w:numPr>
        <w:spacing w:lineRule="auto" w:line="360" w:before="120" w:after="288"/>
        <w:ind w:left="0" w:hanging="7"/>
        <w:rPr>
          <w:color w:val="auto"/>
          <w:sz w:val="22"/>
          <w:szCs w:val="22"/>
        </w:rPr>
      </w:pPr>
      <w:r>
        <w:rPr>
          <w:color w:val="auto"/>
          <w:sz w:val="22"/>
          <w:szCs w:val="22"/>
        </w:rPr>
        <w:t>9.2 - Exigir o cumprimento de todas as obrigações assumidas pelo Contratado, de acordo com o contrato e Termo de Referência que fica fazendo parte integrante deste contrato.;</w:t>
      </w:r>
    </w:p>
    <w:p>
      <w:pPr>
        <w:pStyle w:val="Nivel2"/>
        <w:numPr>
          <w:ilvl w:val="0"/>
          <w:numId w:val="0"/>
        </w:numPr>
        <w:spacing w:lineRule="auto" w:line="360" w:before="120" w:after="288"/>
        <w:ind w:left="0" w:hanging="7"/>
        <w:rPr>
          <w:color w:val="auto"/>
          <w:sz w:val="22"/>
          <w:szCs w:val="22"/>
        </w:rPr>
      </w:pPr>
      <w:r>
        <w:rPr>
          <w:color w:val="auto"/>
          <w:sz w:val="22"/>
          <w:szCs w:val="22"/>
        </w:rPr>
        <w:t>9.3 - Receber o objeto no prazo e condições estabelecidas no Termo de Referência do Edital.</w:t>
      </w:r>
    </w:p>
    <w:p>
      <w:pPr>
        <w:pStyle w:val="Nivel2"/>
        <w:numPr>
          <w:ilvl w:val="0"/>
          <w:numId w:val="0"/>
        </w:numPr>
        <w:spacing w:lineRule="auto" w:line="360" w:before="120" w:after="288"/>
        <w:ind w:left="0" w:hanging="0"/>
        <w:rPr>
          <w:color w:val="auto"/>
          <w:sz w:val="22"/>
          <w:szCs w:val="22"/>
        </w:rPr>
      </w:pPr>
      <w:r>
        <w:rPr>
          <w:color w:val="auto"/>
          <w:sz w:val="22"/>
          <w:szCs w:val="22"/>
        </w:rPr>
        <w:t>9.4 - Notificar o Contratado, por escrito, sobre vícios, defeitos ou incorreções verificadas no objeto fornecido, para que seja por ele substituído, reparado ou corrigido, no total ou em parte, às suas expensas;</w:t>
      </w:r>
    </w:p>
    <w:p>
      <w:pPr>
        <w:pStyle w:val="Nivel2"/>
        <w:numPr>
          <w:ilvl w:val="0"/>
          <w:numId w:val="0"/>
        </w:numPr>
        <w:spacing w:lineRule="auto" w:line="360" w:before="120" w:after="288"/>
        <w:ind w:left="0" w:hanging="0"/>
        <w:rPr>
          <w:color w:val="auto"/>
          <w:sz w:val="22"/>
          <w:szCs w:val="22"/>
        </w:rPr>
      </w:pPr>
      <w:r>
        <w:rPr>
          <w:color w:val="auto"/>
          <w:sz w:val="22"/>
          <w:szCs w:val="22"/>
        </w:rPr>
        <w:t>9.5 - Acompanhar e fiscalizar a execução do contrato e o cumprimento das obrigações pelo Contratado;</w:t>
      </w:r>
    </w:p>
    <w:p>
      <w:pPr>
        <w:pStyle w:val="Nivel2"/>
        <w:numPr>
          <w:ilvl w:val="0"/>
          <w:numId w:val="0"/>
        </w:numPr>
        <w:spacing w:lineRule="auto" w:line="360" w:before="120" w:after="288"/>
        <w:ind w:left="0" w:hanging="0"/>
        <w:rPr>
          <w:color w:val="auto"/>
          <w:sz w:val="22"/>
          <w:szCs w:val="22"/>
        </w:rPr>
      </w:pPr>
      <w:r>
        <w:rPr>
          <w:color w:val="auto"/>
          <w:sz w:val="22"/>
          <w:szCs w:val="22"/>
        </w:rPr>
        <w:t>9.6 - Efetuar o pagamento ao Contratado do valor correspondente ao fornecimento do objeto, no prazo, forma e condições estabelecidos no presente Contrato;</w:t>
      </w:r>
    </w:p>
    <w:p>
      <w:pPr>
        <w:pStyle w:val="Nivel2"/>
        <w:numPr>
          <w:ilvl w:val="0"/>
          <w:numId w:val="0"/>
        </w:numPr>
        <w:spacing w:lineRule="auto" w:line="360" w:before="120" w:after="288"/>
        <w:ind w:left="0" w:hanging="0"/>
        <w:rPr>
          <w:color w:val="auto"/>
          <w:sz w:val="22"/>
          <w:szCs w:val="22"/>
        </w:rPr>
      </w:pPr>
      <w:r>
        <w:rPr>
          <w:color w:val="auto"/>
          <w:sz w:val="22"/>
          <w:szCs w:val="22"/>
        </w:rPr>
        <w:t xml:space="preserve">9.7 - Aplicar ao Contratado as sanções previstas na Lei 14.133/2021 e neste Contrato; </w:t>
      </w:r>
    </w:p>
    <w:p>
      <w:pPr>
        <w:pStyle w:val="Nivel2"/>
        <w:numPr>
          <w:ilvl w:val="0"/>
          <w:numId w:val="0"/>
        </w:numPr>
        <w:spacing w:lineRule="auto" w:line="360" w:before="120" w:after="288"/>
        <w:ind w:left="0" w:hanging="0"/>
        <w:rPr>
          <w:color w:val="auto"/>
          <w:sz w:val="22"/>
          <w:szCs w:val="22"/>
        </w:rPr>
      </w:pPr>
      <w:r>
        <w:rPr>
          <w:color w:val="auto"/>
          <w:sz w:val="22"/>
          <w:szCs w:val="22"/>
        </w:rPr>
        <w:t>9.8 - Cientificar o órgão responsável para adoção das medidas cabíveis quando do descumprimento de obrigações pelo Contratado;</w:t>
      </w:r>
    </w:p>
    <w:p>
      <w:pPr>
        <w:pStyle w:val="Nivel2"/>
        <w:numPr>
          <w:ilvl w:val="0"/>
          <w:numId w:val="0"/>
        </w:numPr>
        <w:spacing w:lineRule="auto" w:line="360" w:before="120" w:after="288"/>
        <w:ind w:left="0" w:hanging="0"/>
        <w:rPr>
          <w:color w:val="auto"/>
          <w:sz w:val="22"/>
          <w:szCs w:val="22"/>
        </w:rPr>
      </w:pPr>
      <w:r>
        <w:rPr>
          <w:color w:val="auto"/>
          <w:sz w:val="22"/>
          <w:szCs w:val="22"/>
        </w:rPr>
        <w:t>9.9 - 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ivel3"/>
        <w:numPr>
          <w:ilvl w:val="0"/>
          <w:numId w:val="0"/>
        </w:numPr>
        <w:spacing w:lineRule="auto" w:line="360" w:before="120" w:after="288"/>
        <w:ind w:left="0" w:hanging="0"/>
        <w:rPr>
          <w:color w:val="auto"/>
          <w:sz w:val="22"/>
          <w:szCs w:val="22"/>
        </w:rPr>
      </w:pPr>
      <w:r>
        <w:rPr>
          <w:color w:val="auto"/>
          <w:sz w:val="22"/>
          <w:szCs w:val="22"/>
        </w:rPr>
        <w:t>9.10 -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Nivel01"/>
        <w:numPr>
          <w:ilvl w:val="0"/>
          <w:numId w:val="0"/>
        </w:numPr>
        <w:spacing w:lineRule="auto" w:line="360" w:before="120" w:after="288"/>
        <w:ind w:left="0" w:hanging="0"/>
        <w:rPr>
          <w:sz w:val="22"/>
          <w:szCs w:val="22"/>
        </w:rPr>
      </w:pPr>
      <w:r>
        <w:rPr>
          <w:sz w:val="22"/>
          <w:szCs w:val="22"/>
        </w:rPr>
        <w:t xml:space="preserve">CLÁUSULA DECIMA - OBRIGAÇÕES DO CONTRATADO </w:t>
      </w:r>
    </w:p>
    <w:p>
      <w:pPr>
        <w:pStyle w:val="Nivel2"/>
        <w:numPr>
          <w:ilvl w:val="0"/>
          <w:numId w:val="0"/>
        </w:numPr>
        <w:spacing w:lineRule="auto" w:line="360" w:before="120" w:after="288"/>
        <w:ind w:left="0" w:hanging="0"/>
        <w:rPr>
          <w:color w:val="auto"/>
          <w:sz w:val="22"/>
          <w:szCs w:val="22"/>
        </w:rPr>
      </w:pPr>
      <w:r>
        <w:rPr>
          <w:color w:val="auto"/>
          <w:sz w:val="22"/>
          <w:szCs w:val="22"/>
        </w:rPr>
        <w:t>10.1 - O Contratado deve cumprir todas as obrigações constantes deste Contrato e Termo de Referência, assumindo como exclusivamente seus os riscos e as despesas decorrentes da boa e perfeita execução do objeto, observando, ainda, as obrigações a seguir dispostas:</w:t>
      </w:r>
    </w:p>
    <w:p>
      <w:pPr>
        <w:pStyle w:val="Nivel2"/>
        <w:numPr>
          <w:ilvl w:val="0"/>
          <w:numId w:val="0"/>
        </w:numPr>
        <w:spacing w:lineRule="auto" w:line="360" w:before="120" w:after="288"/>
        <w:ind w:left="0" w:hanging="0"/>
        <w:rPr>
          <w:color w:val="auto"/>
          <w:sz w:val="22"/>
          <w:szCs w:val="22"/>
        </w:rPr>
      </w:pPr>
      <w:r>
        <w:rPr>
          <w:color w:val="auto"/>
          <w:sz w:val="22"/>
          <w:szCs w:val="22"/>
        </w:rPr>
        <w:t>10.2 - Comunicar ao contratante, no prazo máximo de 24 (vinte e quatro) horas que antecede a data da entrega, os motivos que impossibilitem o cumprimento do prazo previsto, com a devida comprovação;</w:t>
      </w:r>
    </w:p>
    <w:p>
      <w:pPr>
        <w:pStyle w:val="Nivel2"/>
        <w:numPr>
          <w:ilvl w:val="0"/>
          <w:numId w:val="0"/>
        </w:numPr>
        <w:spacing w:lineRule="auto" w:line="360" w:before="120" w:after="288"/>
        <w:ind w:left="0" w:hanging="0"/>
        <w:rPr>
          <w:color w:val="auto"/>
          <w:sz w:val="22"/>
          <w:szCs w:val="22"/>
        </w:rPr>
      </w:pPr>
      <w:r>
        <w:rPr>
          <w:color w:val="auto"/>
          <w:sz w:val="22"/>
          <w:szCs w:val="22"/>
        </w:rPr>
        <w:t>10.3 - Atender às determinações regulares emitidas pelo fiscal ou gestor do contrato ou autoridade superior (</w:t>
      </w:r>
      <w:r>
        <w:fldChar w:fldCharType="begin"/>
      </w:r>
      <w:r>
        <w:rPr>
          <w:rStyle w:val="LinkdaInternet"/>
          <w:sz w:val="22"/>
          <w:szCs w:val="22"/>
          <w:color w:val="auto"/>
        </w:rPr>
        <w:instrText xml:space="preserve"> HYPERLINK "http://www.planalto.gov.br/ccivil_03/_ato2019-2022/2021/lei/L14133.htm" \l "art137"</w:instrText>
      </w:r>
      <w:r>
        <w:rPr>
          <w:rStyle w:val="LinkdaInternet"/>
          <w:sz w:val="22"/>
          <w:szCs w:val="22"/>
          <w:color w:val="auto"/>
        </w:rPr>
        <w:fldChar w:fldCharType="separate"/>
      </w:r>
      <w:r>
        <w:rPr>
          <w:rStyle w:val="LinkdaInternet"/>
          <w:color w:val="auto"/>
          <w:sz w:val="22"/>
          <w:szCs w:val="22"/>
        </w:rPr>
        <w:t>art. 137, II, da Lei n.º 14.133, de 2021</w:t>
      </w:r>
      <w:r>
        <w:rPr>
          <w:rStyle w:val="LinkdaInternet"/>
          <w:sz w:val="22"/>
          <w:szCs w:val="22"/>
          <w:color w:val="auto"/>
        </w:rPr>
        <w:fldChar w:fldCharType="end"/>
      </w:r>
      <w:r>
        <w:rPr>
          <w:color w:val="auto"/>
          <w:sz w:val="22"/>
          <w:szCs w:val="22"/>
        </w:rPr>
        <w:t>) e prestar todo esclarecimento ou informação por eles solicitados;</w:t>
      </w:r>
    </w:p>
    <w:p>
      <w:pPr>
        <w:pStyle w:val="Nivel2"/>
        <w:numPr>
          <w:ilvl w:val="0"/>
          <w:numId w:val="0"/>
        </w:numPr>
        <w:spacing w:lineRule="auto" w:line="360" w:before="120" w:after="288"/>
        <w:ind w:left="0" w:hanging="0"/>
        <w:rPr>
          <w:color w:val="auto"/>
          <w:sz w:val="22"/>
          <w:szCs w:val="22"/>
        </w:rPr>
      </w:pPr>
      <w:r>
        <w:rPr>
          <w:color w:val="auto"/>
          <w:sz w:val="22"/>
          <w:szCs w:val="22"/>
        </w:rPr>
        <w:t>10.4 - Reparar, corrigir, remover, reconstruir ou substituir, às suas expensas, no total ou em parte, no prazo fixado pelo fiscal do contrato, os bens nos quais se verificarem vícios, defeitos ou incorreções resultantes da execução ou dos materiais empregados;</w:t>
      </w:r>
    </w:p>
    <w:p>
      <w:pPr>
        <w:pStyle w:val="Nivel2"/>
        <w:numPr>
          <w:ilvl w:val="0"/>
          <w:numId w:val="0"/>
        </w:numPr>
        <w:spacing w:lineRule="auto" w:line="360" w:before="120" w:after="288"/>
        <w:ind w:left="0" w:hanging="0"/>
        <w:rPr>
          <w:color w:val="auto"/>
          <w:sz w:val="22"/>
          <w:szCs w:val="22"/>
        </w:rPr>
      </w:pPr>
      <w:r>
        <w:rPr>
          <w:color w:val="auto"/>
          <w:sz w:val="22"/>
          <w:szCs w:val="22"/>
        </w:rPr>
        <w:t>10.5 -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Nivel2"/>
        <w:numPr>
          <w:ilvl w:val="0"/>
          <w:numId w:val="0"/>
        </w:numPr>
        <w:spacing w:lineRule="auto" w:line="360" w:before="120" w:after="288"/>
        <w:ind w:left="0" w:hanging="7"/>
        <w:rPr>
          <w:color w:val="auto"/>
          <w:sz w:val="22"/>
          <w:szCs w:val="22"/>
        </w:rPr>
      </w:pPr>
      <w:r>
        <w:rPr>
          <w:color w:val="auto"/>
          <w:sz w:val="22"/>
          <w:szCs w:val="22"/>
        </w:rPr>
        <w:t>10.6 -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Nivel2"/>
        <w:numPr>
          <w:ilvl w:val="0"/>
          <w:numId w:val="0"/>
        </w:numPr>
        <w:spacing w:lineRule="auto" w:line="360" w:before="120" w:after="288"/>
        <w:ind w:left="0" w:hanging="0"/>
        <w:rPr>
          <w:color w:val="auto"/>
          <w:sz w:val="22"/>
          <w:szCs w:val="22"/>
        </w:rPr>
      </w:pPr>
      <w:r>
        <w:rPr>
          <w:color w:val="auto"/>
          <w:sz w:val="22"/>
          <w:szCs w:val="22"/>
        </w:rPr>
        <w:t>10.7 - Comunicar ao Fiscal do contrato, no prazo de 24 (vinte e quatro) horas, qualquer ocorrência anormal ou acidente que se verifique no local da execução do objeto contratual.</w:t>
      </w:r>
    </w:p>
    <w:p>
      <w:pPr>
        <w:pStyle w:val="Nivel2"/>
        <w:numPr>
          <w:ilvl w:val="0"/>
          <w:numId w:val="0"/>
        </w:numPr>
        <w:spacing w:lineRule="auto" w:line="360" w:before="120" w:after="288"/>
        <w:ind w:left="0" w:hanging="0"/>
        <w:rPr>
          <w:color w:val="auto"/>
          <w:sz w:val="22"/>
          <w:szCs w:val="22"/>
        </w:rPr>
      </w:pPr>
      <w:r>
        <w:rPr>
          <w:color w:val="auto"/>
          <w:sz w:val="22"/>
          <w:szCs w:val="22"/>
        </w:rPr>
        <w:t>10.8 - Paralisar, por determinação do contratante, qualquer atividade que não esteja sendo executada de acordo com a boa técnica ou que ponha em risco a segurança de pessoas ou bens de terceiros.</w:t>
      </w:r>
    </w:p>
    <w:p>
      <w:pPr>
        <w:pStyle w:val="Nivel2"/>
        <w:numPr>
          <w:ilvl w:val="0"/>
          <w:numId w:val="0"/>
        </w:numPr>
        <w:spacing w:lineRule="auto" w:line="360" w:before="120" w:after="288"/>
        <w:ind w:left="0" w:hanging="0"/>
        <w:rPr>
          <w:color w:val="auto"/>
          <w:sz w:val="22"/>
          <w:szCs w:val="22"/>
        </w:rPr>
      </w:pPr>
      <w:r>
        <w:rPr>
          <w:color w:val="auto"/>
          <w:sz w:val="22"/>
          <w:szCs w:val="22"/>
        </w:rPr>
        <w:t xml:space="preserve">10.9 – </w:t>
      </w:r>
      <w:bookmarkStart w:id="52" w:name="_Hlk160450989"/>
      <w:r>
        <w:rPr>
          <w:color w:val="auto"/>
          <w:sz w:val="22"/>
          <w:szCs w:val="22"/>
        </w:rPr>
        <w:t xml:space="preserve">Fica a contratada ciente de que deverá manter durante toda a vigência do Contrato, em compatibilidade com as obrigações por ela assumida, bem como todas as condições de qualificação exigidas para a habilitação dessa contratação. </w:t>
      </w:r>
      <w:bookmarkEnd w:id="52"/>
    </w:p>
    <w:p>
      <w:pPr>
        <w:pStyle w:val="Nivel2"/>
        <w:numPr>
          <w:ilvl w:val="0"/>
          <w:numId w:val="0"/>
        </w:numPr>
        <w:spacing w:lineRule="auto" w:line="360" w:before="120" w:after="288"/>
        <w:ind w:left="0" w:hanging="0"/>
        <w:rPr>
          <w:b/>
          <w:bCs/>
          <w:color w:val="auto"/>
          <w:sz w:val="22"/>
          <w:szCs w:val="22"/>
        </w:rPr>
      </w:pPr>
      <w:r>
        <w:rPr>
          <w:color w:val="auto"/>
          <w:sz w:val="22"/>
          <w:szCs w:val="22"/>
        </w:rPr>
        <w:t>10.10 - 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rPr>
          <w:rStyle w:val="LinkdaInternet"/>
          <w:sz w:val="22"/>
          <w:szCs w:val="22"/>
          <w:color w:val="auto"/>
        </w:rPr>
        <w:instrText xml:space="preserve"> HYPERLINK "http://www.planalto.gov.br/ccivil_03/_ato2019-2022/2021/lei/L14133.htm" \l "art116"</w:instrText>
      </w:r>
      <w:r>
        <w:rPr>
          <w:rStyle w:val="LinkdaInternet"/>
          <w:sz w:val="22"/>
          <w:szCs w:val="22"/>
          <w:color w:val="auto"/>
        </w:rPr>
        <w:fldChar w:fldCharType="separate"/>
      </w:r>
      <w:r>
        <w:rPr>
          <w:rStyle w:val="LinkdaInternet"/>
          <w:color w:val="auto"/>
          <w:sz w:val="22"/>
          <w:szCs w:val="22"/>
        </w:rPr>
        <w:t>art. 116, da Lei n.º 14.133, de 2021</w:t>
      </w:r>
      <w:r>
        <w:rPr>
          <w:rStyle w:val="LinkdaInternet"/>
          <w:sz w:val="22"/>
          <w:szCs w:val="22"/>
          <w:color w:val="auto"/>
        </w:rPr>
        <w:fldChar w:fldCharType="end"/>
      </w:r>
      <w:r>
        <w:rPr>
          <w:color w:val="auto"/>
          <w:sz w:val="22"/>
          <w:szCs w:val="22"/>
        </w:rPr>
        <w:t>);</w:t>
      </w:r>
    </w:p>
    <w:p>
      <w:pPr>
        <w:pStyle w:val="Nivel2"/>
        <w:numPr>
          <w:ilvl w:val="0"/>
          <w:numId w:val="0"/>
        </w:numPr>
        <w:spacing w:lineRule="auto" w:line="360" w:before="120" w:after="288"/>
        <w:ind w:left="0" w:hanging="0"/>
        <w:rPr>
          <w:color w:val="auto"/>
          <w:sz w:val="22"/>
          <w:szCs w:val="22"/>
        </w:rPr>
      </w:pPr>
      <w:r>
        <w:rPr>
          <w:color w:val="auto"/>
          <w:sz w:val="22"/>
          <w:szCs w:val="22"/>
        </w:rPr>
        <w:t>10.11 - Comprovar a reserva de cargos a que se refere a cláusula acima, no prazo fixado pelo fiscal do contrato, com a indicação dos empregados que preencheram as referidas vagas (</w:t>
      </w:r>
      <w:r>
        <w:fldChar w:fldCharType="begin"/>
      </w:r>
      <w:r>
        <w:rPr>
          <w:rStyle w:val="LinkdaInternet"/>
          <w:sz w:val="22"/>
          <w:szCs w:val="22"/>
          <w:color w:val="auto"/>
        </w:rPr>
        <w:instrText xml:space="preserve"> HYPERLINK "http://www.planalto.gov.br/ccivil_03/_ato2019-2022/2021/lei/L14133.htm" \l "art116"</w:instrText>
      </w:r>
      <w:r>
        <w:rPr>
          <w:rStyle w:val="LinkdaInternet"/>
          <w:sz w:val="22"/>
          <w:szCs w:val="22"/>
          <w:color w:val="auto"/>
        </w:rPr>
        <w:fldChar w:fldCharType="separate"/>
      </w:r>
      <w:r>
        <w:rPr>
          <w:rStyle w:val="LinkdaInternet"/>
          <w:color w:val="auto"/>
          <w:sz w:val="22"/>
          <w:szCs w:val="22"/>
        </w:rPr>
        <w:t>art. 116, parágrafo único, da Lei n.º 14.133, de 2021</w:t>
      </w:r>
      <w:r>
        <w:rPr>
          <w:rStyle w:val="LinkdaInternet"/>
          <w:sz w:val="22"/>
          <w:szCs w:val="22"/>
          <w:color w:val="auto"/>
        </w:rPr>
        <w:fldChar w:fldCharType="end"/>
      </w:r>
      <w:r>
        <w:rPr>
          <w:color w:val="auto"/>
          <w:sz w:val="22"/>
          <w:szCs w:val="22"/>
        </w:rPr>
        <w:t>);</w:t>
      </w:r>
    </w:p>
    <w:p>
      <w:pPr>
        <w:pStyle w:val="Nivel2"/>
        <w:numPr>
          <w:ilvl w:val="0"/>
          <w:numId w:val="0"/>
        </w:numPr>
        <w:spacing w:lineRule="auto" w:line="360" w:before="120" w:after="288"/>
        <w:ind w:left="0" w:hanging="0"/>
        <w:rPr>
          <w:color w:val="auto"/>
          <w:sz w:val="22"/>
          <w:szCs w:val="22"/>
        </w:rPr>
      </w:pPr>
      <w:r>
        <w:rPr>
          <w:color w:val="auto"/>
          <w:sz w:val="22"/>
          <w:szCs w:val="22"/>
        </w:rPr>
        <w:t xml:space="preserve">10.12 - Guardar sigilo sobre todas as informações obtidas em decorrência do cumprimento do contrato; </w:t>
      </w:r>
    </w:p>
    <w:p>
      <w:pPr>
        <w:pStyle w:val="Nivel2"/>
        <w:numPr>
          <w:ilvl w:val="0"/>
          <w:numId w:val="0"/>
        </w:numPr>
        <w:spacing w:lineRule="auto" w:line="360" w:before="120" w:after="288"/>
        <w:ind w:left="0" w:hanging="0"/>
        <w:rPr>
          <w:color w:val="auto"/>
          <w:sz w:val="22"/>
          <w:szCs w:val="22"/>
        </w:rPr>
      </w:pPr>
      <w:r>
        <w:rPr>
          <w:color w:val="auto"/>
          <w:sz w:val="22"/>
          <w:szCs w:val="22"/>
        </w:rPr>
        <w:t xml:space="preserve">10.13 -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rStyle w:val="LinkdaInternet"/>
          <w:sz w:val="22"/>
          <w:szCs w:val="22"/>
          <w:color w:val="auto"/>
        </w:rPr>
        <w:instrText xml:space="preserve"> HYPERLINK "http://www.planalto.gov.br/ccivil_03/_ato2019-2022/2021/lei/L14133.htm" \l "art124"</w:instrText>
      </w:r>
      <w:r>
        <w:rPr>
          <w:rStyle w:val="LinkdaInternet"/>
          <w:sz w:val="22"/>
          <w:szCs w:val="22"/>
          <w:color w:val="auto"/>
        </w:rPr>
        <w:fldChar w:fldCharType="separate"/>
      </w:r>
      <w:r>
        <w:rPr>
          <w:rStyle w:val="LinkdaInternet"/>
          <w:color w:val="auto"/>
          <w:sz w:val="22"/>
          <w:szCs w:val="22"/>
        </w:rPr>
        <w:t>art. 124, II, d, da Lei nº 14.133, de 2021.</w:t>
      </w:r>
      <w:r>
        <w:rPr>
          <w:rStyle w:val="LinkdaInternet"/>
          <w:sz w:val="22"/>
          <w:szCs w:val="22"/>
          <w:color w:val="auto"/>
        </w:rPr>
        <w:fldChar w:fldCharType="end"/>
      </w:r>
    </w:p>
    <w:p>
      <w:pPr>
        <w:pStyle w:val="Nivel01"/>
        <w:numPr>
          <w:ilvl w:val="0"/>
          <w:numId w:val="0"/>
        </w:numPr>
        <w:spacing w:lineRule="auto" w:line="360" w:before="120" w:after="288"/>
        <w:ind w:left="0" w:hanging="0"/>
        <w:rPr>
          <w:sz w:val="22"/>
          <w:szCs w:val="22"/>
        </w:rPr>
      </w:pPr>
      <w:r>
        <w:rPr>
          <w:sz w:val="22"/>
          <w:szCs w:val="22"/>
        </w:rPr>
        <w:t>CLÁUSULA DÉCIMA PRIMEIRA – INFRAÇÕES E SANÇÕES ADMINISTRATIVAS (</w:t>
      </w:r>
      <w:r>
        <w:fldChar w:fldCharType="begin"/>
      </w:r>
      <w:r>
        <w:rPr>
          <w:rStyle w:val="LinkdaInternet"/>
          <w:sz w:val="22"/>
          <w:szCs w:val="22"/>
          <w:color w:val="auto"/>
        </w:rPr>
        <w:instrText xml:space="preserve"> HYPERLINK "http://www.planalto.gov.br/ccivil_03/_ato2019-2022/2021/lei/L14133.htm" \l "art92"</w:instrText>
      </w:r>
      <w:r>
        <w:rPr>
          <w:rStyle w:val="LinkdaInternet"/>
          <w:sz w:val="22"/>
          <w:szCs w:val="22"/>
          <w:color w:val="auto"/>
        </w:rPr>
        <w:fldChar w:fldCharType="separate"/>
      </w:r>
      <w:r>
        <w:rPr>
          <w:rStyle w:val="LinkdaInternet"/>
          <w:color w:val="auto"/>
          <w:sz w:val="22"/>
          <w:szCs w:val="22"/>
        </w:rPr>
        <w:t>art. 92, XIV</w:t>
      </w:r>
      <w:r>
        <w:rPr>
          <w:rStyle w:val="LinkdaInternet"/>
          <w:sz w:val="22"/>
          <w:szCs w:val="22"/>
          <w:color w:val="auto"/>
        </w:rPr>
        <w:fldChar w:fldCharType="end"/>
      </w:r>
      <w:r>
        <w:rPr>
          <w:sz w:val="22"/>
          <w:szCs w:val="22"/>
        </w:rPr>
        <w:t>)</w:t>
      </w:r>
    </w:p>
    <w:p>
      <w:pPr>
        <w:pStyle w:val="Nivel2"/>
        <w:numPr>
          <w:ilvl w:val="1"/>
          <w:numId w:val="7"/>
        </w:numPr>
        <w:spacing w:lineRule="auto" w:line="360" w:before="120" w:after="288"/>
        <w:ind w:left="0" w:firstLine="6"/>
        <w:rPr>
          <w:color w:val="auto"/>
          <w:sz w:val="22"/>
          <w:szCs w:val="22"/>
        </w:rPr>
      </w:pPr>
      <w:r>
        <w:rPr>
          <w:color w:val="auto"/>
          <w:sz w:val="22"/>
          <w:szCs w:val="22"/>
        </w:rPr>
        <w:t xml:space="preserve">- As infrações </w:t>
      </w:r>
      <w:r>
        <w:rPr>
          <w:color w:val="auto"/>
          <w:sz w:val="22"/>
          <w:szCs w:val="22"/>
          <w:lang w:eastAsia="en-US"/>
        </w:rPr>
        <w:t>ao contratado</w:t>
      </w:r>
      <w:r>
        <w:rPr>
          <w:color w:val="auto"/>
          <w:sz w:val="22"/>
          <w:szCs w:val="22"/>
        </w:rPr>
        <w:t xml:space="preserve"> e demais condições a ele referentes encontram-se definidos no Termo de Referência, que fica fazendo parte integrante deste Contrato.</w:t>
      </w:r>
    </w:p>
    <w:p>
      <w:pPr>
        <w:pStyle w:val="Nivel01"/>
        <w:numPr>
          <w:ilvl w:val="0"/>
          <w:numId w:val="0"/>
        </w:numPr>
        <w:spacing w:lineRule="auto" w:line="360" w:before="120" w:after="288"/>
        <w:ind w:left="0" w:hanging="0"/>
        <w:rPr>
          <w:sz w:val="22"/>
          <w:szCs w:val="22"/>
        </w:rPr>
      </w:pPr>
      <w:r>
        <w:rPr>
          <w:sz w:val="22"/>
          <w:szCs w:val="22"/>
        </w:rPr>
        <w:t>CLÁUSULA DÉCIMA SEGUNDA – DA EXTINÇÃO CONTRATUAL (</w:t>
      </w:r>
      <w:r>
        <w:fldChar w:fldCharType="begin"/>
      </w:r>
      <w:r>
        <w:rPr>
          <w:rStyle w:val="LinkdaInternet"/>
          <w:sz w:val="22"/>
          <w:szCs w:val="22"/>
          <w:color w:val="auto"/>
        </w:rPr>
        <w:instrText xml:space="preserve"> HYPERLINK "http://www.planalto.gov.br/ccivil_03/_ato2019-2022/2021/lei/L14133.htm" \l "art92"</w:instrText>
      </w:r>
      <w:r>
        <w:rPr>
          <w:rStyle w:val="LinkdaInternet"/>
          <w:sz w:val="22"/>
          <w:szCs w:val="22"/>
          <w:color w:val="auto"/>
        </w:rPr>
        <w:fldChar w:fldCharType="separate"/>
      </w:r>
      <w:r>
        <w:rPr>
          <w:rStyle w:val="LinkdaInternet"/>
          <w:color w:val="auto"/>
          <w:sz w:val="22"/>
          <w:szCs w:val="22"/>
        </w:rPr>
        <w:t>art. 92, XIX</w:t>
      </w:r>
      <w:r>
        <w:rPr>
          <w:rStyle w:val="LinkdaInternet"/>
          <w:sz w:val="22"/>
          <w:szCs w:val="22"/>
          <w:color w:val="auto"/>
        </w:rPr>
        <w:fldChar w:fldCharType="end"/>
      </w:r>
      <w:r>
        <w:rPr>
          <w:sz w:val="22"/>
          <w:szCs w:val="22"/>
        </w:rPr>
        <w:t>)</w:t>
      </w:r>
    </w:p>
    <w:p>
      <w:pPr>
        <w:pStyle w:val="Nvel2-Red"/>
        <w:tabs>
          <w:tab w:val="clear" w:pos="0"/>
        </w:tabs>
        <w:spacing w:lineRule="auto" w:line="360"/>
        <w:ind w:left="-7" w:hanging="0"/>
        <w:rPr>
          <w:i w:val="false"/>
          <w:i w:val="false"/>
          <w:iCs w:val="false"/>
          <w:color w:val="auto"/>
          <w:sz w:val="22"/>
          <w:szCs w:val="22"/>
        </w:rPr>
      </w:pPr>
      <w:r>
        <w:rPr>
          <w:i w:val="false"/>
          <w:iCs w:val="false"/>
          <w:color w:val="auto"/>
          <w:sz w:val="22"/>
          <w:szCs w:val="22"/>
        </w:rPr>
        <w:t>12.1 O contrato será extinto quando cumpridas as obrigações de ambas as partes, ainda que isso ocorra antes do prazo estipulado para tanto, devendo ser certificado nos autos pelo Gestor do Contrato.</w:t>
      </w:r>
    </w:p>
    <w:p>
      <w:pPr>
        <w:pStyle w:val="Nvel2-Red"/>
        <w:tabs>
          <w:tab w:val="clear" w:pos="0"/>
        </w:tabs>
        <w:spacing w:lineRule="auto" w:line="360"/>
        <w:ind w:left="-7" w:hanging="0"/>
        <w:rPr>
          <w:i w:val="false"/>
          <w:i w:val="false"/>
          <w:iCs w:val="false"/>
          <w:color w:val="auto"/>
          <w:sz w:val="22"/>
          <w:szCs w:val="22"/>
        </w:rPr>
      </w:pPr>
      <w:r>
        <w:rPr>
          <w:i w:val="false"/>
          <w:iCs w:val="false"/>
          <w:color w:val="auto"/>
          <w:sz w:val="22"/>
          <w:szCs w:val="22"/>
        </w:rPr>
        <w:t>12.2 Se as obrigações não forem cumpridas no prazo estipulado, a Administração deverá providenciar a readequação do cronograma fixado para o contrato, mediante Termo Aditivo ao Contrato, sempre verificando com responsabilidade quem deu causa ao não cumprimento.</w:t>
      </w:r>
    </w:p>
    <w:p>
      <w:pPr>
        <w:pStyle w:val="Nvel3-R"/>
        <w:spacing w:lineRule="auto" w:line="360"/>
        <w:ind w:left="-14" w:hanging="0"/>
        <w:rPr>
          <w:rFonts w:eastAsia="Arial"/>
          <w:i w:val="false"/>
          <w:i w:val="false"/>
          <w:iCs w:val="false"/>
          <w:color w:val="auto"/>
          <w:sz w:val="22"/>
          <w:szCs w:val="22"/>
        </w:rPr>
      </w:pPr>
      <w:r>
        <w:rPr>
          <w:i w:val="false"/>
          <w:iCs w:val="false"/>
          <w:color w:val="auto"/>
          <w:sz w:val="22"/>
          <w:szCs w:val="22"/>
        </w:rPr>
        <w:t xml:space="preserve">12.3 Quando a não conclusão do contrato referida no item anterior decorrer de culpa do contratado: </w:t>
      </w:r>
      <w:r>
        <w:rPr>
          <w:rFonts w:eastAsia="Arial"/>
          <w:i w:val="false"/>
          <w:iCs w:val="false"/>
          <w:color w:val="auto"/>
          <w:sz w:val="22"/>
          <w:szCs w:val="22"/>
        </w:rPr>
        <w:t>ficará ele constituído em mora, sendo-lhe aplicáveis as respectivas sanções administrativas; e poderá a Administração optar pela extinção do contrato e, nesse caso, adotará as medidas admitidas em lei para a continuidade da execução contratual.</w:t>
      </w:r>
    </w:p>
    <w:p>
      <w:pPr>
        <w:pStyle w:val="Nivel01"/>
        <w:numPr>
          <w:ilvl w:val="0"/>
          <w:numId w:val="0"/>
        </w:numPr>
        <w:spacing w:lineRule="auto" w:line="360" w:before="120" w:after="288"/>
        <w:ind w:left="0" w:hanging="0"/>
        <w:rPr>
          <w:sz w:val="22"/>
          <w:szCs w:val="22"/>
        </w:rPr>
      </w:pPr>
      <w:r>
        <w:rPr>
          <w:sz w:val="22"/>
          <w:szCs w:val="22"/>
        </w:rPr>
        <w:t>CLÁUSULA DÉCIMA TERCEIRA – DOS CASOS OMISSOS (</w:t>
      </w:r>
      <w:r>
        <w:fldChar w:fldCharType="begin"/>
      </w:r>
      <w:r>
        <w:rPr>
          <w:rStyle w:val="LinkdaInternet"/>
          <w:sz w:val="22"/>
          <w:szCs w:val="22"/>
          <w:color w:val="auto"/>
        </w:rPr>
        <w:instrText xml:space="preserve"> HYPERLINK "http://www.planalto.gov.br/ccivil_03/_ato2019-2022/2021/lei/L14133.htm" \l "art92"</w:instrText>
      </w:r>
      <w:r>
        <w:rPr>
          <w:rStyle w:val="LinkdaInternet"/>
          <w:sz w:val="22"/>
          <w:szCs w:val="22"/>
          <w:color w:val="auto"/>
        </w:rPr>
        <w:fldChar w:fldCharType="separate"/>
      </w:r>
      <w:r>
        <w:rPr>
          <w:rStyle w:val="LinkdaInternet"/>
          <w:color w:val="auto"/>
          <w:sz w:val="22"/>
          <w:szCs w:val="22"/>
        </w:rPr>
        <w:t>art. 92, III</w:t>
      </w:r>
      <w:r>
        <w:rPr>
          <w:rStyle w:val="LinkdaInternet"/>
          <w:sz w:val="22"/>
          <w:szCs w:val="22"/>
          <w:color w:val="auto"/>
        </w:rPr>
        <w:fldChar w:fldCharType="end"/>
      </w:r>
      <w:r>
        <w:rPr>
          <w:sz w:val="22"/>
          <w:szCs w:val="22"/>
        </w:rPr>
        <w:t>)</w:t>
      </w:r>
    </w:p>
    <w:p>
      <w:pPr>
        <w:pStyle w:val="Nivel2"/>
        <w:numPr>
          <w:ilvl w:val="0"/>
          <w:numId w:val="0"/>
        </w:numPr>
        <w:spacing w:lineRule="auto" w:line="360" w:before="120" w:after="288"/>
        <w:ind w:left="0" w:hanging="0"/>
        <w:rPr>
          <w:color w:val="auto"/>
          <w:sz w:val="22"/>
          <w:szCs w:val="22"/>
        </w:rPr>
      </w:pPr>
      <w:r>
        <w:rPr>
          <w:color w:val="auto"/>
          <w:sz w:val="22"/>
          <w:szCs w:val="22"/>
        </w:rPr>
        <w:t xml:space="preserve">13.1 Os casos omissos serão decididos pelo contratante, segundo as disposições contidas na Lei </w:t>
      </w:r>
      <w:hyperlink r:id="rId23">
        <w:r>
          <w:rPr>
            <w:rStyle w:val="LinkdaInternet"/>
            <w:color w:val="auto"/>
            <w:sz w:val="22"/>
            <w:szCs w:val="22"/>
          </w:rPr>
          <w:t>nº 14.133, de 2021</w:t>
        </w:r>
      </w:hyperlink>
      <w:r>
        <w:rPr>
          <w:color w:val="auto"/>
          <w:sz w:val="22"/>
          <w:szCs w:val="22"/>
        </w:rPr>
        <w:t xml:space="preserve">, e demais normas federais aplicáveis e, subsidiariamente, segundo as disposições contidas na </w:t>
      </w:r>
      <w:hyperlink r:id="rId24">
        <w:r>
          <w:rPr>
            <w:rStyle w:val="LinkdaInternet"/>
            <w:color w:val="auto"/>
            <w:sz w:val="22"/>
            <w:szCs w:val="22"/>
          </w:rPr>
          <w:t>Lei nº 8.078, de 1990 – Código de Defesa do Consumidor</w:t>
        </w:r>
      </w:hyperlink>
      <w:r>
        <w:rPr>
          <w:color w:val="auto"/>
          <w:sz w:val="22"/>
          <w:szCs w:val="22"/>
        </w:rPr>
        <w:t xml:space="preserve"> – e normas e princípios gerais dos contratos.</w:t>
      </w:r>
    </w:p>
    <w:p>
      <w:pPr>
        <w:pStyle w:val="Nivel01"/>
        <w:numPr>
          <w:ilvl w:val="0"/>
          <w:numId w:val="0"/>
        </w:numPr>
        <w:spacing w:lineRule="auto" w:line="360" w:before="120" w:after="288"/>
        <w:ind w:left="0" w:hanging="0"/>
        <w:rPr>
          <w:sz w:val="22"/>
          <w:szCs w:val="22"/>
        </w:rPr>
      </w:pPr>
      <w:r>
        <w:rPr>
          <w:sz w:val="22"/>
          <w:szCs w:val="22"/>
        </w:rPr>
        <w:t>CLÁUSULA DÉCIMA QUARTA – ALTERAÇÕES</w:t>
      </w:r>
    </w:p>
    <w:p>
      <w:pPr>
        <w:pStyle w:val="Nivel2"/>
        <w:numPr>
          <w:ilvl w:val="0"/>
          <w:numId w:val="0"/>
        </w:numPr>
        <w:spacing w:lineRule="auto" w:line="360"/>
        <w:ind w:left="0" w:hanging="0"/>
        <w:rPr>
          <w:color w:val="auto"/>
          <w:sz w:val="22"/>
          <w:szCs w:val="22"/>
        </w:rPr>
      </w:pPr>
      <w:r>
        <w:rPr>
          <w:color w:val="auto"/>
          <w:sz w:val="22"/>
          <w:szCs w:val="22"/>
        </w:rPr>
        <w:t xml:space="preserve">14.1 - Eventuais alterações contratuais reger-se-ão pela disciplina dos </w:t>
      </w:r>
      <w:r>
        <w:fldChar w:fldCharType="begin"/>
      </w:r>
      <w:r>
        <w:rPr>
          <w:rStyle w:val="LinkdaInternet"/>
          <w:sz w:val="22"/>
          <w:szCs w:val="22"/>
          <w:color w:val="auto"/>
        </w:rPr>
        <w:instrText xml:space="preserve"> HYPERLINK "http://www.planalto.gov.br/ccivil_03/_ato2019-2022/2021/lei/L14133.htm" \l "art124"</w:instrText>
      </w:r>
      <w:r>
        <w:rPr>
          <w:rStyle w:val="LinkdaInternet"/>
          <w:sz w:val="22"/>
          <w:szCs w:val="22"/>
          <w:color w:val="auto"/>
        </w:rPr>
        <w:fldChar w:fldCharType="separate"/>
      </w:r>
      <w:r>
        <w:rPr>
          <w:rStyle w:val="LinkdaInternet"/>
          <w:color w:val="auto"/>
          <w:sz w:val="22"/>
          <w:szCs w:val="22"/>
        </w:rPr>
        <w:t>arts. 124 e seguintes da Lei nº 14.133, de 2021</w:t>
      </w:r>
      <w:r>
        <w:rPr>
          <w:rStyle w:val="LinkdaInternet"/>
          <w:sz w:val="22"/>
          <w:szCs w:val="22"/>
          <w:color w:val="auto"/>
        </w:rPr>
        <w:fldChar w:fldCharType="end"/>
      </w:r>
      <w:r>
        <w:rPr>
          <w:color w:val="auto"/>
          <w:sz w:val="22"/>
          <w:szCs w:val="22"/>
        </w:rPr>
        <w:t>.</w:t>
      </w:r>
    </w:p>
    <w:p>
      <w:pPr>
        <w:pStyle w:val="Nivel2"/>
        <w:numPr>
          <w:ilvl w:val="0"/>
          <w:numId w:val="0"/>
        </w:numPr>
        <w:spacing w:lineRule="auto" w:line="360"/>
        <w:ind w:left="0" w:hanging="0"/>
        <w:rPr>
          <w:color w:val="auto"/>
          <w:sz w:val="22"/>
          <w:szCs w:val="22"/>
        </w:rPr>
      </w:pPr>
      <w:r>
        <w:rPr>
          <w:color w:val="auto"/>
          <w:sz w:val="22"/>
          <w:szCs w:val="22"/>
        </w:rPr>
        <w:t>14.2 - O contratado é obrigado a aceitar, nas mesmas condições contratuais, os acréscimos ou supressões que se fizerem necessários, até o limite de 25% (vinte e cinco por cento) do valor inicial atualizado do contrato.</w:t>
      </w:r>
    </w:p>
    <w:p>
      <w:pPr>
        <w:pStyle w:val="Nivel2"/>
        <w:numPr>
          <w:ilvl w:val="0"/>
          <w:numId w:val="0"/>
        </w:numPr>
        <w:spacing w:lineRule="auto" w:line="360"/>
        <w:ind w:left="0" w:hanging="0"/>
        <w:rPr>
          <w:color w:val="auto"/>
          <w:sz w:val="22"/>
          <w:szCs w:val="22"/>
        </w:rPr>
      </w:pPr>
      <w:r>
        <w:rPr>
          <w:color w:val="auto"/>
          <w:sz w:val="22"/>
          <w:szCs w:val="22"/>
        </w:rPr>
        <w:t>14.3 -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pPr>
        <w:pStyle w:val="Nivel2"/>
        <w:numPr>
          <w:ilvl w:val="0"/>
          <w:numId w:val="0"/>
        </w:numPr>
        <w:spacing w:lineRule="auto" w:line="360" w:before="120" w:after="288"/>
        <w:ind w:left="0" w:hanging="0"/>
        <w:rPr>
          <w:color w:val="auto"/>
          <w:sz w:val="22"/>
          <w:szCs w:val="22"/>
        </w:rPr>
      </w:pPr>
      <w:r>
        <w:rPr>
          <w:color w:val="auto"/>
          <w:sz w:val="22"/>
          <w:szCs w:val="22"/>
        </w:rPr>
        <w:t xml:space="preserve">14.4 Registros que não caracterizam alteração do contrato podem ser realizados por simples apostila, dispensada a celebração de termo aditivo, desde que autorizado pelo Chefe do Poder Executivo, na forma do </w:t>
      </w:r>
      <w:r>
        <w:fldChar w:fldCharType="begin"/>
      </w:r>
      <w:r>
        <w:rPr>
          <w:rStyle w:val="LinkdaInternet"/>
          <w:sz w:val="22"/>
          <w:szCs w:val="22"/>
          <w:color w:val="auto"/>
        </w:rPr>
        <w:instrText xml:space="preserve"> HYPERLINK "http://www.planalto.gov.br/ccivil_03/_ato2019-2022/2021/lei/L14133.htm" \l "art136"</w:instrText>
      </w:r>
      <w:r>
        <w:rPr>
          <w:rStyle w:val="LinkdaInternet"/>
          <w:sz w:val="22"/>
          <w:szCs w:val="22"/>
          <w:color w:val="auto"/>
        </w:rPr>
        <w:fldChar w:fldCharType="separate"/>
      </w:r>
      <w:r>
        <w:rPr>
          <w:rStyle w:val="LinkdaInternet"/>
          <w:color w:val="auto"/>
          <w:sz w:val="22"/>
          <w:szCs w:val="22"/>
        </w:rPr>
        <w:t>art. 136 da Lei nº 14.133, de 2021</w:t>
      </w:r>
      <w:r>
        <w:rPr>
          <w:rStyle w:val="LinkdaInternet"/>
          <w:sz w:val="22"/>
          <w:szCs w:val="22"/>
          <w:color w:val="auto"/>
        </w:rPr>
        <w:fldChar w:fldCharType="end"/>
      </w:r>
      <w:r>
        <w:rPr>
          <w:rStyle w:val="LinkdaInternet"/>
          <w:color w:val="auto"/>
          <w:sz w:val="22"/>
          <w:szCs w:val="22"/>
        </w:rPr>
        <w:t>.</w:t>
      </w:r>
    </w:p>
    <w:p>
      <w:pPr>
        <w:pStyle w:val="Nivel01"/>
        <w:numPr>
          <w:ilvl w:val="0"/>
          <w:numId w:val="0"/>
        </w:numPr>
        <w:spacing w:lineRule="auto" w:line="360" w:before="120" w:after="288"/>
        <w:ind w:left="0" w:hanging="0"/>
        <w:rPr>
          <w:sz w:val="22"/>
          <w:szCs w:val="22"/>
        </w:rPr>
      </w:pPr>
      <w:r>
        <w:rPr>
          <w:sz w:val="22"/>
          <w:szCs w:val="22"/>
        </w:rPr>
        <w:t>CLÁUSULA DÉCIMA QUINTA – PUBLICAÇÃO</w:t>
      </w:r>
    </w:p>
    <w:p>
      <w:pPr>
        <w:pStyle w:val="Nivel2"/>
        <w:numPr>
          <w:ilvl w:val="0"/>
          <w:numId w:val="0"/>
        </w:numPr>
        <w:spacing w:lineRule="auto" w:line="360" w:before="120" w:after="288"/>
        <w:ind w:left="0" w:hanging="0"/>
        <w:rPr>
          <w:color w:val="auto"/>
          <w:sz w:val="22"/>
          <w:szCs w:val="22"/>
        </w:rPr>
      </w:pPr>
      <w:r>
        <w:rPr>
          <w:color w:val="auto"/>
          <w:sz w:val="22"/>
          <w:szCs w:val="22"/>
        </w:rPr>
        <w:t xml:space="preserve">15.1 Incumbirá ao contratante divulgar o presente instrumento no Portal Nacional de Contratações Públicas (PNCP), na forma prevista no </w:t>
      </w:r>
      <w:r>
        <w:fldChar w:fldCharType="begin"/>
      </w:r>
      <w:r>
        <w:rPr>
          <w:rStyle w:val="LinkdaInternet"/>
          <w:sz w:val="22"/>
          <w:szCs w:val="22"/>
          <w:color w:val="auto"/>
        </w:rPr>
        <w:instrText xml:space="preserve"> HYPERLINK "http://www.planalto.gov.br/ccivil_03/_ato2019-2022/2021/lei/L14133.htm" \l "art94"</w:instrText>
      </w:r>
      <w:r>
        <w:rPr>
          <w:rStyle w:val="LinkdaInternet"/>
          <w:sz w:val="22"/>
          <w:szCs w:val="22"/>
          <w:color w:val="auto"/>
        </w:rPr>
        <w:fldChar w:fldCharType="separate"/>
      </w:r>
      <w:r>
        <w:rPr>
          <w:rStyle w:val="LinkdaInternet"/>
          <w:color w:val="auto"/>
          <w:sz w:val="22"/>
          <w:szCs w:val="22"/>
        </w:rPr>
        <w:t>art. 94 da Lei 14.133, de 2021</w:t>
      </w:r>
      <w:r>
        <w:rPr>
          <w:rStyle w:val="LinkdaInternet"/>
          <w:sz w:val="22"/>
          <w:szCs w:val="22"/>
          <w:color w:val="auto"/>
        </w:rPr>
        <w:fldChar w:fldCharType="end"/>
      </w:r>
      <w:r>
        <w:rPr>
          <w:color w:val="auto"/>
          <w:sz w:val="22"/>
          <w:szCs w:val="22"/>
        </w:rPr>
        <w:t xml:space="preserve">, bem como no respectivo sítio oficial na Internet, em atenção ao </w:t>
      </w:r>
      <w:r>
        <w:fldChar w:fldCharType="begin"/>
      </w:r>
      <w:r>
        <w:rPr>
          <w:rStyle w:val="LinkdaInternet"/>
          <w:sz w:val="22"/>
          <w:szCs w:val="22"/>
          <w:color w:val="auto"/>
        </w:rPr>
        <w:instrText xml:space="preserve"> HYPERLINK "https://www.planalto.gov.br/ccivil_03/_ato2011-2014/2011/lei/l12527.htm" \l "art8§2"</w:instrText>
      </w:r>
      <w:r>
        <w:rPr>
          <w:rStyle w:val="LinkdaInternet"/>
          <w:sz w:val="22"/>
          <w:szCs w:val="22"/>
          <w:color w:val="auto"/>
        </w:rPr>
        <w:fldChar w:fldCharType="separate"/>
      </w:r>
      <w:r>
        <w:rPr>
          <w:rStyle w:val="LinkdaInternet"/>
          <w:color w:val="auto"/>
          <w:sz w:val="22"/>
          <w:szCs w:val="22"/>
        </w:rPr>
        <w:t>art. 8º, §2º, da Lei n. 12.527, de 2011</w:t>
      </w:r>
      <w:r>
        <w:rPr>
          <w:rStyle w:val="LinkdaInternet"/>
          <w:sz w:val="22"/>
          <w:szCs w:val="22"/>
          <w:color w:val="auto"/>
        </w:rPr>
        <w:fldChar w:fldCharType="end"/>
      </w:r>
      <w:r>
        <w:rPr>
          <w:color w:val="auto"/>
          <w:sz w:val="22"/>
          <w:szCs w:val="22"/>
        </w:rPr>
        <w:t xml:space="preserve">, c/c </w:t>
      </w:r>
      <w:r>
        <w:fldChar w:fldCharType="begin"/>
      </w:r>
      <w:r>
        <w:rPr>
          <w:rStyle w:val="LinkdaInternet"/>
          <w:sz w:val="22"/>
          <w:szCs w:val="22"/>
          <w:color w:val="auto"/>
        </w:rPr>
        <w:instrText xml:space="preserve"> HYPERLINK "https://www.planalto.gov.br/ccivil_03/_ato2011-2014/2012/decreto/d7724.htm" \l "art7§3"</w:instrText>
      </w:r>
      <w:r>
        <w:rPr>
          <w:rStyle w:val="LinkdaInternet"/>
          <w:sz w:val="22"/>
          <w:szCs w:val="22"/>
          <w:color w:val="auto"/>
        </w:rPr>
        <w:fldChar w:fldCharType="separate"/>
      </w:r>
      <w:r>
        <w:rPr>
          <w:rStyle w:val="LinkdaInternet"/>
          <w:color w:val="auto"/>
          <w:sz w:val="22"/>
          <w:szCs w:val="22"/>
        </w:rPr>
        <w:t>art. 7º, §3º, inciso V, do Decreto n. 7.724, de 2012</w:t>
      </w:r>
      <w:r>
        <w:rPr>
          <w:rStyle w:val="LinkdaInternet"/>
          <w:sz w:val="22"/>
          <w:szCs w:val="22"/>
          <w:color w:val="auto"/>
        </w:rPr>
        <w:fldChar w:fldCharType="end"/>
      </w:r>
      <w:r>
        <w:rPr>
          <w:color w:val="auto"/>
          <w:sz w:val="22"/>
          <w:szCs w:val="22"/>
        </w:rPr>
        <w:t>.</w:t>
      </w:r>
    </w:p>
    <w:p>
      <w:pPr>
        <w:pStyle w:val="Nivel01"/>
        <w:numPr>
          <w:ilvl w:val="0"/>
          <w:numId w:val="0"/>
        </w:numPr>
        <w:spacing w:lineRule="auto" w:line="360" w:before="120" w:after="288"/>
        <w:ind w:left="0" w:hanging="0"/>
        <w:rPr>
          <w:sz w:val="22"/>
          <w:szCs w:val="22"/>
        </w:rPr>
      </w:pPr>
      <w:r>
        <w:rPr>
          <w:sz w:val="22"/>
          <w:szCs w:val="22"/>
        </w:rPr>
        <w:t>CLÁUSULA DÉCIMA SEXTA– FORO (</w:t>
      </w:r>
      <w:r>
        <w:fldChar w:fldCharType="begin"/>
      </w:r>
      <w:r>
        <w:rPr>
          <w:rStyle w:val="LinkdaInternet"/>
          <w:sz w:val="22"/>
          <w:szCs w:val="22"/>
          <w:color w:val="auto"/>
        </w:rPr>
        <w:instrText xml:space="preserve"> HYPERLINK "http://www.planalto.gov.br/ccivil_03/_ato2019-2022/2021/lei/L14133.htm" \l "art92§1"</w:instrText>
      </w:r>
      <w:r>
        <w:rPr>
          <w:rStyle w:val="LinkdaInternet"/>
          <w:sz w:val="22"/>
          <w:szCs w:val="22"/>
          <w:color w:val="auto"/>
        </w:rPr>
        <w:fldChar w:fldCharType="separate"/>
      </w:r>
      <w:r>
        <w:rPr>
          <w:rStyle w:val="LinkdaInternet"/>
          <w:color w:val="auto"/>
          <w:sz w:val="22"/>
          <w:szCs w:val="22"/>
        </w:rPr>
        <w:t>art. 92, §1º</w:t>
      </w:r>
      <w:r>
        <w:rPr>
          <w:rStyle w:val="LinkdaInternet"/>
          <w:sz w:val="22"/>
          <w:szCs w:val="22"/>
          <w:color w:val="auto"/>
        </w:rPr>
        <w:fldChar w:fldCharType="end"/>
      </w:r>
      <w:r>
        <w:rPr>
          <w:sz w:val="22"/>
          <w:szCs w:val="22"/>
        </w:rPr>
        <w:t>)</w:t>
      </w:r>
    </w:p>
    <w:p>
      <w:pPr>
        <w:pStyle w:val="Nivel2"/>
        <w:numPr>
          <w:ilvl w:val="0"/>
          <w:numId w:val="0"/>
        </w:numPr>
        <w:spacing w:lineRule="auto" w:line="360" w:before="120" w:after="288"/>
        <w:ind w:left="0" w:hanging="0"/>
        <w:rPr>
          <w:color w:val="auto"/>
          <w:sz w:val="22"/>
          <w:szCs w:val="22"/>
        </w:rPr>
      </w:pPr>
      <w:r>
        <w:rPr>
          <w:color w:val="auto"/>
          <w:sz w:val="22"/>
          <w:szCs w:val="22"/>
          <w:lang w:eastAsia="en-US"/>
        </w:rPr>
        <w:t xml:space="preserve">16.1 Fica eleito o Foro da Comarca de Itatiba, </w:t>
      </w:r>
      <w:r>
        <w:rPr>
          <w:color w:val="auto"/>
          <w:sz w:val="22"/>
          <w:szCs w:val="22"/>
        </w:rPr>
        <w:t xml:space="preserve">para dirimir os litígios que decorrerem da execução deste Termo de Contrato que não puderem ser compostos pela conciliação, conforme </w:t>
      </w:r>
      <w:r>
        <w:fldChar w:fldCharType="begin"/>
      </w:r>
      <w:r>
        <w:rPr>
          <w:rStyle w:val="LinkdaInternet"/>
          <w:sz w:val="22"/>
          <w:szCs w:val="22"/>
          <w:color w:val="auto"/>
        </w:rPr>
        <w:instrText xml:space="preserve"> HYPERLINK "http://www.planalto.gov.br/ccivil_03/_ato2019-2022/2021/lei/L14133.htm" \l "art92§1"</w:instrText>
      </w:r>
      <w:r>
        <w:rPr>
          <w:rStyle w:val="LinkdaInternet"/>
          <w:sz w:val="22"/>
          <w:szCs w:val="22"/>
          <w:color w:val="auto"/>
        </w:rPr>
        <w:fldChar w:fldCharType="separate"/>
      </w:r>
      <w:r>
        <w:rPr>
          <w:rStyle w:val="LinkdaInternet"/>
          <w:color w:val="auto"/>
          <w:sz w:val="22"/>
          <w:szCs w:val="22"/>
        </w:rPr>
        <w:t>art. 92, §1º, da Lei nº 14.133/21</w:t>
      </w:r>
      <w:r>
        <w:rPr>
          <w:rStyle w:val="LinkdaInternet"/>
          <w:sz w:val="22"/>
          <w:szCs w:val="22"/>
          <w:color w:val="auto"/>
        </w:rPr>
        <w:fldChar w:fldCharType="end"/>
      </w:r>
      <w:r>
        <w:rPr>
          <w:color w:val="auto"/>
          <w:sz w:val="22"/>
          <w:szCs w:val="22"/>
        </w:rPr>
        <w:t>.</w:t>
      </w:r>
    </w:p>
    <w:p>
      <w:pPr>
        <w:pStyle w:val="Normal"/>
        <w:spacing w:lineRule="auto" w:line="360"/>
        <w:ind w:right="-54" w:hanging="0"/>
        <w:jc w:val="both"/>
        <w:rPr>
          <w:rFonts w:ascii="Arial" w:hAnsi="Arial" w:eastAsia="MS Mincho" w:cs="Arial"/>
          <w:kern w:val="0"/>
          <w:sz w:val="22"/>
          <w:szCs w:val="22"/>
          <w:lang w:eastAsia="en-US"/>
        </w:rPr>
      </w:pPr>
      <w:r>
        <w:rPr>
          <w:rFonts w:eastAsia="MS Mincho" w:cs="Arial" w:ascii="Arial" w:hAnsi="Arial"/>
          <w:kern w:val="0"/>
          <w:sz w:val="22"/>
          <w:szCs w:val="22"/>
          <w:lang w:eastAsia="en-US"/>
        </w:rPr>
        <w:t xml:space="preserve">16.2 - E, por estarem de acordo, foi lavrado o presente instrumento que, lido e achado conforme, vai assinado em 03 (três) vias de igual teor, pelas partes e na presença de duas testemunhas abaixo indicadas. </w:t>
      </w:r>
    </w:p>
    <w:p>
      <w:pPr>
        <w:pStyle w:val="Nivel2"/>
        <w:numPr>
          <w:ilvl w:val="0"/>
          <w:numId w:val="0"/>
        </w:numPr>
        <w:spacing w:lineRule="auto" w:line="360" w:before="120" w:after="288"/>
        <w:ind w:left="0" w:firstLine="567"/>
        <w:rPr>
          <w:i/>
          <w:i/>
          <w:iCs/>
          <w:color w:val="auto"/>
          <w:sz w:val="22"/>
          <w:szCs w:val="22"/>
        </w:rPr>
      </w:pPr>
      <w:r>
        <w:rPr>
          <w:i/>
          <w:iCs/>
          <w:color w:val="auto"/>
          <w:sz w:val="22"/>
          <w:szCs w:val="22"/>
        </w:rPr>
        <w:t>[Local], [dia] de [mês] de [ano].</w:t>
      </w:r>
    </w:p>
    <w:p>
      <w:pPr>
        <w:pStyle w:val="Normal"/>
        <w:spacing w:lineRule="auto" w:line="360" w:before="120" w:after="288"/>
        <w:ind w:firstLine="567"/>
        <w:jc w:val="center"/>
        <w:rPr>
          <w:rFonts w:ascii="Arial" w:hAnsi="Arial" w:cs="Arial"/>
          <w:bCs/>
          <w:sz w:val="22"/>
          <w:szCs w:val="22"/>
        </w:rPr>
      </w:pPr>
      <w:r>
        <w:rPr>
          <w:rFonts w:cs="Arial" w:ascii="Arial" w:hAnsi="Arial"/>
          <w:bCs/>
          <w:sz w:val="22"/>
          <w:szCs w:val="22"/>
        </w:rPr>
        <w:t>Representante legal do CONTRATANTE</w:t>
      </w:r>
    </w:p>
    <w:p>
      <w:pPr>
        <w:pStyle w:val="Normal"/>
        <w:spacing w:lineRule="auto" w:line="360" w:before="120" w:after="288"/>
        <w:ind w:firstLine="567"/>
        <w:jc w:val="center"/>
        <w:rPr>
          <w:rFonts w:ascii="Arial" w:hAnsi="Arial" w:cs="Arial"/>
          <w:sz w:val="22"/>
          <w:szCs w:val="22"/>
        </w:rPr>
      </w:pPr>
      <w:r>
        <w:rPr>
          <w:rFonts w:cs="Arial" w:ascii="Arial" w:hAnsi="Arial"/>
          <w:bCs/>
          <w:sz w:val="22"/>
          <w:szCs w:val="22"/>
        </w:rPr>
        <w:t>Representante</w:t>
      </w:r>
      <w:r>
        <w:rPr>
          <w:rFonts w:cs="Arial" w:ascii="Arial" w:hAnsi="Arial"/>
          <w:sz w:val="22"/>
          <w:szCs w:val="22"/>
        </w:rPr>
        <w:t xml:space="preserve"> legal do CONTRATADO</w:t>
      </w:r>
    </w:p>
    <w:p>
      <w:pPr>
        <w:pStyle w:val="Normal"/>
        <w:spacing w:lineRule="auto" w:line="360" w:before="120" w:after="288"/>
        <w:ind w:firstLine="567"/>
        <w:jc w:val="both"/>
        <w:rPr>
          <w:rFonts w:ascii="Arial" w:hAnsi="Arial" w:cs="Arial"/>
          <w:i/>
          <w:i/>
          <w:iCs/>
          <w:sz w:val="22"/>
          <w:szCs w:val="22"/>
        </w:rPr>
      </w:pPr>
      <w:r>
        <w:rPr>
          <w:rFonts w:cs="Arial" w:ascii="Arial" w:hAnsi="Arial"/>
          <w:i/>
          <w:iCs/>
          <w:sz w:val="22"/>
          <w:szCs w:val="22"/>
        </w:rPr>
        <w:t xml:space="preserve">TESTEMUNHAS:                                                                       2- </w:t>
      </w:r>
    </w:p>
    <w:p>
      <w:pPr>
        <w:pStyle w:val="Ttulo1"/>
        <w:numPr>
          <w:ilvl w:val="0"/>
          <w:numId w:val="1"/>
        </w:numPr>
        <w:tabs>
          <w:tab w:val="clear" w:pos="709"/>
          <w:tab w:val="left" w:pos="0" w:leader="none"/>
          <w:tab w:val="left" w:pos="1440" w:leader="none"/>
        </w:tabs>
        <w:spacing w:lineRule="auto" w:line="360"/>
        <w:jc w:val="center"/>
        <w:rPr>
          <w:bCs w:val="false"/>
          <w:sz w:val="22"/>
          <w:szCs w:val="22"/>
          <w:u w:val="single"/>
        </w:rPr>
      </w:pPr>
      <w:r>
        <w:rPr>
          <w:sz w:val="22"/>
          <w:szCs w:val="22"/>
        </w:rPr>
        <w:tab/>
      </w:r>
      <w:r>
        <w:rPr>
          <w:bCs w:val="false"/>
          <w:sz w:val="22"/>
          <w:szCs w:val="22"/>
          <w:u w:val="single"/>
        </w:rPr>
        <w:t>TERMO DE RECEBIMENTO DO EDITAL</w:t>
      </w:r>
    </w:p>
    <w:p>
      <w:pPr>
        <w:pStyle w:val="Normal"/>
        <w:spacing w:lineRule="auto" w:line="360"/>
        <w:rPr>
          <w:rFonts w:ascii="Arial" w:hAnsi="Arial" w:cs="Arial"/>
          <w:sz w:val="22"/>
          <w:szCs w:val="22"/>
        </w:rPr>
      </w:pPr>
      <w:r>
        <w:rPr>
          <w:rFonts w:cs="Arial" w:ascii="Arial" w:hAnsi="Arial"/>
          <w:sz w:val="22"/>
          <w:szCs w:val="22"/>
        </w:rPr>
      </w:r>
    </w:p>
    <w:p>
      <w:pPr>
        <w:pStyle w:val="Normal"/>
        <w:tabs>
          <w:tab w:val="clear" w:pos="709"/>
          <w:tab w:val="left" w:pos="1440" w:leader="none"/>
        </w:tabs>
        <w:ind w:right="-57" w:hanging="0"/>
        <w:jc w:val="both"/>
        <w:rPr>
          <w:rFonts w:ascii="Arial" w:hAnsi="Arial" w:cs="Arial"/>
          <w:sz w:val="22"/>
          <w:szCs w:val="22"/>
        </w:rPr>
      </w:pPr>
      <w:r>
        <w:rPr>
          <w:rFonts w:cs="Arial" w:ascii="Arial" w:hAnsi="Arial"/>
          <w:sz w:val="22"/>
          <w:szCs w:val="22"/>
        </w:rPr>
        <w:t xml:space="preserve">Declaro para os devidos fins que retirei integralmente junto ao endereço eletrônico www.itatiba.sp.gov.br o EDITAL de Licitação referente ao </w:t>
      </w:r>
      <w:r>
        <w:rPr>
          <w:rFonts w:cs="Arial" w:ascii="Arial" w:hAnsi="Arial"/>
          <w:bCs/>
          <w:sz w:val="22"/>
          <w:szCs w:val="22"/>
        </w:rPr>
        <w:t xml:space="preserve">PREGÃO ELETRÔNICO Nº 107/2024. </w:t>
      </w:r>
      <w:r>
        <w:rPr>
          <w:rFonts w:cs="Arial" w:ascii="Arial" w:hAnsi="Arial"/>
          <w:b/>
          <w:sz w:val="22"/>
          <w:szCs w:val="22"/>
        </w:rPr>
        <w:t>Objeto</w:t>
      </w:r>
      <w:r>
        <w:rPr>
          <w:rFonts w:cs="Arial" w:ascii="Arial" w:hAnsi="Arial"/>
          <w:bCs/>
          <w:sz w:val="22"/>
          <w:szCs w:val="22"/>
        </w:rPr>
        <w:t>: Contratação de serviços continuado de manutenção dos veículos que compõe a frota da Prefeitura Municipal de Itatiba, com fornecimento de peças de reposição e acessórios novos, originais ou similares de primeira linha, pelo período de 24 (vinte e quatro) meses.</w:t>
      </w:r>
    </w:p>
    <w:p>
      <w:pPr>
        <w:pStyle w:val="Normal"/>
        <w:tabs>
          <w:tab w:val="clear" w:pos="709"/>
          <w:tab w:val="left" w:pos="1440" w:leader="none"/>
        </w:tabs>
        <w:ind w:right="-54" w:hanging="0"/>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hanging="0"/>
        <w:jc w:val="both"/>
        <w:rPr>
          <w:rFonts w:ascii="Arial" w:hAnsi="Arial" w:cs="Arial"/>
          <w:sz w:val="22"/>
          <w:szCs w:val="22"/>
        </w:rPr>
      </w:pPr>
      <w:r>
        <w:rPr>
          <w:rFonts w:cs="Arial" w:ascii="Arial" w:hAnsi="Arial"/>
          <w:b/>
          <w:bCs/>
          <w:sz w:val="22"/>
          <w:szCs w:val="22"/>
        </w:rPr>
        <w:t>Nome da Empresa:</w:t>
      </w:r>
      <w:r>
        <w:rPr>
          <w:rFonts w:cs="Arial" w:ascii="Arial" w:hAnsi="Arial"/>
          <w:sz w:val="22"/>
          <w:szCs w:val="22"/>
        </w:rPr>
        <w:t xml:space="preserve"> 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rPr>
        <w:t xml:space="preserve">CNPJ Nº </w:t>
      </w:r>
      <w:r>
        <w:rPr>
          <w:rFonts w:cs="Arial" w:ascii="Arial" w:hAnsi="Arial"/>
          <w:sz w:val="22"/>
          <w:szCs w:val="22"/>
        </w:rPr>
        <w:t>______________________________________________________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rPr>
        <w:t>Endereço:</w:t>
      </w:r>
      <w:r>
        <w:rPr>
          <w:rFonts w:cs="Arial" w:ascii="Arial" w:hAnsi="Arial"/>
          <w:sz w:val="22"/>
          <w:szCs w:val="22"/>
        </w:rPr>
        <w:t xml:space="preserve"> _____________________________________________________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rPr>
        <w:t>Bairro</w:t>
      </w:r>
      <w:r>
        <w:rPr>
          <w:rFonts w:cs="Arial" w:ascii="Arial" w:hAnsi="Arial"/>
          <w:sz w:val="22"/>
          <w:szCs w:val="22"/>
        </w:rPr>
        <w:t xml:space="preserve">: ____________________   </w:t>
      </w:r>
      <w:r>
        <w:rPr>
          <w:rFonts w:cs="Arial" w:ascii="Arial" w:hAnsi="Arial"/>
          <w:b/>
          <w:bCs/>
          <w:sz w:val="22"/>
          <w:szCs w:val="22"/>
        </w:rPr>
        <w:t>Cidade</w:t>
      </w:r>
      <w:r>
        <w:rPr>
          <w:rFonts w:cs="Arial" w:ascii="Arial" w:hAnsi="Arial"/>
          <w:sz w:val="22"/>
          <w:szCs w:val="22"/>
        </w:rPr>
        <w:t>: 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lang w:val="it-IT"/>
        </w:rPr>
        <w:t>Telefone</w:t>
      </w:r>
      <w:r>
        <w:rPr>
          <w:rFonts w:cs="Arial" w:ascii="Arial" w:hAnsi="Arial"/>
          <w:sz w:val="22"/>
          <w:szCs w:val="22"/>
          <w:lang w:val="it-IT"/>
        </w:rPr>
        <w:t xml:space="preserve"> (    ) ___________________    </w:t>
      </w:r>
      <w:r>
        <w:rPr>
          <w:rFonts w:cs="Arial" w:ascii="Arial" w:hAnsi="Arial"/>
          <w:b/>
          <w:bCs/>
          <w:sz w:val="22"/>
          <w:szCs w:val="22"/>
          <w:lang w:val="it-IT"/>
        </w:rPr>
        <w:t>FAX:</w:t>
      </w:r>
      <w:r>
        <w:rPr>
          <w:rFonts w:cs="Arial" w:ascii="Arial" w:hAnsi="Arial"/>
          <w:sz w:val="22"/>
          <w:szCs w:val="22"/>
          <w:lang w:val="it-IT"/>
        </w:rPr>
        <w:t xml:space="preserve"> (     ) 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lang w:val="it-IT"/>
        </w:rPr>
        <w:t>E-mail:</w:t>
      </w:r>
      <w:r>
        <w:rPr>
          <w:rFonts w:cs="Arial" w:ascii="Arial" w:hAnsi="Arial"/>
          <w:sz w:val="22"/>
          <w:szCs w:val="22"/>
          <w:lang w:val="it-IT"/>
        </w:rPr>
        <w:t>________________________________________________________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lang w:val="it-IT"/>
        </w:rPr>
        <w:t>Contato</w:t>
      </w:r>
      <w:r>
        <w:rPr>
          <w:rFonts w:cs="Arial" w:ascii="Arial" w:hAnsi="Arial"/>
          <w:sz w:val="22"/>
          <w:szCs w:val="22"/>
          <w:lang w:val="it-IT"/>
        </w:rPr>
        <w:t>:_______________________________________________________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jc w:val="both"/>
        <w:rPr>
          <w:rFonts w:ascii="Arial" w:hAnsi="Arial" w:cs="Arial"/>
          <w:sz w:val="22"/>
          <w:szCs w:val="22"/>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Pregoeiro. </w:t>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jc w:val="both"/>
        <w:rPr>
          <w:rFonts w:ascii="Arial" w:hAnsi="Arial" w:cs="Arial"/>
          <w:sz w:val="22"/>
          <w:szCs w:val="22"/>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t>Fone para contato (011) 3183-0655</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ind w:right="-57" w:hanging="0"/>
        <w:jc w:val="both"/>
        <w:rPr>
          <w:rFonts w:ascii="Arial" w:hAnsi="Arial" w:cs="Arial"/>
          <w:sz w:val="22"/>
          <w:szCs w:val="22"/>
        </w:rPr>
      </w:pPr>
      <w:bookmarkStart w:id="53" w:name="_Hlk181273214"/>
      <w:r>
        <w:rPr>
          <w:rFonts w:cs="Arial" w:ascii="Arial" w:hAnsi="Arial"/>
          <w:b/>
          <w:bCs/>
          <w:sz w:val="22"/>
          <w:szCs w:val="22"/>
        </w:rPr>
        <w:t>AVISO DE REPUBLICAÇÃO - Pregão Eletrônico Nº 107/2024,</w:t>
      </w:r>
      <w:r>
        <w:rPr>
          <w:rFonts w:cs="Arial" w:ascii="Arial" w:hAnsi="Arial"/>
          <w:sz w:val="22"/>
          <w:szCs w:val="22"/>
        </w:rPr>
        <w:t xml:space="preserve"> </w:t>
      </w:r>
      <w:r>
        <w:rPr>
          <w:rFonts w:cs="Arial" w:ascii="Arial" w:hAnsi="Arial"/>
          <w:b/>
          <w:bCs/>
          <w:sz w:val="22"/>
          <w:szCs w:val="22"/>
        </w:rPr>
        <w:t>Edital Nº 139/2024</w:t>
      </w:r>
      <w:r>
        <w:rPr>
          <w:rFonts w:cs="Arial" w:ascii="Arial" w:hAnsi="Arial"/>
          <w:sz w:val="22"/>
          <w:szCs w:val="22"/>
        </w:rPr>
        <w:t xml:space="preserve">, Tipo Menor Preço Global. Objeto: </w:t>
      </w:r>
      <w:r>
        <w:rPr>
          <w:rFonts w:cs="Arial" w:ascii="Arial" w:hAnsi="Arial"/>
          <w:bCs/>
          <w:sz w:val="22"/>
          <w:szCs w:val="22"/>
        </w:rPr>
        <w:t>Contratação de serviços continuado de manutenção dos veículos que compõe a frota da Prefeitura Municipal de Itatiba, com fornecimento de peças de reposição e acessórios novos, originais ou similares de primeira linha, pelo período de 24 (vinte e quatro) meses.</w:t>
      </w:r>
      <w:r>
        <w:rPr>
          <w:rFonts w:cs="Arial" w:ascii="Arial" w:hAnsi="Arial"/>
          <w:sz w:val="22"/>
          <w:szCs w:val="22"/>
        </w:rPr>
        <w:t xml:space="preserve"> Os cadastros das Propostas serão recebidos até o dia</w:t>
      </w:r>
      <w:r>
        <w:rPr>
          <w:rFonts w:cs="Arial" w:ascii="Arial" w:hAnsi="Arial"/>
          <w:b/>
          <w:sz w:val="22"/>
          <w:szCs w:val="22"/>
        </w:rPr>
        <w:t xml:space="preserve"> </w:t>
      </w:r>
      <w:r>
        <w:rPr>
          <w:rFonts w:cs="Arial" w:ascii="Arial" w:hAnsi="Arial"/>
          <w:b/>
          <w:sz w:val="22"/>
          <w:szCs w:val="22"/>
          <w:u w:val="single"/>
        </w:rPr>
        <w:t>12 de dezembro</w:t>
      </w:r>
      <w:r>
        <w:rPr>
          <w:rFonts w:cs="Arial" w:ascii="Arial" w:hAnsi="Arial"/>
          <w:b/>
          <w:sz w:val="22"/>
          <w:szCs w:val="22"/>
          <w:u w:val="single"/>
        </w:rPr>
        <w:t xml:space="preserve"> de 2024, às 8h50min</w:t>
      </w:r>
      <w:r>
        <w:rPr>
          <w:rFonts w:cs="Arial" w:ascii="Arial" w:hAnsi="Arial"/>
          <w:bCs/>
          <w:sz w:val="22"/>
          <w:szCs w:val="22"/>
        </w:rPr>
        <w:t>, na</w:t>
      </w:r>
      <w:r>
        <w:rPr>
          <w:rFonts w:cs="Arial" w:ascii="Arial" w:hAnsi="Arial"/>
          <w:b/>
          <w:sz w:val="22"/>
          <w:szCs w:val="22"/>
        </w:rPr>
        <w:t xml:space="preserve"> </w:t>
      </w:r>
      <w:r>
        <w:rPr>
          <w:rStyle w:val="Strong"/>
          <w:rFonts w:cs="Arial" w:ascii="Arial" w:hAnsi="Arial"/>
          <w:b w:val="false"/>
          <w:bCs w:val="false"/>
          <w:sz w:val="22"/>
          <w:szCs w:val="22"/>
        </w:rPr>
        <w:t>página eletrônica da Bolsa Brasileira de Mercadorias (</w:t>
      </w:r>
      <w:hyperlink r:id="rId25">
        <w:r>
          <w:rPr>
            <w:rStyle w:val="LinkdaInternet"/>
            <w:rFonts w:cs="Arial" w:ascii="Arial" w:hAnsi="Arial"/>
            <w:color w:val="auto"/>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O edital fica disponível na Seção de Licitações - Av. Luciano Consoline, 600, Jd de Lucca das 9h às 17h e sites </w:t>
      </w:r>
      <w:hyperlink r:id="rId26">
        <w:r>
          <w:rPr>
            <w:rStyle w:val="LinkdaInternet"/>
            <w:rFonts w:cs="Arial" w:ascii="Arial" w:hAnsi="Arial"/>
            <w:color w:val="auto"/>
            <w:sz w:val="22"/>
            <w:szCs w:val="22"/>
          </w:rPr>
          <w:t>www.itatiba.sp.gov.br</w:t>
        </w:r>
      </w:hyperlink>
      <w:r>
        <w:rPr>
          <w:rFonts w:cs="Arial" w:ascii="Arial" w:hAnsi="Arial"/>
          <w:sz w:val="22"/>
          <w:szCs w:val="22"/>
        </w:rPr>
        <w:t xml:space="preserve"> e </w:t>
      </w:r>
      <w:hyperlink r:id="rId27">
        <w:r>
          <w:rPr>
            <w:rStyle w:val="LinkdaInternet"/>
            <w:rFonts w:cs="Arial" w:ascii="Arial" w:hAnsi="Arial"/>
            <w:color w:val="auto"/>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Informações: tel.(11) 3183-0655. Adriana Stocco - Pregoeira. </w:t>
      </w:r>
      <w:bookmarkEnd w:id="53"/>
    </w:p>
    <w:sectPr>
      <w:headerReference w:type="default" r:id="rId28"/>
      <w:footerReference w:type="default" r:id="rId29"/>
      <w:type w:val="nextPage"/>
      <w:pgSz w:w="11906" w:h="16838"/>
      <w:pgMar w:left="1418" w:right="991" w:gutter="0" w:header="567" w:top="1560" w:footer="1332" w:bottom="1389"/>
      <w:pgNumType w:fmt="decimal"/>
      <w:formProt w:val="false"/>
      <w:textDirection w:val="lrTb"/>
      <w:docGrid w:type="default" w:linePitch="36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Courier New">
    <w:charset w:val="00"/>
    <w:family w:val="roman"/>
    <w:pitch w:val="variable"/>
  </w:font>
  <w:font w:name="Tahoma">
    <w:charset w:val="00"/>
    <w:family w:val="roman"/>
    <w:pitch w:val="variable"/>
  </w:font>
  <w:font w:name="Verdana">
    <w:charset w:val="00"/>
    <w:family w:val="roman"/>
    <w:pitch w:val="variable"/>
  </w:font>
  <w:font w:name="Times New">
    <w:charset w:val="00"/>
    <w:family w:val="roman"/>
    <w:pitch w:val="variable"/>
  </w:font>
  <w:font w:name="OpenSymbol">
    <w:altName w:val="Arial Unicode MS"/>
    <w:charset w:val="00"/>
    <w:family w:val="roman"/>
    <w:pitch w:val="variable"/>
  </w:font>
  <w:font w:name="Ecofont_Spranq_eco_Sans">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roman"/>
    <w:pitch w:val="variable"/>
  </w:font>
  <w:font w:name="Helvetica LT Light">
    <w:charset w:val="00"/>
    <w:family w:val="roman"/>
    <w:pitch w:val="variable"/>
  </w:font>
  <w:font w:name="Conduit ITC Light">
    <w:charset w:val="00"/>
    <w:family w:val="roman"/>
    <w:pitch w:val="variable"/>
  </w:font>
  <w:font w:name="Carlito">
    <w:altName w:val="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pPr>
    <w:r>
      <w:rPr/>
      <w:fldChar w:fldCharType="begin"/>
    </w:r>
    <w:r>
      <w:rPr/>
      <w:instrText xml:space="preserve"> PAGE </w:instrText>
    </w:r>
    <w:r>
      <w:rPr/>
      <w:fldChar w:fldCharType="separate"/>
    </w:r>
    <w:r>
      <w:rPr/>
      <w:t>77</w:t>
    </w:r>
    <w:r>
      <w:rPr/>
      <w:fldChar w:fldCharType="end"/>
    </w:r>
    <w:r>
      <w:rPr/>
      <w:drawing>
        <wp:inline distT="0" distB="0" distL="0" distR="0">
          <wp:extent cx="6029960" cy="854075"/>
          <wp:effectExtent l="0" t="0" r="0" b="0"/>
          <wp:docPr id="4"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
                  <pic:cNvPicPr>
                    <a:picLocks noChangeAspect="1" noChangeArrowheads="1"/>
                  </pic:cNvPicPr>
                </pic:nvPicPr>
                <pic:blipFill>
                  <a:blip r:embed="rId1"/>
                  <a:stretch>
                    <a:fillRect/>
                  </a:stretch>
                </pic:blipFill>
                <pic:spPr bwMode="auto">
                  <a:xfrm>
                    <a:off x="0" y="0"/>
                    <a:ext cx="6029960" cy="854075"/>
                  </a:xfrm>
                  <a:prstGeom prst="rect">
                    <a:avLst/>
                  </a:prstGeom>
                </pic:spPr>
              </pic:pic>
            </a:graphicData>
          </a:graphic>
        </wp:inline>
      </w:drawing>
    </w:r>
  </w:p>
  <w:p>
    <w:pPr>
      <w:pStyle w:val="Rodap"/>
      <w:rPr>
        <w:lang w:eastAsia="pt-BR"/>
      </w:rPr>
    </w:pPr>
    <w:r>
      <w:rPr>
        <w:lang w:eastAsia="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inline distT="0" distB="0" distL="0" distR="0">
          <wp:extent cx="5400040" cy="543560"/>
          <wp:effectExtent l="0" t="0" r="0" b="0"/>
          <wp:docPr id="3"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descr=""/>
                  <pic:cNvPicPr>
                    <a:picLocks noChangeAspect="1" noChangeArrowheads="1"/>
                  </pic:cNvPicPr>
                </pic:nvPicPr>
                <pic:blipFill>
                  <a:blip r:embed="rId1"/>
                  <a:stretch>
                    <a:fillRect/>
                  </a:stretch>
                </pic:blipFill>
                <pic:spPr bwMode="auto">
                  <a:xfrm>
                    <a:off x="0" y="0"/>
                    <a:ext cx="5400040" cy="543560"/>
                  </a:xfrm>
                  <a:prstGeom prst="rect">
                    <a:avLst/>
                  </a:prstGeom>
                </pic:spPr>
              </pic:pic>
            </a:graphicData>
          </a:graphic>
        </wp:inline>
      </w:drawing>
    </w: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1709" w:hanging="432"/>
      </w:pPr>
      <w:rPr>
        <w:dstrike w:val="false"/>
        <w:strike w:val="false"/>
        <w:sz w:val="20"/>
        <w:i w:val="false"/>
        <w:u w:val="none"/>
        <w:b w:val="false"/>
        <w:szCs w:val="20"/>
        <w:color w:val="auto"/>
      </w:rPr>
    </w:lvl>
    <w:lvl w:ilvl="2">
      <w:start w:val="1"/>
      <w:numFmt w:val="decimal"/>
      <w:lvlText w:val="%1.%2.%3."/>
      <w:lvlJc w:val="left"/>
      <w:pPr>
        <w:tabs>
          <w:tab w:val="num" w:pos="0"/>
        </w:tabs>
        <w:ind w:left="788"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7736"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2"/>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8375"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5">
    <w:lvl w:ilvl="0">
      <w:start w:val="6"/>
      <w:numFmt w:val="decimal"/>
      <w:lvlText w:val="%1"/>
      <w:lvlJc w:val="left"/>
      <w:pPr>
        <w:tabs>
          <w:tab w:val="num" w:pos="0"/>
        </w:tabs>
        <w:ind w:left="360" w:hanging="360"/>
      </w:pPr>
      <w:rPr/>
    </w:lvl>
    <w:lvl w:ilvl="1">
      <w:start w:val="1"/>
      <w:numFmt w:val="decimal"/>
      <w:lvlText w:val="%1.%2"/>
      <w:lvlJc w:val="left"/>
      <w:pPr>
        <w:tabs>
          <w:tab w:val="num" w:pos="0"/>
        </w:tabs>
        <w:ind w:left="3196" w:hanging="360"/>
      </w:pPr>
      <w:rPr/>
    </w:lvl>
    <w:lvl w:ilvl="2">
      <w:start w:val="1"/>
      <w:numFmt w:val="decimal"/>
      <w:lvlText w:val="%1.%2.%3"/>
      <w:lvlJc w:val="left"/>
      <w:pPr>
        <w:tabs>
          <w:tab w:val="num" w:pos="0"/>
        </w:tabs>
        <w:ind w:left="706" w:hanging="720"/>
      </w:pPr>
      <w:rPr/>
    </w:lvl>
    <w:lvl w:ilvl="3">
      <w:start w:val="1"/>
      <w:numFmt w:val="decimal"/>
      <w:lvlText w:val="%1.%2.%3.%4"/>
      <w:lvlJc w:val="left"/>
      <w:pPr>
        <w:tabs>
          <w:tab w:val="num" w:pos="0"/>
        </w:tabs>
        <w:ind w:left="699" w:hanging="720"/>
      </w:pPr>
      <w:rPr/>
    </w:lvl>
    <w:lvl w:ilvl="4">
      <w:start w:val="1"/>
      <w:numFmt w:val="decimal"/>
      <w:lvlText w:val="%1.%2.%3.%4.%5"/>
      <w:lvlJc w:val="left"/>
      <w:pPr>
        <w:tabs>
          <w:tab w:val="num" w:pos="0"/>
        </w:tabs>
        <w:ind w:left="1052" w:hanging="1080"/>
      </w:pPr>
      <w:rPr/>
    </w:lvl>
    <w:lvl w:ilvl="5">
      <w:start w:val="1"/>
      <w:numFmt w:val="decimal"/>
      <w:lvlText w:val="%1.%2.%3.%4.%5.%6"/>
      <w:lvlJc w:val="left"/>
      <w:pPr>
        <w:tabs>
          <w:tab w:val="num" w:pos="0"/>
        </w:tabs>
        <w:ind w:left="1045" w:hanging="1080"/>
      </w:pPr>
      <w:rPr/>
    </w:lvl>
    <w:lvl w:ilvl="6">
      <w:start w:val="1"/>
      <w:numFmt w:val="decimal"/>
      <w:lvlText w:val="%1.%2.%3.%4.%5.%6.%7"/>
      <w:lvlJc w:val="left"/>
      <w:pPr>
        <w:tabs>
          <w:tab w:val="num" w:pos="0"/>
        </w:tabs>
        <w:ind w:left="1398" w:hanging="1440"/>
      </w:pPr>
      <w:rPr/>
    </w:lvl>
    <w:lvl w:ilvl="7">
      <w:start w:val="1"/>
      <w:numFmt w:val="decimal"/>
      <w:lvlText w:val="%1.%2.%3.%4.%5.%6.%7.%8"/>
      <w:lvlJc w:val="left"/>
      <w:pPr>
        <w:tabs>
          <w:tab w:val="num" w:pos="0"/>
        </w:tabs>
        <w:ind w:left="1391" w:hanging="1440"/>
      </w:pPr>
      <w:rPr/>
    </w:lvl>
    <w:lvl w:ilvl="8">
      <w:start w:val="1"/>
      <w:numFmt w:val="decimal"/>
      <w:lvlText w:val="%1.%2.%3.%4.%5.%6.%7.%8.%9"/>
      <w:lvlJc w:val="left"/>
      <w:pPr>
        <w:tabs>
          <w:tab w:val="num" w:pos="0"/>
        </w:tabs>
        <w:ind w:left="1744" w:hanging="1800"/>
      </w:pPr>
      <w:rPr/>
    </w:lvl>
  </w:abstractNum>
  <w:abstractNum w:abstractNumId="6">
    <w:lvl w:ilvl="0">
      <w:start w:val="5"/>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7">
    <w:lvl w:ilvl="0">
      <w:start w:val="11"/>
      <w:numFmt w:val="decimal"/>
      <w:lvlText w:val="%1"/>
      <w:lvlJc w:val="left"/>
      <w:pPr>
        <w:tabs>
          <w:tab w:val="num" w:pos="0"/>
        </w:tabs>
        <w:ind w:left="420" w:hanging="420"/>
      </w:pPr>
      <w:rPr/>
    </w:lvl>
    <w:lvl w:ilvl="1">
      <w:start w:val="1"/>
      <w:numFmt w:val="decimal"/>
      <w:lvlText w:val="%1.%2"/>
      <w:lvlJc w:val="left"/>
      <w:pPr>
        <w:tabs>
          <w:tab w:val="num" w:pos="0"/>
        </w:tabs>
        <w:ind w:left="420" w:hanging="4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360" w:hanging="360"/>
      </w:pPr>
      <w:rPr/>
    </w:lvl>
    <w:lvl w:ilvl="1">
      <w:start w:val="2"/>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Zero"/>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0">
    <w:lvl w:ilvl="0">
      <w:start w:val="10"/>
      <w:numFmt w:val="decimal"/>
      <w:lvlText w:val="%1."/>
      <w:lvlJc w:val="left"/>
      <w:pPr>
        <w:tabs>
          <w:tab w:val="num" w:pos="0"/>
        </w:tabs>
        <w:ind w:left="2628" w:hanging="360"/>
      </w:pPr>
      <w:rPr>
        <w:b/>
      </w:rPr>
    </w:lvl>
    <w:lvl w:ilvl="1">
      <w:start w:val="1"/>
      <w:numFmt w:val="decimal"/>
      <w:lvlText w:val="%1.%2."/>
      <w:lvlJc w:val="left"/>
      <w:pPr>
        <w:tabs>
          <w:tab w:val="num" w:pos="0"/>
        </w:tabs>
        <w:ind w:left="6103" w:hanging="432"/>
      </w:pPr>
      <w:rPr>
        <w:dstrike w:val="false"/>
        <w:strike w:val="false"/>
        <w:sz w:val="20"/>
        <w:i w:val="false"/>
        <w:u w:val="none"/>
        <w:b w:val="false"/>
        <w:szCs w:val="20"/>
        <w:color w:val="000000"/>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2348"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
    <w:lvl w:ilvl="0">
      <w:start w:val="1"/>
      <w:numFmt w:val="decimal"/>
      <w:lvlText w:val="%1"/>
      <w:lvlJc w:val="left"/>
      <w:pPr>
        <w:tabs>
          <w:tab w:val="num" w:pos="0"/>
        </w:tabs>
        <w:ind w:left="375" w:hanging="375"/>
      </w:pPr>
      <w:rPr/>
    </w:lvl>
    <w:lvl w:ilvl="1">
      <w:start w:val="1"/>
      <w:numFmt w:val="decimal"/>
      <w:lvlText w:val="%1.%2"/>
      <w:lvlJc w:val="left"/>
      <w:pPr>
        <w:tabs>
          <w:tab w:val="num" w:pos="0"/>
        </w:tabs>
        <w:ind w:left="375" w:hanging="375"/>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3">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lowerRoman"/>
      <w:lvlText w:val="%1."/>
      <w:lvlJc w:val="right"/>
      <w:pPr>
        <w:tabs>
          <w:tab w:val="num" w:pos="0"/>
        </w:tabs>
        <w:ind w:left="1287" w:hanging="360"/>
      </w:pPr>
      <w:rPr/>
    </w:lvl>
    <w:lvl w:ilvl="1">
      <w:start w:val="1"/>
      <w:numFmt w:val="decimal"/>
      <w:lvlText w:val="%2."/>
      <w:lvlJc w:val="left"/>
      <w:pPr>
        <w:tabs>
          <w:tab w:val="num" w:pos="0"/>
        </w:tabs>
        <w:ind w:left="8724"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17">
    <w:lvl w:ilvl="0">
      <w:start w:val="1"/>
      <w:numFmt w:val="lowerRoman"/>
      <w:lvlText w:val="%1)"/>
      <w:lvlJc w:val="left"/>
      <w:pPr>
        <w:tabs>
          <w:tab w:val="num" w:pos="0"/>
        </w:tabs>
        <w:ind w:left="720" w:hanging="360"/>
      </w:pPr>
      <w:rPr>
        <w:rFonts w:ascii="Arial" w:hAnsi="Arial" w:eastAsia="MS Mincho"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lowerLetter"/>
      <w:lvlText w:val="%1)"/>
      <w:lvlJc w:val="left"/>
      <w:pPr>
        <w:tabs>
          <w:tab w:val="num" w:pos="0"/>
        </w:tabs>
        <w:ind w:left="1436" w:hanging="360"/>
      </w:pPr>
      <w:rPr/>
    </w:lvl>
    <w:lvl w:ilvl="1">
      <w:start w:val="1"/>
      <w:numFmt w:val="lowerLetter"/>
      <w:lvlText w:val="%2."/>
      <w:lvlJc w:val="left"/>
      <w:pPr>
        <w:tabs>
          <w:tab w:val="num" w:pos="0"/>
        </w:tabs>
        <w:ind w:left="2156" w:hanging="360"/>
      </w:pPr>
      <w:rPr/>
    </w:lvl>
    <w:lvl w:ilvl="2">
      <w:start w:val="1"/>
      <w:numFmt w:val="lowerRoman"/>
      <w:lvlText w:val="%3."/>
      <w:lvlJc w:val="right"/>
      <w:pPr>
        <w:tabs>
          <w:tab w:val="num" w:pos="0"/>
        </w:tabs>
        <w:ind w:left="2876" w:hanging="180"/>
      </w:pPr>
      <w:rPr/>
    </w:lvl>
    <w:lvl w:ilvl="3">
      <w:start w:val="1"/>
      <w:numFmt w:val="decimal"/>
      <w:lvlText w:val="%4."/>
      <w:lvlJc w:val="left"/>
      <w:pPr>
        <w:tabs>
          <w:tab w:val="num" w:pos="0"/>
        </w:tabs>
        <w:ind w:left="3596" w:hanging="360"/>
      </w:pPr>
      <w:rPr/>
    </w:lvl>
    <w:lvl w:ilvl="4">
      <w:start w:val="1"/>
      <w:numFmt w:val="lowerLetter"/>
      <w:lvlText w:val="%5."/>
      <w:lvlJc w:val="left"/>
      <w:pPr>
        <w:tabs>
          <w:tab w:val="num" w:pos="0"/>
        </w:tabs>
        <w:ind w:left="4316" w:hanging="360"/>
      </w:pPr>
      <w:rPr/>
    </w:lvl>
    <w:lvl w:ilvl="5">
      <w:start w:val="1"/>
      <w:numFmt w:val="lowerRoman"/>
      <w:lvlText w:val="%6."/>
      <w:lvlJc w:val="right"/>
      <w:pPr>
        <w:tabs>
          <w:tab w:val="num" w:pos="0"/>
        </w:tabs>
        <w:ind w:left="5036" w:hanging="180"/>
      </w:pPr>
      <w:rPr/>
    </w:lvl>
    <w:lvl w:ilvl="6">
      <w:start w:val="1"/>
      <w:numFmt w:val="decimal"/>
      <w:lvlText w:val="%7."/>
      <w:lvlJc w:val="left"/>
      <w:pPr>
        <w:tabs>
          <w:tab w:val="num" w:pos="0"/>
        </w:tabs>
        <w:ind w:left="5756" w:hanging="360"/>
      </w:pPr>
      <w:rPr/>
    </w:lvl>
    <w:lvl w:ilvl="7">
      <w:start w:val="1"/>
      <w:numFmt w:val="lowerLetter"/>
      <w:lvlText w:val="%8."/>
      <w:lvlJc w:val="left"/>
      <w:pPr>
        <w:tabs>
          <w:tab w:val="num" w:pos="0"/>
        </w:tabs>
        <w:ind w:left="6476" w:hanging="360"/>
      </w:pPr>
      <w:rPr/>
    </w:lvl>
    <w:lvl w:ilvl="8">
      <w:start w:val="1"/>
      <w:numFmt w:val="lowerRoman"/>
      <w:lvlText w:val="%9."/>
      <w:lvlJc w:val="right"/>
      <w:pPr>
        <w:tabs>
          <w:tab w:val="num" w:pos="0"/>
        </w:tabs>
        <w:ind w:left="7196" w:hanging="180"/>
      </w:pPr>
      <w:rPr/>
    </w:lvl>
  </w:abstractNum>
  <w:abstractNum w:abstractNumId="19">
    <w:lvl w:ilvl="0">
      <w:start w:val="1"/>
      <w:numFmt w:val="lowerLetter"/>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5"/>
      <w:numFmt w:val="decimal"/>
      <w:lvlText w:val="%1"/>
      <w:lvlJc w:val="left"/>
      <w:pPr>
        <w:tabs>
          <w:tab w:val="num" w:pos="0"/>
        </w:tabs>
        <w:ind w:left="720" w:hanging="360"/>
      </w:pPr>
      <w:rPr>
        <w:rFonts w:eastAsia="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22"/>
      <w:numFmt w:val="decimal"/>
      <w:lvlText w:val="%1"/>
      <w:lvlJc w:val="left"/>
      <w:pPr>
        <w:tabs>
          <w:tab w:val="num" w:pos="0"/>
        </w:tabs>
        <w:ind w:left="720" w:hanging="360"/>
      </w:pPr>
      <w:rPr>
        <w:sz w:val="22"/>
        <w:b/>
        <w:szCs w:val="22"/>
        <w:rFonts w:ascii="Arial" w:hAnsi="Arial" w:eastAsia="Arial" w:cs="Arial"/>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23"/>
      <w:numFmt w:val="decimal"/>
      <w:lvlText w:val="%1"/>
      <w:lvlJc w:val="left"/>
      <w:pPr>
        <w:tabs>
          <w:tab w:val="num" w:pos="0"/>
        </w:tabs>
        <w:ind w:left="420" w:hanging="420"/>
      </w:pPr>
      <w:rPr>
        <w:sz w:val="22"/>
      </w:rPr>
    </w:lvl>
    <w:lvl w:ilvl="1">
      <w:start w:val="1"/>
      <w:numFmt w:val="decimal"/>
      <w:lvlText w:val="%1.%2"/>
      <w:lvlJc w:val="left"/>
      <w:pPr>
        <w:tabs>
          <w:tab w:val="num" w:pos="0"/>
        </w:tabs>
        <w:ind w:left="420" w:hanging="420"/>
      </w:pPr>
      <w:rPr>
        <w:sz w:val="22"/>
      </w:rPr>
    </w:lvl>
    <w:lvl w:ilvl="2">
      <w:start w:val="1"/>
      <w:numFmt w:val="decimal"/>
      <w:lvlText w:val="%1.%2.%3"/>
      <w:lvlJc w:val="left"/>
      <w:pPr>
        <w:tabs>
          <w:tab w:val="num" w:pos="0"/>
        </w:tabs>
        <w:ind w:left="720"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720" w:hanging="72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080" w:hanging="108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440" w:hanging="1440"/>
      </w:pPr>
      <w:rPr>
        <w:sz w:val="22"/>
      </w:rPr>
    </w:lvl>
  </w:abstractNum>
  <w:abstractNum w:abstractNumId="23">
    <w:lvl w:ilvl="0">
      <w:start w:val="3"/>
      <w:numFmt w:val="lowerLetter"/>
      <w:lvlText w:val="%1)"/>
      <w:lvlJc w:val="left"/>
      <w:pPr>
        <w:tabs>
          <w:tab w:val="num" w:pos="0"/>
        </w:tabs>
        <w:ind w:left="720" w:hanging="360"/>
      </w:pPr>
      <w:rPr>
        <w:sz w:val="22"/>
        <w:rFonts w:ascii="Arial" w:hAnsi="Arial" w:eastAsia="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lowerLetter"/>
      <w:lvlText w:val="%1)"/>
      <w:lvlJc w:val="left"/>
      <w:pPr>
        <w:tabs>
          <w:tab w:val="num" w:pos="0"/>
        </w:tabs>
        <w:ind w:left="720" w:hanging="360"/>
      </w:pPr>
      <w:rPr>
        <w:rFonts w:eastAsia="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1709" w:hanging="432"/>
      </w:pPr>
      <w:rPr>
        <w:dstrike w:val="false"/>
        <w:strike w:val="false"/>
        <w:sz w:val="20"/>
        <w:i w:val="false"/>
        <w:u w:val="none"/>
        <w:b w:val="false"/>
        <w:szCs w:val="20"/>
        <w:color w:val="auto"/>
      </w:rPr>
    </w:lvl>
    <w:lvl w:ilvl="2">
      <w:start w:val="1"/>
      <w:numFmt w:val="decimal"/>
      <w:lvlText w:val="%1.%2.%3."/>
      <w:lvlJc w:val="left"/>
      <w:pPr>
        <w:tabs>
          <w:tab w:val="num" w:pos="0"/>
        </w:tabs>
        <w:ind w:left="788"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7736"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
    <w:lvlOverride w:ilvl="0">
      <w:startOverride w:val="11"/>
    </w:lvlOverride>
  </w:num>
</w:numbering>
</file>

<file path=word/settings.xml><?xml version="1.0" encoding="utf-8"?>
<w:settings xmlns:w="http://schemas.openxmlformats.org/wordprocessingml/2006/main">
  <w:zoom w:percent="120"/>
  <w:displayBackgroundShape/>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qFormat="1"/>
    <w:lsdException w:name="header" w:semiHidden="1" w:unhideWhenUsed="1"/>
    <w:lsdException w:name="footer" w:uiPriority="0"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7299"/>
    <w:pPr>
      <w:widowControl/>
      <w:suppressAutoHyphens w:val="true"/>
      <w:bidi w:val="0"/>
      <w:spacing w:before="0" w:after="0"/>
      <w:jc w:val="left"/>
    </w:pPr>
    <w:rPr>
      <w:rFonts w:ascii="Times New Roman" w:hAnsi="Times New Roman" w:eastAsia="Times New Roman" w:cs="Times New Roman"/>
      <w:color w:val="auto"/>
      <w:kern w:val="2"/>
      <w:sz w:val="20"/>
      <w:szCs w:val="20"/>
      <w:lang w:eastAsia="zh-CN" w:val="pt-BR" w:bidi="ar-SA"/>
    </w:rPr>
  </w:style>
  <w:style w:type="paragraph" w:styleId="Ttulo1">
    <w:name w:val="Heading 1"/>
    <w:basedOn w:val="Normal"/>
    <w:next w:val="Normal"/>
    <w:qFormat/>
    <w:pPr>
      <w:keepNext w:val="true"/>
      <w:numPr>
        <w:ilvl w:val="0"/>
        <w:numId w:val="1"/>
      </w:numPr>
      <w:spacing w:before="240" w:after="60"/>
      <w:outlineLvl w:val="0"/>
    </w:pPr>
    <w:rPr>
      <w:rFonts w:ascii="Arial" w:hAnsi="Arial" w:cs="Arial"/>
      <w:b/>
      <w:bCs/>
      <w:sz w:val="32"/>
      <w:szCs w:val="32"/>
    </w:rPr>
  </w:style>
  <w:style w:type="paragraph" w:styleId="Ttulo2">
    <w:name w:val="Heading 2"/>
    <w:basedOn w:val="Normal"/>
    <w:next w:val="Normal"/>
    <w:uiPriority w:val="9"/>
    <w:qFormat/>
    <w:pPr>
      <w:keepNext w:val="true"/>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qFormat/>
    <w:pPr>
      <w:keepNext w:val="true"/>
      <w:keepLines/>
      <w:numPr>
        <w:ilvl w:val="2"/>
        <w:numId w:val="1"/>
      </w:numPr>
      <w:spacing w:before="200" w:after="0"/>
      <w:outlineLvl w:val="2"/>
    </w:pPr>
    <w:rPr>
      <w:rFonts w:ascii="Cambria" w:hAnsi="Cambria" w:cs="Cambria"/>
      <w:b/>
      <w:bCs/>
      <w:color w:val="4F81BD"/>
      <w:sz w:val="24"/>
      <w:szCs w:val="24"/>
    </w:rPr>
  </w:style>
  <w:style w:type="paragraph" w:styleId="Ttulo4">
    <w:name w:val="Heading 4"/>
    <w:basedOn w:val="Normal"/>
    <w:next w:val="Normal"/>
    <w:qFormat/>
    <w:pPr>
      <w:keepNext w:val="true"/>
      <w:numPr>
        <w:ilvl w:val="3"/>
        <w:numId w:val="1"/>
      </w:numPr>
      <w:spacing w:before="240" w:after="60"/>
      <w:outlineLvl w:val="3"/>
    </w:pPr>
    <w:rPr>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qFormat/>
    <w:pPr>
      <w:numPr>
        <w:ilvl w:val="5"/>
        <w:numId w:val="1"/>
      </w:numPr>
      <w:spacing w:before="240" w:after="60"/>
      <w:outlineLvl w:val="5"/>
    </w:pPr>
    <w:rPr>
      <w:b/>
      <w:bCs/>
      <w:sz w:val="22"/>
      <w:szCs w:val="22"/>
    </w:rPr>
  </w:style>
  <w:style w:type="paragraph" w:styleId="Ttulo7">
    <w:name w:val="Heading 7"/>
    <w:basedOn w:val="Normal"/>
    <w:next w:val="Normal"/>
    <w:qFormat/>
    <w:pPr>
      <w:keepNext w:val="true"/>
      <w:numPr>
        <w:ilvl w:val="6"/>
        <w:numId w:val="1"/>
      </w:numPr>
      <w:jc w:val="center"/>
      <w:outlineLvl w:val="6"/>
    </w:pPr>
    <w:rPr/>
  </w:style>
  <w:style w:type="paragraph" w:styleId="Ttulo8">
    <w:name w:val="Heading 8"/>
    <w:basedOn w:val="Normal"/>
    <w:next w:val="Normal"/>
    <w:qFormat/>
    <w:pPr>
      <w:widowControl w:val="false"/>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Wingdings" w:hAnsi="Wingdings" w:cs="Wingdings"/>
      <w:sz w:val="22"/>
      <w:szCs w:val="22"/>
    </w:rPr>
  </w:style>
  <w:style w:type="character" w:styleId="WW8Num2z3" w:customStyle="1">
    <w:name w:val="WW8Num2z3"/>
    <w:qFormat/>
    <w:rPr>
      <w:rFonts w:ascii="Symbol" w:hAnsi="Symbol" w:cs="Symbol"/>
    </w:rPr>
  </w:style>
  <w:style w:type="character" w:styleId="WW8Num3z0" w:customStyle="1">
    <w:name w:val="WW8Num3z0"/>
    <w:qFormat/>
    <w:rPr>
      <w:rFonts w:ascii="Symbol" w:hAnsi="Symbol" w:cs="Symbol"/>
    </w:rPr>
  </w:style>
  <w:style w:type="character" w:styleId="WW8Num4z0" w:customStyle="1">
    <w:name w:val="WW8Num4z0"/>
    <w:qFormat/>
    <w:rPr>
      <w:rFonts w:ascii="Wingdings" w:hAnsi="Wingdings" w:cs="Wingdings"/>
      <w:sz w:val="22"/>
      <w:szCs w:val="22"/>
    </w:rPr>
  </w:style>
  <w:style w:type="character" w:styleId="WW8Num4z3" w:customStyle="1">
    <w:name w:val="WW8Num4z3"/>
    <w:qFormat/>
    <w:rPr>
      <w:rFonts w:ascii="Symbol" w:hAnsi="Symbol" w:cs="Symbol"/>
    </w:rPr>
  </w:style>
  <w:style w:type="character" w:styleId="WW8Num5z0" w:customStyle="1">
    <w:name w:val="WW8Num5z0"/>
    <w:qFormat/>
    <w:rPr>
      <w:rFonts w:ascii="Symbol" w:hAnsi="Symbol" w:cs="Symbol"/>
      <w:kern w:val="0"/>
      <w:sz w:val="22"/>
      <w:szCs w:val="24"/>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0" w:customStyle="1">
    <w:name w:val="WW8Num6z0"/>
    <w:qFormat/>
    <w:rPr>
      <w:rFonts w:ascii="Symbol" w:hAnsi="Symbol" w:cs="Symbo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Fontepargpadro132" w:customStyle="1">
    <w:name w:val="Fonte parág. padrão132"/>
    <w:qFormat/>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Fontepargpadro131" w:customStyle="1">
    <w:name w:val="Fonte parág. padrão131"/>
    <w:qFormat/>
    <w:rPr/>
  </w:style>
  <w:style w:type="character" w:styleId="Fontepargpadro130" w:customStyle="1">
    <w:name w:val="Fonte parág. padrão130"/>
    <w:qFormat/>
    <w:rPr/>
  </w:style>
  <w:style w:type="character" w:styleId="Fontepargpadro129" w:customStyle="1">
    <w:name w:val="Fonte parág. padrão129"/>
    <w:qFormat/>
    <w:rPr/>
  </w:style>
  <w:style w:type="character" w:styleId="Fontepargpadro128" w:customStyle="1">
    <w:name w:val="Fonte parág. padrão128"/>
    <w:qFormat/>
    <w:rPr/>
  </w:style>
  <w:style w:type="character" w:styleId="Fontepargpadro127" w:customStyle="1">
    <w:name w:val="Fonte parág. padrão127"/>
    <w:qFormat/>
    <w:rPr/>
  </w:style>
  <w:style w:type="character" w:styleId="Fontepargpadro126" w:customStyle="1">
    <w:name w:val="Fonte parág. padrão126"/>
    <w:qFormat/>
    <w:rPr/>
  </w:style>
  <w:style w:type="character" w:styleId="Fontepargpadro125" w:customStyle="1">
    <w:name w:val="Fonte parág. padrão125"/>
    <w:qFormat/>
    <w:rPr/>
  </w:style>
  <w:style w:type="character" w:styleId="Fontepargpadro124" w:customStyle="1">
    <w:name w:val="Fonte parág. padrão124"/>
    <w:qFormat/>
    <w:rPr/>
  </w:style>
  <w:style w:type="character" w:styleId="Fontepargpadro123" w:customStyle="1">
    <w:name w:val="Fonte parág. padrão123"/>
    <w:qFormat/>
    <w:rPr/>
  </w:style>
  <w:style w:type="character" w:styleId="Fontepargpadro122" w:customStyle="1">
    <w:name w:val="Fonte parág. padrão122"/>
    <w:qFormat/>
    <w:rPr/>
  </w:style>
  <w:style w:type="character" w:styleId="Fontepargpadro121" w:customStyle="1">
    <w:name w:val="Fonte parág. padrão121"/>
    <w:qFormat/>
    <w:rPr/>
  </w:style>
  <w:style w:type="character" w:styleId="Fontepargpadro120" w:customStyle="1">
    <w:name w:val="Fonte parág. padrão120"/>
    <w:qFormat/>
    <w:rPr/>
  </w:style>
  <w:style w:type="character" w:styleId="Fontepargpadro119" w:customStyle="1">
    <w:name w:val="Fonte parág. padrão119"/>
    <w:qFormat/>
    <w:rPr/>
  </w:style>
  <w:style w:type="character" w:styleId="Fontepargpadro118" w:customStyle="1">
    <w:name w:val="Fonte parág. padrão118"/>
    <w:qFormat/>
    <w:rPr/>
  </w:style>
  <w:style w:type="character" w:styleId="Fontepargpadro117" w:customStyle="1">
    <w:name w:val="Fonte parág. padrão117"/>
    <w:qFormat/>
    <w:rPr/>
  </w:style>
  <w:style w:type="character" w:styleId="Fontepargpadro116" w:customStyle="1">
    <w:name w:val="Fonte parág. padrão116"/>
    <w:qFormat/>
    <w:rPr/>
  </w:style>
  <w:style w:type="character" w:styleId="Fontepargpadro115" w:customStyle="1">
    <w:name w:val="Fonte parág. padrão115"/>
    <w:qFormat/>
    <w:rPr/>
  </w:style>
  <w:style w:type="character" w:styleId="Fontepargpadro114" w:customStyle="1">
    <w:name w:val="Fonte parág. padrão114"/>
    <w:qFormat/>
    <w:rPr/>
  </w:style>
  <w:style w:type="character" w:styleId="Fontepargpadro113" w:customStyle="1">
    <w:name w:val="Fonte parág. padrão113"/>
    <w:qFormat/>
    <w:rPr/>
  </w:style>
  <w:style w:type="character" w:styleId="Fontepargpadro112" w:customStyle="1">
    <w:name w:val="Fonte parág. padrão112"/>
    <w:qFormat/>
    <w:rPr/>
  </w:style>
  <w:style w:type="character" w:styleId="Fontepargpadro111" w:customStyle="1">
    <w:name w:val="Fonte parág. padrão111"/>
    <w:qFormat/>
    <w:rPr/>
  </w:style>
  <w:style w:type="character" w:styleId="Fontepargpadro110" w:customStyle="1">
    <w:name w:val="Fonte parág. padrão110"/>
    <w:qFormat/>
    <w:rPr/>
  </w:style>
  <w:style w:type="character" w:styleId="Fontepargpadro109" w:customStyle="1">
    <w:name w:val="Fonte parág. padrão109"/>
    <w:qFormat/>
    <w:rPr/>
  </w:style>
  <w:style w:type="character" w:styleId="Fontepargpadro108" w:customStyle="1">
    <w:name w:val="Fonte parág. padrão108"/>
    <w:qFormat/>
    <w:rPr/>
  </w:style>
  <w:style w:type="character" w:styleId="Fontepargpadro107" w:customStyle="1">
    <w:name w:val="Fonte parág. padrão107"/>
    <w:qFormat/>
    <w:rPr/>
  </w:style>
  <w:style w:type="character" w:styleId="Fontepargpadro106" w:customStyle="1">
    <w:name w:val="Fonte parág. padrão106"/>
    <w:qFormat/>
    <w:rPr/>
  </w:style>
  <w:style w:type="character" w:styleId="Fontepargpadro105" w:customStyle="1">
    <w:name w:val="Fonte parág. padrão105"/>
    <w:qFormat/>
    <w:rPr/>
  </w:style>
  <w:style w:type="character" w:styleId="Fontepargpadro104" w:customStyle="1">
    <w:name w:val="Fonte parág. padrão104"/>
    <w:qFormat/>
    <w:rPr/>
  </w:style>
  <w:style w:type="character" w:styleId="Fontepargpadro103" w:customStyle="1">
    <w:name w:val="Fonte parág. padrão103"/>
    <w:qFormat/>
    <w:rPr/>
  </w:style>
  <w:style w:type="character" w:styleId="Fontepargpadro102" w:customStyle="1">
    <w:name w:val="Fonte parág. padrão102"/>
    <w:qFormat/>
    <w:rPr/>
  </w:style>
  <w:style w:type="character" w:styleId="Fontepargpadro101" w:customStyle="1">
    <w:name w:val="Fonte parág. padrão101"/>
    <w:qFormat/>
    <w:rPr/>
  </w:style>
  <w:style w:type="character" w:styleId="Fontepargpadro100" w:customStyle="1">
    <w:name w:val="Fonte parág. padrão100"/>
    <w:qFormat/>
    <w:rPr/>
  </w:style>
  <w:style w:type="character" w:styleId="Fontepargpadro99" w:customStyle="1">
    <w:name w:val="Fonte parág. padrão99"/>
    <w:qFormat/>
    <w:rPr/>
  </w:style>
  <w:style w:type="character" w:styleId="Fontepargpadro98" w:customStyle="1">
    <w:name w:val="Fonte parág. padrão98"/>
    <w:qFormat/>
    <w:rPr/>
  </w:style>
  <w:style w:type="character" w:styleId="Fontepargpadro97" w:customStyle="1">
    <w:name w:val="Fonte parág. padrão97"/>
    <w:qFormat/>
    <w:rPr/>
  </w:style>
  <w:style w:type="character" w:styleId="Fontepargpadro96" w:customStyle="1">
    <w:name w:val="Fonte parág. padrão96"/>
    <w:qFormat/>
    <w:rPr/>
  </w:style>
  <w:style w:type="character" w:styleId="Fontepargpadro95" w:customStyle="1">
    <w:name w:val="Fonte parág. padrão95"/>
    <w:qFormat/>
    <w:rPr/>
  </w:style>
  <w:style w:type="character" w:styleId="Fontepargpadro94" w:customStyle="1">
    <w:name w:val="Fonte parág. padrão94"/>
    <w:qFormat/>
    <w:rPr/>
  </w:style>
  <w:style w:type="character" w:styleId="Fontepargpadro93" w:customStyle="1">
    <w:name w:val="Fonte parág. padrão93"/>
    <w:qFormat/>
    <w:rPr/>
  </w:style>
  <w:style w:type="character" w:styleId="Fontepargpadro92" w:customStyle="1">
    <w:name w:val="Fonte parág. padrão92"/>
    <w:qFormat/>
    <w:rPr/>
  </w:style>
  <w:style w:type="character" w:styleId="Fontepargpadro91" w:customStyle="1">
    <w:name w:val="Fonte parág. padrão91"/>
    <w:qFormat/>
    <w:rPr/>
  </w:style>
  <w:style w:type="character" w:styleId="Fontepargpadro90" w:customStyle="1">
    <w:name w:val="Fonte parág. padrão90"/>
    <w:qFormat/>
    <w:rPr/>
  </w:style>
  <w:style w:type="character" w:styleId="Fontepargpadro89" w:customStyle="1">
    <w:name w:val="Fonte parág. padrão89"/>
    <w:qFormat/>
    <w:rPr/>
  </w:style>
  <w:style w:type="character" w:styleId="Fontepargpadro88" w:customStyle="1">
    <w:name w:val="Fonte parág. padrão88"/>
    <w:qFormat/>
    <w:rPr/>
  </w:style>
  <w:style w:type="character" w:styleId="Fontepargpadro87" w:customStyle="1">
    <w:name w:val="Fonte parág. padrão87"/>
    <w:qFormat/>
    <w:rPr/>
  </w:style>
  <w:style w:type="character" w:styleId="Fontepargpadro86" w:customStyle="1">
    <w:name w:val="Fonte parág. padrão86"/>
    <w:qFormat/>
    <w:rPr/>
  </w:style>
  <w:style w:type="character" w:styleId="Fontepargpadro85" w:customStyle="1">
    <w:name w:val="Fonte parág. padrão85"/>
    <w:qFormat/>
    <w:rPr/>
  </w:style>
  <w:style w:type="character" w:styleId="Fontepargpadro84" w:customStyle="1">
    <w:name w:val="Fonte parág. padrão84"/>
    <w:qFormat/>
    <w:rPr/>
  </w:style>
  <w:style w:type="character" w:styleId="Fontepargpadro83" w:customStyle="1">
    <w:name w:val="Fonte parág. padrão83"/>
    <w:qFormat/>
    <w:rPr/>
  </w:style>
  <w:style w:type="character" w:styleId="Fontepargpadro82" w:customStyle="1">
    <w:name w:val="Fonte parág. padrão82"/>
    <w:qFormat/>
    <w:rPr/>
  </w:style>
  <w:style w:type="character" w:styleId="Fontepargpadro81" w:customStyle="1">
    <w:name w:val="Fonte parág. padrão81"/>
    <w:qFormat/>
    <w:rPr/>
  </w:style>
  <w:style w:type="character" w:styleId="Fontepargpadro80" w:customStyle="1">
    <w:name w:val="Fonte parág. padrão80"/>
    <w:qFormat/>
    <w:rPr/>
  </w:style>
  <w:style w:type="character" w:styleId="Fontepargpadro79" w:customStyle="1">
    <w:name w:val="Fonte parág. padrão79"/>
    <w:qFormat/>
    <w:rPr/>
  </w:style>
  <w:style w:type="character" w:styleId="Fontepargpadro78" w:customStyle="1">
    <w:name w:val="Fonte parág. padrão78"/>
    <w:qFormat/>
    <w:rPr/>
  </w:style>
  <w:style w:type="character" w:styleId="Fontepargpadro77" w:customStyle="1">
    <w:name w:val="Fonte parág. padrão77"/>
    <w:qFormat/>
    <w:rPr/>
  </w:style>
  <w:style w:type="character" w:styleId="Fontepargpadro76" w:customStyle="1">
    <w:name w:val="Fonte parág. padrão76"/>
    <w:qFormat/>
    <w:rPr/>
  </w:style>
  <w:style w:type="character" w:styleId="Fontepargpadro75" w:customStyle="1">
    <w:name w:val="Fonte parág. padrão75"/>
    <w:qFormat/>
    <w:rPr/>
  </w:style>
  <w:style w:type="character" w:styleId="Fontepargpadro74" w:customStyle="1">
    <w:name w:val="Fonte parág. padrão74"/>
    <w:qFormat/>
    <w:rPr/>
  </w:style>
  <w:style w:type="character" w:styleId="Fontepargpadro73" w:customStyle="1">
    <w:name w:val="Fonte parág. padrão73"/>
    <w:qFormat/>
    <w:rPr/>
  </w:style>
  <w:style w:type="character" w:styleId="Fontepargpadro72" w:customStyle="1">
    <w:name w:val="Fonte parág. padrão72"/>
    <w:qFormat/>
    <w:rPr/>
  </w:style>
  <w:style w:type="character" w:styleId="Fontepargpadro71" w:customStyle="1">
    <w:name w:val="Fonte parág. padrão71"/>
    <w:qFormat/>
    <w:rPr/>
  </w:style>
  <w:style w:type="character" w:styleId="Fontepargpadro70" w:customStyle="1">
    <w:name w:val="Fonte parág. padrão70"/>
    <w:qFormat/>
    <w:rPr/>
  </w:style>
  <w:style w:type="character" w:styleId="Fontepargpadro69" w:customStyle="1">
    <w:name w:val="Fonte parág. padrão69"/>
    <w:qFormat/>
    <w:rPr/>
  </w:style>
  <w:style w:type="character" w:styleId="Fontepargpadro68" w:customStyle="1">
    <w:name w:val="Fonte parág. padrão68"/>
    <w:qFormat/>
    <w:rPr/>
  </w:style>
  <w:style w:type="character" w:styleId="Fontepargpadro67" w:customStyle="1">
    <w:name w:val="Fonte parág. padrão67"/>
    <w:qFormat/>
    <w:rPr/>
  </w:style>
  <w:style w:type="character" w:styleId="Fontepargpadro66" w:customStyle="1">
    <w:name w:val="Fonte parág. padrão66"/>
    <w:qFormat/>
    <w:rPr/>
  </w:style>
  <w:style w:type="character" w:styleId="Fontepargpadro65" w:customStyle="1">
    <w:name w:val="Fonte parág. padrão65"/>
    <w:qFormat/>
    <w:rPr/>
  </w:style>
  <w:style w:type="character" w:styleId="Fontepargpadro64" w:customStyle="1">
    <w:name w:val="Fonte parág. padrão64"/>
    <w:qFormat/>
    <w:rPr/>
  </w:style>
  <w:style w:type="character" w:styleId="Fontepargpadro63" w:customStyle="1">
    <w:name w:val="Fonte parág. padrão63"/>
    <w:qFormat/>
    <w:rPr/>
  </w:style>
  <w:style w:type="character" w:styleId="Fontepargpadro62" w:customStyle="1">
    <w:name w:val="Fonte parág. padrão62"/>
    <w:qFormat/>
    <w:rPr/>
  </w:style>
  <w:style w:type="character" w:styleId="Fontepargpadro61" w:customStyle="1">
    <w:name w:val="Fonte parág. padrão61"/>
    <w:qFormat/>
    <w:rPr/>
  </w:style>
  <w:style w:type="character" w:styleId="Fontepargpadro60" w:customStyle="1">
    <w:name w:val="Fonte parág. padrão60"/>
    <w:qFormat/>
    <w:rPr/>
  </w:style>
  <w:style w:type="character" w:styleId="Fontepargpadro59" w:customStyle="1">
    <w:name w:val="Fonte parág. padrão59"/>
    <w:qFormat/>
    <w:rPr/>
  </w:style>
  <w:style w:type="character" w:styleId="Fontepargpadro58" w:customStyle="1">
    <w:name w:val="Fonte parág. padrão58"/>
    <w:qFormat/>
    <w:rPr/>
  </w:style>
  <w:style w:type="character" w:styleId="Fontepargpadro57" w:customStyle="1">
    <w:name w:val="Fonte parág. padrão57"/>
    <w:qFormat/>
    <w:rPr/>
  </w:style>
  <w:style w:type="character" w:styleId="Fontepargpadro56" w:customStyle="1">
    <w:name w:val="Fonte parág. padrão56"/>
    <w:qFormat/>
    <w:rPr/>
  </w:style>
  <w:style w:type="character" w:styleId="Fontepargpadro55" w:customStyle="1">
    <w:name w:val="Fonte parág. padrão55"/>
    <w:qFormat/>
    <w:rPr/>
  </w:style>
  <w:style w:type="character" w:styleId="Fontepargpadro54" w:customStyle="1">
    <w:name w:val="Fonte parág. padrão54"/>
    <w:qFormat/>
    <w:rPr/>
  </w:style>
  <w:style w:type="character" w:styleId="Fontepargpadro53" w:customStyle="1">
    <w:name w:val="Fonte parág. padrão53"/>
    <w:qFormat/>
    <w:rPr/>
  </w:style>
  <w:style w:type="character" w:styleId="Fontepargpadro52" w:customStyle="1">
    <w:name w:val="Fonte parág. padrão52"/>
    <w:qFormat/>
    <w:rPr/>
  </w:style>
  <w:style w:type="character" w:styleId="Fontepargpadro51" w:customStyle="1">
    <w:name w:val="Fonte parág. padrão51"/>
    <w:qFormat/>
    <w:rPr/>
  </w:style>
  <w:style w:type="character" w:styleId="Fontepargpadro50" w:customStyle="1">
    <w:name w:val="Fonte parág. padrão50"/>
    <w:qFormat/>
    <w:rPr/>
  </w:style>
  <w:style w:type="character" w:styleId="Fontepargpadro49" w:customStyle="1">
    <w:name w:val="Fonte parág. padrão49"/>
    <w:qFormat/>
    <w:rPr/>
  </w:style>
  <w:style w:type="character" w:styleId="Fontepargpadro48" w:customStyle="1">
    <w:name w:val="Fonte parág. padrão48"/>
    <w:qFormat/>
    <w:rPr/>
  </w:style>
  <w:style w:type="character" w:styleId="Fontepargpadro47" w:customStyle="1">
    <w:name w:val="Fonte parág. padrão47"/>
    <w:qFormat/>
    <w:rPr/>
  </w:style>
  <w:style w:type="character" w:styleId="Fontepargpadro46" w:customStyle="1">
    <w:name w:val="Fonte parág. padrão46"/>
    <w:qFormat/>
    <w:rPr/>
  </w:style>
  <w:style w:type="character" w:styleId="Fontepargpadro45" w:customStyle="1">
    <w:name w:val="Fonte parág. padrão45"/>
    <w:qFormat/>
    <w:rPr/>
  </w:style>
  <w:style w:type="character" w:styleId="Fontepargpadro44" w:customStyle="1">
    <w:name w:val="Fonte parág. padrão44"/>
    <w:qFormat/>
    <w:rPr/>
  </w:style>
  <w:style w:type="character" w:styleId="Fontepargpadro43" w:customStyle="1">
    <w:name w:val="Fonte parág. padrão43"/>
    <w:qFormat/>
    <w:rPr/>
  </w:style>
  <w:style w:type="character" w:styleId="Fontepargpadro42" w:customStyle="1">
    <w:name w:val="Fonte parág. padrão42"/>
    <w:qFormat/>
    <w:rPr/>
  </w:style>
  <w:style w:type="character" w:styleId="Fontepargpadro41" w:customStyle="1">
    <w:name w:val="Fonte parág. padrão41"/>
    <w:qFormat/>
    <w:rPr/>
  </w:style>
  <w:style w:type="character" w:styleId="WW8Num7z0" w:customStyle="1">
    <w:name w:val="WW8Num7z0"/>
    <w:qFormat/>
    <w:rPr>
      <w:sz w:val="24"/>
      <w:szCs w:val="24"/>
    </w:rPr>
  </w:style>
  <w:style w:type="character" w:styleId="WW8Num8z0" w:customStyle="1">
    <w:name w:val="WW8Num8z0"/>
    <w:qFormat/>
    <w:rPr>
      <w:bCs/>
      <w:sz w:val="24"/>
      <w:szCs w:val="24"/>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Fontepargpadro40" w:customStyle="1">
    <w:name w:val="Fonte parág. padrão40"/>
    <w:qFormat/>
    <w:rPr/>
  </w:style>
  <w:style w:type="character" w:styleId="Fontepargpadro39" w:customStyle="1">
    <w:name w:val="Fonte parág. padrão39"/>
    <w:qFormat/>
    <w:rPr/>
  </w:style>
  <w:style w:type="character" w:styleId="Fontepargpadro38" w:customStyle="1">
    <w:name w:val="Fonte parág. padrão38"/>
    <w:qFormat/>
    <w:rPr/>
  </w:style>
  <w:style w:type="character" w:styleId="Fontepargpadro37" w:customStyle="1">
    <w:name w:val="Fonte parág. padrão37"/>
    <w:qFormat/>
    <w:rPr/>
  </w:style>
  <w:style w:type="character" w:styleId="Fontepargpadro36" w:customStyle="1">
    <w:name w:val="Fonte parág. padrão36"/>
    <w:qFormat/>
    <w:rPr/>
  </w:style>
  <w:style w:type="character" w:styleId="Fontepargpadro35" w:customStyle="1">
    <w:name w:val="Fonte parág. padrão35"/>
    <w:qFormat/>
    <w:rPr/>
  </w:style>
  <w:style w:type="character" w:styleId="Fontepargpadro34" w:customStyle="1">
    <w:name w:val="Fonte parág. padrão34"/>
    <w:qFormat/>
    <w:rPr/>
  </w:style>
  <w:style w:type="character" w:styleId="WW8Num9z0" w:customStyle="1">
    <w:name w:val="WW8Num9z0"/>
    <w:qFormat/>
    <w:rPr/>
  </w:style>
  <w:style w:type="character" w:styleId="Fontepargpadro33" w:customStyle="1">
    <w:name w:val="Fonte parág. padrão33"/>
    <w:qFormat/>
    <w:rPr/>
  </w:style>
  <w:style w:type="character" w:styleId="Fontepargpadro32" w:customStyle="1">
    <w:name w:val="Fonte parág. padrão32"/>
    <w:qFormat/>
    <w:rPr/>
  </w:style>
  <w:style w:type="character" w:styleId="Fontepargpadro31" w:customStyle="1">
    <w:name w:val="Fonte parág. padrão31"/>
    <w:qFormat/>
    <w:rPr/>
  </w:style>
  <w:style w:type="character" w:styleId="Fontepargpadro30" w:customStyle="1">
    <w:name w:val="Fonte parág. padrão30"/>
    <w:qFormat/>
    <w:rPr/>
  </w:style>
  <w:style w:type="character" w:styleId="Fontepargpadro29" w:customStyle="1">
    <w:name w:val="Fonte parág. padrão29"/>
    <w:qFormat/>
    <w:rPr/>
  </w:style>
  <w:style w:type="character" w:styleId="Fontepargpadro28" w:customStyle="1">
    <w:name w:val="Fonte parág. padrão28"/>
    <w:qFormat/>
    <w:rPr/>
  </w:style>
  <w:style w:type="character" w:styleId="Fontepargpadro27" w:customStyle="1">
    <w:name w:val="Fonte parág. padrão27"/>
    <w:qFormat/>
    <w:rPr/>
  </w:style>
  <w:style w:type="character" w:styleId="Fontepargpadro26" w:customStyle="1">
    <w:name w:val="Fonte parág. padrão26"/>
    <w:qFormat/>
    <w:rPr/>
  </w:style>
  <w:style w:type="character" w:styleId="Fontepargpadro25" w:customStyle="1">
    <w:name w:val="Fonte parág. padrão25"/>
    <w:qFormat/>
    <w:rPr/>
  </w:style>
  <w:style w:type="character" w:styleId="Fontepargpadro24" w:customStyle="1">
    <w:name w:val="Fonte parág. padrão24"/>
    <w:qFormat/>
    <w:rPr/>
  </w:style>
  <w:style w:type="character" w:styleId="Fontepargpadro23" w:customStyle="1">
    <w:name w:val="Fonte parág. padrão23"/>
    <w:qFormat/>
    <w:rPr/>
  </w:style>
  <w:style w:type="character" w:styleId="Fontepargpadro22" w:customStyle="1">
    <w:name w:val="Fonte parág. padrão22"/>
    <w:qFormat/>
    <w:rPr/>
  </w:style>
  <w:style w:type="character" w:styleId="Fontepargpadro21" w:customStyle="1">
    <w:name w:val="Fonte parág. padrão21"/>
    <w:qFormat/>
    <w:rPr/>
  </w:style>
  <w:style w:type="character" w:styleId="Fontepargpadro20" w:customStyle="1">
    <w:name w:val="Fonte parág. padrão20"/>
    <w:qFormat/>
    <w:rPr/>
  </w:style>
  <w:style w:type="character" w:styleId="Fontepargpadro19" w:customStyle="1">
    <w:name w:val="Fonte parág. padrão19"/>
    <w:qFormat/>
    <w:rPr/>
  </w:style>
  <w:style w:type="character" w:styleId="Fontepargpadro18" w:customStyle="1">
    <w:name w:val="Fonte parág. padrão18"/>
    <w:qFormat/>
    <w:rPr/>
  </w:style>
  <w:style w:type="character" w:styleId="Fontepargpadro17" w:customStyle="1">
    <w:name w:val="Fonte parág. padrão17"/>
    <w:qFormat/>
    <w:rPr/>
  </w:style>
  <w:style w:type="character" w:styleId="Fontepargpadro16" w:customStyle="1">
    <w:name w:val="Fonte parág. padrão16"/>
    <w:qFormat/>
    <w:rPr/>
  </w:style>
  <w:style w:type="character" w:styleId="Fontepargpadro15" w:customStyle="1">
    <w:name w:val="Fonte parág. padrão15"/>
    <w:qFormat/>
    <w:rPr/>
  </w:style>
  <w:style w:type="character" w:styleId="Fontepargpadro14" w:customStyle="1">
    <w:name w:val="Fonte parág. padrão14"/>
    <w:qFormat/>
    <w:rPr/>
  </w:style>
  <w:style w:type="character" w:styleId="Fontepargpadro13" w:customStyle="1">
    <w:name w:val="Fonte parág. padrão13"/>
    <w:qFormat/>
    <w:rPr/>
  </w:style>
  <w:style w:type="character" w:styleId="Fontepargpadro12" w:customStyle="1">
    <w:name w:val="Fonte parág. padrão12"/>
    <w:qFormat/>
    <w:rPr/>
  </w:style>
  <w:style w:type="character" w:styleId="Fontepargpadro11" w:customStyle="1">
    <w:name w:val="Fonte parág. padrão11"/>
    <w:qFormat/>
    <w:rPr/>
  </w:style>
  <w:style w:type="character" w:styleId="Fontepargpadro10" w:customStyle="1">
    <w:name w:val="Fonte parág. padrão10"/>
    <w:qFormat/>
    <w:rPr/>
  </w:style>
  <w:style w:type="character" w:styleId="Fontepargpadro9" w:customStyle="1">
    <w:name w:val="Fonte parág. padrão9"/>
    <w:qFormat/>
    <w:rPr/>
  </w:style>
  <w:style w:type="character" w:styleId="Fontepargpadro8" w:customStyle="1">
    <w:name w:val="Fonte parág. padrão8"/>
    <w:qFormat/>
    <w:rPr/>
  </w:style>
  <w:style w:type="character" w:styleId="Fontepargpadro7" w:customStyle="1">
    <w:name w:val="Fonte parág. padrão7"/>
    <w:qFormat/>
    <w:rPr/>
  </w:style>
  <w:style w:type="character" w:styleId="Fontepargpadro6" w:customStyle="1">
    <w:name w:val="Fonte parág. padrão6"/>
    <w:qFormat/>
    <w:rPr/>
  </w:style>
  <w:style w:type="character" w:styleId="Fontepargpadro5" w:customStyle="1">
    <w:name w:val="Fonte parág. padrão5"/>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ascii="Symbol" w:hAnsi="Symbol" w:cs="Symbol"/>
    </w:rPr>
  </w:style>
  <w:style w:type="character" w:styleId="WW8Num11z0" w:customStyle="1">
    <w:name w:val="WW8Num11z0"/>
    <w:qFormat/>
    <w:rPr>
      <w:rFonts w:ascii="Symbol" w:hAnsi="Symbol" w:cs="Symbol"/>
      <w:b/>
      <w:sz w:val="28"/>
      <w:szCs w:val="28"/>
    </w:rPr>
  </w:style>
  <w:style w:type="character" w:styleId="WW8Num12z0" w:customStyle="1">
    <w:name w:val="WW8Num12z0"/>
    <w:qFormat/>
    <w:rPr>
      <w:rFonts w:ascii="Symbol" w:hAnsi="Symbol" w:cs="Symbol"/>
      <w:color w:val="000000"/>
    </w:rPr>
  </w:style>
  <w:style w:type="character" w:styleId="WW8Num13z0" w:customStyle="1">
    <w:name w:val="WW8Num13z0"/>
    <w:qFormat/>
    <w:rPr/>
  </w:style>
  <w:style w:type="character" w:styleId="WW8Num14z0" w:customStyle="1">
    <w:name w:val="WW8Num14z0"/>
    <w:qFormat/>
    <w:rPr>
      <w:rFonts w:ascii="Symbol" w:hAnsi="Symbol" w:cs="Symbol"/>
    </w:rPr>
  </w:style>
  <w:style w:type="character" w:styleId="WW8Num15z0" w:customStyle="1">
    <w:name w:val="WW8Num15z0"/>
    <w:qFormat/>
    <w:rPr/>
  </w:style>
  <w:style w:type="character" w:styleId="WW8Num16z0" w:customStyle="1">
    <w:name w:val="WW8Num16z0"/>
    <w:qFormat/>
    <w:rPr>
      <w:rFonts w:ascii="Symbol" w:hAnsi="Symbol" w:cs="Symbol"/>
    </w:rPr>
  </w:style>
  <w:style w:type="character" w:styleId="WW8Num17z0" w:customStyle="1">
    <w:name w:val="WW8Num17z0"/>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Symbol" w:hAnsi="Symbol" w:cs="Symbol"/>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rFonts w:ascii="Symbol" w:hAnsi="Symbol" w:cs="Symbol"/>
    </w:rPr>
  </w:style>
  <w:style w:type="character" w:styleId="WW8Num21z0" w:customStyle="1">
    <w:name w:val="WW8Num21z0"/>
    <w:qFormat/>
    <w:rPr>
      <w:bCs/>
      <w:sz w:val="26"/>
      <w:szCs w:val="26"/>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0" w:customStyle="1">
    <w:name w:val="WW8Num25z0"/>
    <w:qFormat/>
    <w:rPr>
      <w:rFonts w:ascii="Wingdings" w:hAnsi="Wingdings" w:cs="Wingdings"/>
    </w:rPr>
  </w:style>
  <w:style w:type="character" w:styleId="WW8Num25z1" w:customStyle="1">
    <w:name w:val="WW8Num25z1"/>
    <w:qFormat/>
    <w:rPr>
      <w:rFonts w:ascii="Courier New" w:hAnsi="Courier New" w:cs="Courier New"/>
    </w:rPr>
  </w:style>
  <w:style w:type="character" w:styleId="WW8Num25z3" w:customStyle="1">
    <w:name w:val="WW8Num25z3"/>
    <w:qFormat/>
    <w:rPr>
      <w:rFonts w:ascii="Symbol" w:hAnsi="Symbol" w:cs="Symbol"/>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0" w:customStyle="1">
    <w:name w:val="WW8Num28z0"/>
    <w:qFormat/>
    <w:rPr>
      <w:rFonts w:ascii="Tahoma" w:hAnsi="Tahoma" w:cs="Tahoma"/>
      <w:color w:val="000000"/>
      <w:sz w:val="24"/>
      <w:szCs w:val="24"/>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0" w:customStyle="1">
    <w:name w:val="WW8Num29z0"/>
    <w:qFormat/>
    <w:rPr>
      <w:rFonts w:ascii="Wingdings" w:hAnsi="Wingdings" w:cs="Wingdings"/>
    </w:rPr>
  </w:style>
  <w:style w:type="character" w:styleId="WW8Num29z1" w:customStyle="1">
    <w:name w:val="WW8Num29z1"/>
    <w:qFormat/>
    <w:rPr>
      <w:rFonts w:ascii="Courier New" w:hAnsi="Courier New" w:cs="Courier New"/>
    </w:rPr>
  </w:style>
  <w:style w:type="character" w:styleId="WW8Num29z3" w:customStyle="1">
    <w:name w:val="WW8Num29z3"/>
    <w:qFormat/>
    <w:rPr>
      <w:rFonts w:ascii="Symbol" w:hAnsi="Symbol" w:cs="Symbol"/>
    </w:rPr>
  </w:style>
  <w:style w:type="character" w:styleId="WW8Num30z0" w:customStyle="1">
    <w:name w:val="WW8Num30z0"/>
    <w:qFormat/>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bCs/>
      <w:sz w:val="24"/>
      <w:szCs w:val="24"/>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rFonts w:ascii="Tahoma" w:hAnsi="Tahoma" w:cs="Tahoma"/>
      <w:b/>
      <w:bCs/>
      <w:sz w:val="24"/>
      <w:szCs w:val="24"/>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0" w:customStyle="1">
    <w:name w:val="WW8Num34z0"/>
    <w:qFormat/>
    <w:rPr>
      <w:sz w:val="24"/>
      <w:szCs w:val="24"/>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ascii="Tahoma" w:hAnsi="Tahoma" w:cs="Tahoma"/>
      <w:bCs/>
      <w:color w:val="000000"/>
      <w:sz w:val="23"/>
      <w:szCs w:val="23"/>
    </w:rPr>
  </w:style>
  <w:style w:type="character" w:styleId="WW8Num35z1" w:customStyle="1">
    <w:name w:val="WW8Num35z1"/>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0" w:customStyle="1">
    <w:name w:val="WW8Num36z0"/>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Symbol" w:hAnsi="Symbol" w:cs="Symbol"/>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WW8Num39z0" w:customStyle="1">
    <w:name w:val="WW8Num39z0"/>
    <w:qFormat/>
    <w:rPr>
      <w:sz w:val="24"/>
      <w:szCs w:val="24"/>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Fontepargpadro4" w:customStyle="1">
    <w:name w:val="Fonte parág. padrão4"/>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Fontepargpadro3" w:customStyle="1">
    <w:name w:val="Fonte parág. padrão3"/>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Fontepargpadro2" w:customStyle="1">
    <w:name w:val="Fonte parág. padrão2"/>
    <w:qFormat/>
    <w:rPr/>
  </w:style>
  <w:style w:type="character" w:styleId="LinkdaInternet">
    <w:name w:val="Hyperlink"/>
    <w:rPr>
      <w:color w:val="0000FF"/>
      <w:u w:val="single"/>
    </w:rPr>
  </w:style>
  <w:style w:type="character" w:styleId="Pagenumber">
    <w:name w:val="page number"/>
    <w:basedOn w:val="Fontepargpadro2"/>
    <w:qFormat/>
    <w:rPr/>
  </w:style>
  <w:style w:type="character" w:styleId="Strong">
    <w:name w:val="Strong"/>
    <w:qFormat/>
    <w:rPr>
      <w:b/>
      <w:bCs/>
    </w:rPr>
  </w:style>
  <w:style w:type="character" w:styleId="Caracteresdenotaderodap" w:customStyle="1">
    <w:name w:val="Caracteres de nota de rodapé"/>
    <w:qFormat/>
    <w:rPr>
      <w:vertAlign w:val="superscript"/>
    </w:rPr>
  </w:style>
  <w:style w:type="character" w:styleId="Textoaviso1" w:customStyle="1">
    <w:name w:val="texto_aviso1"/>
    <w:qFormat/>
    <w:rPr>
      <w:rFonts w:ascii="Verdana" w:hAnsi="Verdana" w:cs="Verdana"/>
      <w:b w:val="false"/>
      <w:bCs w:val="false"/>
      <w:strike w:val="false"/>
      <w:dstrike w:val="false"/>
      <w:color w:val="000000"/>
      <w:sz w:val="13"/>
      <w:szCs w:val="13"/>
      <w:u w:val="none"/>
    </w:rPr>
  </w:style>
  <w:style w:type="character" w:styleId="Ttulo1Char" w:customStyle="1">
    <w:name w:val="Título 1 Char"/>
    <w:qFormat/>
    <w:rPr>
      <w:rFonts w:ascii="Arial" w:hAnsi="Arial" w:cs="Arial"/>
      <w:b/>
      <w:bCs/>
      <w:kern w:val="2"/>
      <w:sz w:val="32"/>
      <w:szCs w:val="32"/>
      <w:lang w:val="pt-BR" w:bidi="ar-SA"/>
    </w:rPr>
  </w:style>
  <w:style w:type="character" w:styleId="Ttulo2Char" w:customStyle="1">
    <w:name w:val="Título 2 Char"/>
    <w:qFormat/>
    <w:rPr>
      <w:rFonts w:ascii="Arial" w:hAnsi="Arial" w:cs="Arial"/>
      <w:b/>
      <w:bCs/>
      <w:i/>
      <w:iCs/>
      <w:sz w:val="28"/>
      <w:szCs w:val="28"/>
      <w:lang w:val="pt-BR" w:bidi="ar-SA"/>
    </w:rPr>
  </w:style>
  <w:style w:type="character" w:styleId="Ttulo3Char" w:customStyle="1">
    <w:name w:val="Título 3 Char"/>
    <w:qFormat/>
    <w:rPr>
      <w:rFonts w:ascii="Cambria" w:hAnsi="Cambria" w:cs="Cambria"/>
      <w:b/>
      <w:bCs/>
      <w:color w:val="4F81BD"/>
      <w:sz w:val="24"/>
      <w:szCs w:val="24"/>
      <w:lang w:val="pt-BR" w:bidi="ar-SA"/>
    </w:rPr>
  </w:style>
  <w:style w:type="character" w:styleId="Ttulo4Char" w:customStyle="1">
    <w:name w:val="Título 4 Char"/>
    <w:qFormat/>
    <w:rPr>
      <w:b/>
      <w:bCs/>
      <w:sz w:val="28"/>
      <w:szCs w:val="28"/>
      <w:lang w:val="pt-BR" w:bidi="ar-SA"/>
    </w:rPr>
  </w:style>
  <w:style w:type="character" w:styleId="Fontepargpadro1" w:customStyle="1">
    <w:name w:val="Fonte parág. padrão1"/>
    <w:qFormat/>
    <w:rPr/>
  </w:style>
  <w:style w:type="character" w:styleId="Nfase">
    <w:name w:val="Emphasis"/>
    <w:qFormat/>
    <w:rPr>
      <w:i/>
      <w:iCs/>
    </w:rPr>
  </w:style>
  <w:style w:type="character" w:styleId="Linkdainternetvisitado">
    <w:name w:val="FollowedHyperlink"/>
    <w:rPr>
      <w:color w:val="800080"/>
      <w:u w:val="single"/>
    </w:rPr>
  </w:style>
  <w:style w:type="character" w:styleId="CorpodetextoChar" w:customStyle="1">
    <w:name w:val="Corpo de texto Char"/>
    <w:qFormat/>
    <w:rPr>
      <w:lang w:val="pt-BR" w:bidi="ar-SA"/>
    </w:rPr>
  </w:style>
  <w:style w:type="character" w:styleId="Jeferson" w:customStyle="1">
    <w:name w:val="Jeferson"/>
    <w:qFormat/>
    <w:rPr>
      <w:sz w:val="22"/>
    </w:rPr>
  </w:style>
  <w:style w:type="character" w:styleId="Recuodecorpodetexto2Char" w:customStyle="1">
    <w:name w:val="Recuo de corpo de texto 2 Char"/>
    <w:qFormat/>
    <w:rPr>
      <w:sz w:val="24"/>
      <w:szCs w:val="24"/>
      <w:lang w:val="pt-BR" w:bidi="ar-SA"/>
    </w:rPr>
  </w:style>
  <w:style w:type="character" w:styleId="CorpoChar" w:customStyle="1">
    <w:name w:val="Corpo Char"/>
    <w:qFormat/>
    <w:rPr>
      <w:rFonts w:ascii="Times New" w:hAnsi="Times New" w:cs="Times New"/>
      <w:lang w:val="pt-BR" w:bidi="ar-SA"/>
    </w:rPr>
  </w:style>
  <w:style w:type="character" w:styleId="Style33" w:customStyle="1">
    <w:name w:val="style33"/>
    <w:basedOn w:val="Fontepargpadro2"/>
    <w:qFormat/>
    <w:rPr/>
  </w:style>
  <w:style w:type="character" w:styleId="Style112" w:customStyle="1">
    <w:name w:val="style112"/>
    <w:basedOn w:val="Fontepargpadro2"/>
    <w:qFormat/>
    <w:rPr/>
  </w:style>
  <w:style w:type="character" w:styleId="Refdecomentrio1" w:customStyle="1">
    <w:name w:val="Ref. de comentário1"/>
    <w:qFormat/>
    <w:rPr>
      <w:sz w:val="16"/>
      <w:szCs w:val="16"/>
    </w:rPr>
  </w:style>
  <w:style w:type="character" w:styleId="TextodenotaderodapChar" w:customStyle="1">
    <w:name w:val="Texto de nota de rodapé Char"/>
    <w:qFormat/>
    <w:rPr>
      <w:lang w:val="pt-BR" w:bidi="ar-SA"/>
    </w:rPr>
  </w:style>
  <w:style w:type="character" w:styleId="Par1" w:customStyle="1">
    <w:name w:val="par1"/>
    <w:basedOn w:val="Fontepargpadro2"/>
    <w:qFormat/>
    <w:rPr/>
  </w:style>
  <w:style w:type="character" w:styleId="Texto" w:customStyle="1">
    <w:name w:val="texto"/>
    <w:basedOn w:val="Fontepargpadro2"/>
    <w:qFormat/>
    <w:rPr/>
  </w:style>
  <w:style w:type="character" w:styleId="A4" w:customStyle="1">
    <w:name w:val="A4"/>
    <w:qFormat/>
    <w:rPr>
      <w:rFonts w:cs="Helvetica LT Light"/>
      <w:color w:val="000000"/>
      <w:sz w:val="16"/>
      <w:szCs w:val="16"/>
    </w:rPr>
  </w:style>
  <w:style w:type="character" w:styleId="TimesnewChar" w:customStyle="1">
    <w:name w:val="times new Char"/>
    <w:basedOn w:val="CorpoChar"/>
    <w:qFormat/>
    <w:rPr>
      <w:rFonts w:ascii="Times New" w:hAnsi="Times New" w:cs="Times New"/>
      <w:lang w:val="pt-BR" w:bidi="ar-SA"/>
    </w:rPr>
  </w:style>
  <w:style w:type="character" w:styleId="CharChar6" w:customStyle="1">
    <w:name w:val="Char Char6"/>
    <w:qFormat/>
    <w:rPr>
      <w:rFonts w:ascii="Arial" w:hAnsi="Arial" w:cs="Arial"/>
      <w:b/>
      <w:bCs/>
      <w:kern w:val="2"/>
      <w:sz w:val="32"/>
      <w:szCs w:val="32"/>
      <w:lang w:val="pt-BR" w:bidi="ar-SA"/>
    </w:rPr>
  </w:style>
  <w:style w:type="character" w:styleId="Apple-style-span" w:customStyle="1">
    <w:name w:val="apple-style-span"/>
    <w:basedOn w:val="Fontepargpadro2"/>
    <w:qFormat/>
    <w:rPr/>
  </w:style>
  <w:style w:type="character" w:styleId="TextodenotadefimChar" w:customStyle="1">
    <w:name w:val="Texto de nota de fim Char"/>
    <w:basedOn w:val="Fontepargpadro2"/>
    <w:qFormat/>
    <w:rPr/>
  </w:style>
  <w:style w:type="character" w:styleId="Caracteresdenotadefim" w:customStyle="1">
    <w:name w:val="Caracteres de nota de fim"/>
    <w:qFormat/>
    <w:rPr>
      <w:vertAlign w:val="superscript"/>
    </w:rPr>
  </w:style>
  <w:style w:type="character" w:styleId="Apple-converted-space" w:customStyle="1">
    <w:name w:val="apple-converted-space"/>
    <w:basedOn w:val="Fontepargpadro2"/>
    <w:qFormat/>
    <w:rPr/>
  </w:style>
  <w:style w:type="character" w:styleId="Corpodetexto2Char" w:customStyle="1">
    <w:name w:val="Corpo de texto 2 Char"/>
    <w:qFormat/>
    <w:rPr>
      <w:sz w:val="24"/>
      <w:szCs w:val="24"/>
    </w:rPr>
  </w:style>
  <w:style w:type="character" w:styleId="Corpodetexto3Char" w:customStyle="1">
    <w:name w:val="Corpo de texto 3 Char"/>
    <w:qFormat/>
    <w:rPr>
      <w:sz w:val="24"/>
    </w:rPr>
  </w:style>
  <w:style w:type="character" w:styleId="Refdenotaderodap1" w:customStyle="1">
    <w:name w:val="Ref. de nota de rodapé1"/>
    <w:qFormat/>
    <w:rPr>
      <w:vertAlign w:val="superscript"/>
    </w:rPr>
  </w:style>
  <w:style w:type="character" w:styleId="Refdenotadefim1" w:customStyle="1">
    <w:name w:val="Ref. de nota de fim1"/>
    <w:qFormat/>
    <w:rPr>
      <w:vertAlign w:val="superscript"/>
    </w:rPr>
  </w:style>
  <w:style w:type="character" w:styleId="Marcas" w:customStyle="1">
    <w:name w:val="Marcas"/>
    <w:qFormat/>
    <w:rPr>
      <w:rFonts w:ascii="OpenSymbol" w:hAnsi="OpenSymbol" w:eastAsia="OpenSymbol" w:cs="OpenSymbol"/>
    </w:rPr>
  </w:style>
  <w:style w:type="character" w:styleId="Smbolosdenumerao" w:customStyle="1">
    <w:name w:val="Símbolos de numeração"/>
    <w:qFormat/>
    <w:rPr/>
  </w:style>
  <w:style w:type="character" w:styleId="Refdenotaderodap2" w:customStyle="1">
    <w:name w:val="Ref. de nota de rodapé2"/>
    <w:qFormat/>
    <w:rPr>
      <w:vertAlign w:val="superscript"/>
    </w:rPr>
  </w:style>
  <w:style w:type="character" w:styleId="Refdenotadefim2" w:customStyle="1">
    <w:name w:val="Ref. de nota de fim2"/>
    <w:qFormat/>
    <w:rPr>
      <w:vertAlign w:val="superscript"/>
    </w:rPr>
  </w:style>
  <w:style w:type="character" w:styleId="Corpodetexto2Char1" w:customStyle="1">
    <w:name w:val="Corpo de texto 2 Char1"/>
    <w:qFormat/>
    <w:rPr>
      <w:lang w:eastAsia="zh-CN"/>
    </w:rPr>
  </w:style>
  <w:style w:type="character" w:styleId="Refdecomentrio2" w:customStyle="1">
    <w:name w:val="Ref. de comentário2"/>
    <w:qFormat/>
    <w:rPr>
      <w:sz w:val="16"/>
      <w:szCs w:val="16"/>
    </w:rPr>
  </w:style>
  <w:style w:type="character" w:styleId="St" w:customStyle="1">
    <w:name w:val="st"/>
    <w:basedOn w:val="Fontepargpadro4"/>
    <w:qFormat/>
    <w:rPr/>
  </w:style>
  <w:style w:type="character" w:styleId="Valor" w:customStyle="1">
    <w:name w:val="valor"/>
    <w:basedOn w:val="Fontepargpadro4"/>
    <w:qFormat/>
    <w:rPr/>
  </w:style>
  <w:style w:type="character" w:styleId="A9" w:customStyle="1">
    <w:name w:val="A9"/>
    <w:qFormat/>
    <w:rPr>
      <w:rFonts w:cs="Conduit ITC Light"/>
      <w:color w:val="000000"/>
      <w:sz w:val="19"/>
      <w:szCs w:val="19"/>
    </w:rPr>
  </w:style>
  <w:style w:type="character" w:styleId="CabealhoChar" w:customStyle="1">
    <w:name w:val="Cabeçalho Char"/>
    <w:qFormat/>
    <w:rPr>
      <w:lang w:eastAsia="zh-CN"/>
    </w:rPr>
  </w:style>
  <w:style w:type="character" w:styleId="Il" w:customStyle="1">
    <w:name w:val="il"/>
    <w:basedOn w:val="Fontepargpadro4"/>
    <w:qFormat/>
    <w:rPr/>
  </w:style>
  <w:style w:type="character" w:styleId="RecuodecorpodetextoChar" w:customStyle="1">
    <w:name w:val="Recuo de corpo de texto Char"/>
    <w:qFormat/>
    <w:rPr>
      <w:lang w:eastAsia="zh-CN"/>
    </w:rPr>
  </w:style>
  <w:style w:type="character" w:styleId="Refdenotaderodap3" w:customStyle="1">
    <w:name w:val="Ref. de nota de rodapé3"/>
    <w:qFormat/>
    <w:rPr>
      <w:vertAlign w:val="superscript"/>
    </w:rPr>
  </w:style>
  <w:style w:type="character" w:styleId="Refdenotadefim3" w:customStyle="1">
    <w:name w:val="Ref. de nota de fim3"/>
    <w:qFormat/>
    <w:rPr>
      <w:vertAlign w:val="superscript"/>
    </w:rPr>
  </w:style>
  <w:style w:type="character" w:styleId="Refdenotaderodap4" w:customStyle="1">
    <w:name w:val="Ref. de nota de rodapé4"/>
    <w:qFormat/>
    <w:rPr>
      <w:vertAlign w:val="superscript"/>
    </w:rPr>
  </w:style>
  <w:style w:type="character" w:styleId="Refdenotadefim4" w:customStyle="1">
    <w:name w:val="Ref. de nota de fim4"/>
    <w:qFormat/>
    <w:rPr>
      <w:vertAlign w:val="superscript"/>
    </w:rPr>
  </w:style>
  <w:style w:type="character" w:styleId="Refdenotaderodap5" w:customStyle="1">
    <w:name w:val="Ref. de nota de rodapé5"/>
    <w:qFormat/>
    <w:rPr>
      <w:vertAlign w:val="superscript"/>
    </w:rPr>
  </w:style>
  <w:style w:type="character" w:styleId="Refdenotadefim5" w:customStyle="1">
    <w:name w:val="Ref. de nota de fim5"/>
    <w:qFormat/>
    <w:rPr>
      <w:vertAlign w:val="superscript"/>
    </w:rPr>
  </w:style>
  <w:style w:type="character" w:styleId="Refdenotaderodap6" w:customStyle="1">
    <w:name w:val="Ref. de nota de rodapé6"/>
    <w:qFormat/>
    <w:rPr>
      <w:vertAlign w:val="superscript"/>
    </w:rPr>
  </w:style>
  <w:style w:type="character" w:styleId="Refdenotadefim6" w:customStyle="1">
    <w:name w:val="Ref. de nota de fim6"/>
    <w:qFormat/>
    <w:rPr>
      <w:vertAlign w:val="superscript"/>
    </w:rPr>
  </w:style>
  <w:style w:type="character" w:styleId="Refdenotaderodap7" w:customStyle="1">
    <w:name w:val="Ref. de nota de rodapé7"/>
    <w:qFormat/>
    <w:rPr>
      <w:vertAlign w:val="superscript"/>
    </w:rPr>
  </w:style>
  <w:style w:type="character" w:styleId="Refdenotadefim7" w:customStyle="1">
    <w:name w:val="Ref. de nota de fim7"/>
    <w:qFormat/>
    <w:rPr>
      <w:vertAlign w:val="superscript"/>
    </w:rPr>
  </w:style>
  <w:style w:type="character" w:styleId="Refdenotaderodap8" w:customStyle="1">
    <w:name w:val="Ref. de nota de rodapé8"/>
    <w:qFormat/>
    <w:rPr>
      <w:vertAlign w:val="superscript"/>
    </w:rPr>
  </w:style>
  <w:style w:type="character" w:styleId="Refdenotadefim8" w:customStyle="1">
    <w:name w:val="Ref. de nota de fim8"/>
    <w:qFormat/>
    <w:rPr>
      <w:vertAlign w:val="superscript"/>
    </w:rPr>
  </w:style>
  <w:style w:type="character" w:styleId="Refdenotaderodap9" w:customStyle="1">
    <w:name w:val="Ref. de nota de rodapé9"/>
    <w:qFormat/>
    <w:rPr>
      <w:vertAlign w:val="superscript"/>
    </w:rPr>
  </w:style>
  <w:style w:type="character" w:styleId="Refdenotadefim9" w:customStyle="1">
    <w:name w:val="Ref. de nota de fim9"/>
    <w:qFormat/>
    <w:rPr>
      <w:vertAlign w:val="superscript"/>
    </w:rPr>
  </w:style>
  <w:style w:type="character" w:styleId="Refdenotaderodap10" w:customStyle="1">
    <w:name w:val="Ref. de nota de rodapé10"/>
    <w:qFormat/>
    <w:rPr>
      <w:vertAlign w:val="superscript"/>
    </w:rPr>
  </w:style>
  <w:style w:type="character" w:styleId="Refdenotadefim10" w:customStyle="1">
    <w:name w:val="Ref. de nota de fim10"/>
    <w:qFormat/>
    <w:rPr>
      <w:vertAlign w:val="superscript"/>
    </w:rPr>
  </w:style>
  <w:style w:type="character" w:styleId="Refdenotaderodap11" w:customStyle="1">
    <w:name w:val="Ref. de nota de rodapé11"/>
    <w:qFormat/>
    <w:rPr>
      <w:vertAlign w:val="superscript"/>
    </w:rPr>
  </w:style>
  <w:style w:type="character" w:styleId="Refdenotadefim11" w:customStyle="1">
    <w:name w:val="Ref. de nota de fim11"/>
    <w:qFormat/>
    <w:rPr>
      <w:vertAlign w:val="superscript"/>
    </w:rPr>
  </w:style>
  <w:style w:type="character" w:styleId="Refdenotaderodap12" w:customStyle="1">
    <w:name w:val="Ref. de nota de rodapé12"/>
    <w:qFormat/>
    <w:rPr>
      <w:vertAlign w:val="superscript"/>
    </w:rPr>
  </w:style>
  <w:style w:type="character" w:styleId="Refdenotadefim12" w:customStyle="1">
    <w:name w:val="Ref. de nota de fim12"/>
    <w:qFormat/>
    <w:rPr>
      <w:vertAlign w:val="superscript"/>
    </w:rPr>
  </w:style>
  <w:style w:type="character" w:styleId="Refdenotaderodap13" w:customStyle="1">
    <w:name w:val="Ref. de nota de rodapé13"/>
    <w:qFormat/>
    <w:rPr>
      <w:vertAlign w:val="superscript"/>
    </w:rPr>
  </w:style>
  <w:style w:type="character" w:styleId="Refdenotadefim13" w:customStyle="1">
    <w:name w:val="Ref. de nota de fim13"/>
    <w:qFormat/>
    <w:rPr>
      <w:vertAlign w:val="superscript"/>
    </w:rPr>
  </w:style>
  <w:style w:type="character" w:styleId="Refdenotaderodap14" w:customStyle="1">
    <w:name w:val="Ref. de nota de rodapé14"/>
    <w:qFormat/>
    <w:rPr>
      <w:vertAlign w:val="superscript"/>
    </w:rPr>
  </w:style>
  <w:style w:type="character" w:styleId="Refdenotadefim14" w:customStyle="1">
    <w:name w:val="Ref. de nota de fim14"/>
    <w:qFormat/>
    <w:rPr>
      <w:vertAlign w:val="superscript"/>
    </w:rPr>
  </w:style>
  <w:style w:type="character" w:styleId="WW-Caracteresdenotadefim" w:customStyle="1">
    <w:name w:val="WW-Caracteres de nota de fim"/>
    <w:qFormat/>
    <w:rPr/>
  </w:style>
  <w:style w:type="character" w:styleId="TextodebaloChar" w:customStyle="1">
    <w:name w:val="Texto de balão Char"/>
    <w:qFormat/>
    <w:rPr>
      <w:rFonts w:ascii="Tahoma" w:hAnsi="Tahoma" w:cs="Tahoma"/>
      <w:sz w:val="16"/>
      <w:szCs w:val="16"/>
    </w:rPr>
  </w:style>
  <w:style w:type="character" w:styleId="RodapChar" w:customStyle="1">
    <w:name w:val="Rodapé Char"/>
    <w:uiPriority w:val="99"/>
    <w:qFormat/>
    <w:rPr>
      <w:sz w:val="24"/>
      <w:szCs w:val="24"/>
    </w:rPr>
  </w:style>
  <w:style w:type="character" w:styleId="CharChar1" w:customStyle="1">
    <w:name w:val="Char Char1"/>
    <w:qFormat/>
    <w:rPr>
      <w:sz w:val="24"/>
      <w:szCs w:val="24"/>
      <w:lang w:val="pt-BR" w:bidi="ar-SA"/>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2" w:customStyle="1">
    <w:name w:val="WW8Num2z2"/>
    <w:qFormat/>
    <w:rPr/>
  </w:style>
  <w:style w:type="character" w:styleId="WW8Num2z1" w:customStyle="1">
    <w:name w:val="WW8Num2z1"/>
    <w:qFormat/>
    <w:rPr/>
  </w:style>
  <w:style w:type="character" w:styleId="Refdenotaderodap15" w:customStyle="1">
    <w:name w:val="Ref. de nota de rodapé15"/>
    <w:qFormat/>
    <w:rPr>
      <w:vertAlign w:val="superscript"/>
    </w:rPr>
  </w:style>
  <w:style w:type="character" w:styleId="Refdenotadefim15" w:customStyle="1">
    <w:name w:val="Ref. de nota de fim15"/>
    <w:qFormat/>
    <w:rPr>
      <w:vertAlign w:val="superscript"/>
    </w:rPr>
  </w:style>
  <w:style w:type="character" w:styleId="Refdenotaderodap16" w:customStyle="1">
    <w:name w:val="Ref. de nota de rodapé16"/>
    <w:qFormat/>
    <w:rPr>
      <w:vertAlign w:val="superscript"/>
    </w:rPr>
  </w:style>
  <w:style w:type="character" w:styleId="Refdenotadefim16" w:customStyle="1">
    <w:name w:val="Ref. de nota de fim16"/>
    <w:qFormat/>
    <w:rPr>
      <w:vertAlign w:val="superscript"/>
    </w:rPr>
  </w:style>
  <w:style w:type="character" w:styleId="Refdenotaderodap17" w:customStyle="1">
    <w:name w:val="Ref. de nota de rodapé17"/>
    <w:qFormat/>
    <w:rPr>
      <w:vertAlign w:val="superscript"/>
    </w:rPr>
  </w:style>
  <w:style w:type="character" w:styleId="Refdenotaderodap19" w:customStyle="1">
    <w:name w:val="Ref. de nota de rodapé19"/>
    <w:qFormat/>
    <w:rPr>
      <w:vertAlign w:val="superscript"/>
    </w:rPr>
  </w:style>
  <w:style w:type="character" w:styleId="Refdecomentrio3" w:customStyle="1">
    <w:name w:val="Ref. de comentário3"/>
    <w:qFormat/>
    <w:rPr>
      <w:sz w:val="16"/>
      <w:szCs w:val="16"/>
    </w:rPr>
  </w:style>
  <w:style w:type="character" w:styleId="Refdenotadefim17" w:customStyle="1">
    <w:name w:val="Ref. de nota de fim17"/>
    <w:qFormat/>
    <w:rPr>
      <w:vertAlign w:val="superscript"/>
    </w:rPr>
  </w:style>
  <w:style w:type="character" w:styleId="Refdenotaderodap18" w:customStyle="1">
    <w:name w:val="Ref. de nota de rodapé18"/>
    <w:qFormat/>
    <w:rPr>
      <w:vertAlign w:val="superscrip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9z2" w:customStyle="1">
    <w:name w:val="WW8Num29z2"/>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2" w:customStyle="1">
    <w:name w:val="WW8Num25z2"/>
    <w:qFormat/>
    <w:rPr/>
  </w:style>
  <w:style w:type="character" w:styleId="Refdenotaderodap20" w:customStyle="1">
    <w:name w:val="Ref. de nota de rodapé20"/>
    <w:qFormat/>
    <w:rPr>
      <w:vertAlign w:val="superscript"/>
    </w:rPr>
  </w:style>
  <w:style w:type="character" w:styleId="Refdenotaderodap21" w:customStyle="1">
    <w:name w:val="Ref. de nota de rodapé21"/>
    <w:qFormat/>
    <w:rPr>
      <w:vertAlign w:val="superscript"/>
    </w:rPr>
  </w:style>
  <w:style w:type="character" w:styleId="Refdenotadefim18" w:customStyle="1">
    <w:name w:val="Ref. de nota de fim18"/>
    <w:qFormat/>
    <w:rPr>
      <w:vertAlign w:val="superscript"/>
    </w:rPr>
  </w:style>
  <w:style w:type="character" w:styleId="Refdenotaderodap22" w:customStyle="1">
    <w:name w:val="Ref. de nota de rodapé22"/>
    <w:qFormat/>
    <w:rPr>
      <w:vertAlign w:val="superscript"/>
    </w:rPr>
  </w:style>
  <w:style w:type="character" w:styleId="Refdenotadefim19" w:customStyle="1">
    <w:name w:val="Ref. de nota de fim19"/>
    <w:qFormat/>
    <w:rPr>
      <w:vertAlign w:val="superscript"/>
    </w:rPr>
  </w:style>
  <w:style w:type="character" w:styleId="Refdenotaderodap23" w:customStyle="1">
    <w:name w:val="Ref. de nota de rodapé23"/>
    <w:qFormat/>
    <w:rPr>
      <w:vertAlign w:val="superscript"/>
    </w:rPr>
  </w:style>
  <w:style w:type="character" w:styleId="Refdenotadefim20" w:customStyle="1">
    <w:name w:val="Ref. de nota de fim20"/>
    <w:qFormat/>
    <w:rPr>
      <w:vertAlign w:val="superscript"/>
    </w:rPr>
  </w:style>
  <w:style w:type="character" w:styleId="Refdenotaderodap24" w:customStyle="1">
    <w:name w:val="Ref. de nota de rodapé24"/>
    <w:qFormat/>
    <w:rPr>
      <w:vertAlign w:val="superscript"/>
    </w:rPr>
  </w:style>
  <w:style w:type="character" w:styleId="Refdenotadefim21" w:customStyle="1">
    <w:name w:val="Ref. de nota de fim21"/>
    <w:qFormat/>
    <w:rPr>
      <w:vertAlign w:val="superscript"/>
    </w:rPr>
  </w:style>
  <w:style w:type="character" w:styleId="Refdenotaderodap25" w:customStyle="1">
    <w:name w:val="Ref. de nota de rodapé25"/>
    <w:qFormat/>
    <w:rPr>
      <w:vertAlign w:val="superscript"/>
    </w:rPr>
  </w:style>
  <w:style w:type="character" w:styleId="Refdenotadefim22" w:customStyle="1">
    <w:name w:val="Ref. de nota de fim22"/>
    <w:qFormat/>
    <w:rPr>
      <w:vertAlign w:val="superscript"/>
    </w:rPr>
  </w:style>
  <w:style w:type="character" w:styleId="Refdenotaderodap26" w:customStyle="1">
    <w:name w:val="Ref. de nota de rodapé26"/>
    <w:qFormat/>
    <w:rPr>
      <w:vertAlign w:val="superscript"/>
    </w:rPr>
  </w:style>
  <w:style w:type="character" w:styleId="Refdenotadefim23" w:customStyle="1">
    <w:name w:val="Ref. de nota de fim23"/>
    <w:qFormat/>
    <w:rPr>
      <w:vertAlign w:val="superscript"/>
    </w:rPr>
  </w:style>
  <w:style w:type="character" w:styleId="Refdenotaderodap27" w:customStyle="1">
    <w:name w:val="Ref. de nota de rodapé27"/>
    <w:qFormat/>
    <w:rPr>
      <w:vertAlign w:val="superscript"/>
    </w:rPr>
  </w:style>
  <w:style w:type="character" w:styleId="Refdenotadefim24" w:customStyle="1">
    <w:name w:val="Ref. de nota de fim24"/>
    <w:qFormat/>
    <w:rPr>
      <w:vertAlign w:val="superscript"/>
    </w:rPr>
  </w:style>
  <w:style w:type="character" w:styleId="Refdenotaderodap28" w:customStyle="1">
    <w:name w:val="Ref. de nota de rodapé28"/>
    <w:qFormat/>
    <w:rPr>
      <w:vertAlign w:val="superscript"/>
    </w:rPr>
  </w:style>
  <w:style w:type="character" w:styleId="Refdenotadefim25" w:customStyle="1">
    <w:name w:val="Ref. de nota de fim25"/>
    <w:qFormat/>
    <w:rPr>
      <w:vertAlign w:val="superscript"/>
    </w:rPr>
  </w:style>
  <w:style w:type="character" w:styleId="Refdenotaderodap29" w:customStyle="1">
    <w:name w:val="Ref. de nota de rodapé29"/>
    <w:qFormat/>
    <w:rPr>
      <w:vertAlign w:val="superscript"/>
    </w:rPr>
  </w:style>
  <w:style w:type="character" w:styleId="Refdenotadefim26" w:customStyle="1">
    <w:name w:val="Ref. de nota de fim26"/>
    <w:qFormat/>
    <w:rPr>
      <w:vertAlign w:val="superscript"/>
    </w:rPr>
  </w:style>
  <w:style w:type="character" w:styleId="Refdenotaderodap30" w:customStyle="1">
    <w:name w:val="Ref. de nota de rodapé30"/>
    <w:qFormat/>
    <w:rPr>
      <w:vertAlign w:val="superscript"/>
    </w:rPr>
  </w:style>
  <w:style w:type="character" w:styleId="Refdenotadefim27" w:customStyle="1">
    <w:name w:val="Ref. de nota de fim27"/>
    <w:qFormat/>
    <w:rPr>
      <w:vertAlign w:val="superscript"/>
    </w:rPr>
  </w:style>
  <w:style w:type="character" w:styleId="Refdenotaderodap31" w:customStyle="1">
    <w:name w:val="Ref. de nota de rodapé31"/>
    <w:qFormat/>
    <w:rPr>
      <w:vertAlign w:val="superscript"/>
    </w:rPr>
  </w:style>
  <w:style w:type="character" w:styleId="Refdenotadefim28" w:customStyle="1">
    <w:name w:val="Ref. de nota de fim28"/>
    <w:qFormat/>
    <w:rPr>
      <w:vertAlign w:val="superscript"/>
    </w:rPr>
  </w:style>
  <w:style w:type="character" w:styleId="Refdenotaderodap32" w:customStyle="1">
    <w:name w:val="Ref. de nota de rodapé32"/>
    <w:qFormat/>
    <w:rPr>
      <w:vertAlign w:val="superscript"/>
    </w:rPr>
  </w:style>
  <w:style w:type="character" w:styleId="Refdenotadefim29" w:customStyle="1">
    <w:name w:val="Ref. de nota de fim29"/>
    <w:qFormat/>
    <w:rPr>
      <w:vertAlign w:val="superscript"/>
    </w:rPr>
  </w:style>
  <w:style w:type="character" w:styleId="Refdenotaderodap33" w:customStyle="1">
    <w:name w:val="Ref. de nota de rodapé33"/>
    <w:qFormat/>
    <w:rPr>
      <w:vertAlign w:val="superscript"/>
    </w:rPr>
  </w:style>
  <w:style w:type="character" w:styleId="Refdenotadefim30" w:customStyle="1">
    <w:name w:val="Ref. de nota de fim30"/>
    <w:qFormat/>
    <w:rPr>
      <w:vertAlign w:val="superscript"/>
    </w:rPr>
  </w:style>
  <w:style w:type="character" w:styleId="Refdenotaderodap34" w:customStyle="1">
    <w:name w:val="Ref. de nota de rodapé34"/>
    <w:qFormat/>
    <w:rPr>
      <w:vertAlign w:val="superscript"/>
    </w:rPr>
  </w:style>
  <w:style w:type="character" w:styleId="Refdenotadefim31" w:customStyle="1">
    <w:name w:val="Ref. de nota de fim31"/>
    <w:qFormat/>
    <w:rPr>
      <w:vertAlign w:val="superscript"/>
    </w:rPr>
  </w:style>
  <w:style w:type="character" w:styleId="Refdenotaderodap35" w:customStyle="1">
    <w:name w:val="Ref. de nota de rodapé35"/>
    <w:qFormat/>
    <w:rPr>
      <w:vertAlign w:val="superscript"/>
    </w:rPr>
  </w:style>
  <w:style w:type="character" w:styleId="Refdenotadefim32" w:customStyle="1">
    <w:name w:val="Ref. de nota de fim32"/>
    <w:qFormat/>
    <w:rPr>
      <w:vertAlign w:val="superscript"/>
    </w:rPr>
  </w:style>
  <w:style w:type="character" w:styleId="Refdenotaderodap36" w:customStyle="1">
    <w:name w:val="Ref. de nota de rodapé36"/>
    <w:qFormat/>
    <w:rPr>
      <w:vertAlign w:val="superscript"/>
    </w:rPr>
  </w:style>
  <w:style w:type="character" w:styleId="Refdenotadefim33" w:customStyle="1">
    <w:name w:val="Ref. de nota de fim33"/>
    <w:qFormat/>
    <w:rPr>
      <w:vertAlign w:val="superscript"/>
    </w:rPr>
  </w:style>
  <w:style w:type="character" w:styleId="Refdenotaderodap37" w:customStyle="1">
    <w:name w:val="Ref. de nota de rodapé37"/>
    <w:qFormat/>
    <w:rPr>
      <w:vertAlign w:val="superscript"/>
    </w:rPr>
  </w:style>
  <w:style w:type="character" w:styleId="Refdenotadefim34" w:customStyle="1">
    <w:name w:val="Ref. de nota de fim34"/>
    <w:qFormat/>
    <w:rPr>
      <w:vertAlign w:val="superscript"/>
    </w:rPr>
  </w:style>
  <w:style w:type="character" w:styleId="Refdenotaderodap38" w:customStyle="1">
    <w:name w:val="Ref. de nota de rodapé38"/>
    <w:qFormat/>
    <w:rPr>
      <w:vertAlign w:val="superscript"/>
    </w:rPr>
  </w:style>
  <w:style w:type="character" w:styleId="Refdenotadefim35" w:customStyle="1">
    <w:name w:val="Ref. de nota de fim35"/>
    <w:qFormat/>
    <w:rPr>
      <w:vertAlign w:val="superscript"/>
    </w:rPr>
  </w:style>
  <w:style w:type="character" w:styleId="Refdenotaderodap39" w:customStyle="1">
    <w:name w:val="Ref. de nota de rodapé39"/>
    <w:qFormat/>
    <w:rPr>
      <w:vertAlign w:val="superscript"/>
    </w:rPr>
  </w:style>
  <w:style w:type="character" w:styleId="Refdenotadefim36" w:customStyle="1">
    <w:name w:val="Ref. de nota de fim36"/>
    <w:qFormat/>
    <w:rPr>
      <w:vertAlign w:val="superscript"/>
    </w:rPr>
  </w:style>
  <w:style w:type="character" w:styleId="Refdenotaderodap40" w:customStyle="1">
    <w:name w:val="Ref. de nota de rodapé40"/>
    <w:qFormat/>
    <w:rPr>
      <w:vertAlign w:val="superscript"/>
    </w:rPr>
  </w:style>
  <w:style w:type="character" w:styleId="Refdenotadefim37" w:customStyle="1">
    <w:name w:val="Ref. de nota de fim37"/>
    <w:qFormat/>
    <w:rPr>
      <w:vertAlign w:val="superscript"/>
    </w:rPr>
  </w:style>
  <w:style w:type="character" w:styleId="Refdenotaderodap41" w:customStyle="1">
    <w:name w:val="Ref. de nota de rodapé41"/>
    <w:qFormat/>
    <w:rPr>
      <w:vertAlign w:val="superscript"/>
    </w:rPr>
  </w:style>
  <w:style w:type="character" w:styleId="Refdenotadefim38" w:customStyle="1">
    <w:name w:val="Ref. de nota de fim38"/>
    <w:qFormat/>
    <w:rPr>
      <w:vertAlign w:val="superscript"/>
    </w:rPr>
  </w:style>
  <w:style w:type="character" w:styleId="Refdenotaderodap42" w:customStyle="1">
    <w:name w:val="Ref. de nota de rodapé42"/>
    <w:qFormat/>
    <w:rPr>
      <w:vertAlign w:val="superscript"/>
    </w:rPr>
  </w:style>
  <w:style w:type="character" w:styleId="Refdenotadefim39" w:customStyle="1">
    <w:name w:val="Ref. de nota de fim39"/>
    <w:qFormat/>
    <w:rPr>
      <w:vertAlign w:val="superscript"/>
    </w:rPr>
  </w:style>
  <w:style w:type="character" w:styleId="Refdenotaderodap43" w:customStyle="1">
    <w:name w:val="Ref. de nota de rodapé43"/>
    <w:qFormat/>
    <w:rPr>
      <w:vertAlign w:val="superscript"/>
    </w:rPr>
  </w:style>
  <w:style w:type="character" w:styleId="Refdenotadefim40" w:customStyle="1">
    <w:name w:val="Ref. de nota de fim40"/>
    <w:qFormat/>
    <w:rPr>
      <w:vertAlign w:val="superscript"/>
    </w:rPr>
  </w:style>
  <w:style w:type="character" w:styleId="Refdenotaderodap44" w:customStyle="1">
    <w:name w:val="Ref. de nota de rodapé44"/>
    <w:qFormat/>
    <w:rPr>
      <w:vertAlign w:val="superscript"/>
    </w:rPr>
  </w:style>
  <w:style w:type="character" w:styleId="Refdenotadefim41" w:customStyle="1">
    <w:name w:val="Ref. de nota de fim41"/>
    <w:qFormat/>
    <w:rPr>
      <w:vertAlign w:val="superscript"/>
    </w:rPr>
  </w:style>
  <w:style w:type="character" w:styleId="Refdenotaderodap45" w:customStyle="1">
    <w:name w:val="Ref. de nota de rodapé45"/>
    <w:qFormat/>
    <w:rPr>
      <w:vertAlign w:val="superscript"/>
    </w:rPr>
  </w:style>
  <w:style w:type="character" w:styleId="Refdenotadefim42" w:customStyle="1">
    <w:name w:val="Ref. de nota de fim42"/>
    <w:qFormat/>
    <w:rPr>
      <w:vertAlign w:val="superscript"/>
    </w:rPr>
  </w:style>
  <w:style w:type="character" w:styleId="Refdenotaderodap46" w:customStyle="1">
    <w:name w:val="Ref. de nota de rodapé46"/>
    <w:qFormat/>
    <w:rPr>
      <w:vertAlign w:val="superscript"/>
    </w:rPr>
  </w:style>
  <w:style w:type="character" w:styleId="Refdenotadefim43" w:customStyle="1">
    <w:name w:val="Ref. de nota de fim43"/>
    <w:qFormat/>
    <w:rPr>
      <w:vertAlign w:val="superscript"/>
    </w:rPr>
  </w:style>
  <w:style w:type="character" w:styleId="Refdenotaderodap47" w:customStyle="1">
    <w:name w:val="Ref. de nota de rodapé47"/>
    <w:qFormat/>
    <w:rPr>
      <w:vertAlign w:val="superscript"/>
    </w:rPr>
  </w:style>
  <w:style w:type="character" w:styleId="Refdenotadefim44" w:customStyle="1">
    <w:name w:val="Ref. de nota de fim44"/>
    <w:qFormat/>
    <w:rPr>
      <w:vertAlign w:val="superscript"/>
    </w:rPr>
  </w:style>
  <w:style w:type="character" w:styleId="Refdenotadefim46" w:customStyle="1">
    <w:name w:val="Ref. de nota de fim46"/>
    <w:qFormat/>
    <w:rPr>
      <w:vertAlign w:val="superscript"/>
    </w:rPr>
  </w:style>
  <w:style w:type="character" w:styleId="Refdenotaderodap49" w:customStyle="1">
    <w:name w:val="Ref. de nota de rodapé49"/>
    <w:qFormat/>
    <w:rPr>
      <w:vertAlign w:val="superscript"/>
    </w:rPr>
  </w:style>
  <w:style w:type="character" w:styleId="Refdenotadefim45" w:customStyle="1">
    <w:name w:val="Ref. de nota de fim45"/>
    <w:qFormat/>
    <w:rPr>
      <w:vertAlign w:val="superscript"/>
    </w:rPr>
  </w:style>
  <w:style w:type="character" w:styleId="Refdenotaderodap48" w:customStyle="1">
    <w:name w:val="Ref. de nota de rodapé48"/>
    <w:qFormat/>
    <w:rPr>
      <w:vertAlign w:val="superscript"/>
    </w:rPr>
  </w:style>
  <w:style w:type="character" w:styleId="Refdenotadefim48" w:customStyle="1">
    <w:name w:val="Ref. de nota de fim48"/>
    <w:qFormat/>
    <w:rPr>
      <w:vertAlign w:val="superscript"/>
    </w:rPr>
  </w:style>
  <w:style w:type="character" w:styleId="Refdenotaderodap51" w:customStyle="1">
    <w:name w:val="Ref. de nota de rodapé51"/>
    <w:qFormat/>
    <w:rPr>
      <w:vertAlign w:val="superscript"/>
    </w:rPr>
  </w:style>
  <w:style w:type="character" w:styleId="Refdenotadefim47" w:customStyle="1">
    <w:name w:val="Ref. de nota de fim47"/>
    <w:qFormat/>
    <w:rPr>
      <w:vertAlign w:val="superscript"/>
    </w:rPr>
  </w:style>
  <w:style w:type="character" w:styleId="Refdenotaderodap50" w:customStyle="1">
    <w:name w:val="Ref. de nota de rodapé50"/>
    <w:qFormat/>
    <w:rPr>
      <w:vertAlign w:val="superscript"/>
    </w:rPr>
  </w:style>
  <w:style w:type="character" w:styleId="Refdenotaderodap52" w:customStyle="1">
    <w:name w:val="Ref. de nota de rodapé52"/>
    <w:qFormat/>
    <w:rPr>
      <w:vertAlign w:val="superscript"/>
    </w:rPr>
  </w:style>
  <w:style w:type="character" w:styleId="Refdenotadefim49" w:customStyle="1">
    <w:name w:val="Ref. de nota de fim49"/>
    <w:qFormat/>
    <w:rPr>
      <w:vertAlign w:val="superscript"/>
    </w:rPr>
  </w:style>
  <w:style w:type="character" w:styleId="Refdenotaderodap53" w:customStyle="1">
    <w:name w:val="Ref. de nota de rodapé53"/>
    <w:qFormat/>
    <w:rPr>
      <w:vertAlign w:val="superscript"/>
    </w:rPr>
  </w:style>
  <w:style w:type="character" w:styleId="Refdenotadefim50" w:customStyle="1">
    <w:name w:val="Ref. de nota de fim50"/>
    <w:qFormat/>
    <w:rPr>
      <w:vertAlign w:val="superscript"/>
    </w:rPr>
  </w:style>
  <w:style w:type="character" w:styleId="Refdenotaderodap54" w:customStyle="1">
    <w:name w:val="Ref. de nota de rodapé54"/>
    <w:qFormat/>
    <w:rPr>
      <w:vertAlign w:val="superscript"/>
    </w:rPr>
  </w:style>
  <w:style w:type="character" w:styleId="Refdenotadefim51" w:customStyle="1">
    <w:name w:val="Ref. de nota de fim51"/>
    <w:qFormat/>
    <w:rPr>
      <w:vertAlign w:val="superscript"/>
    </w:rPr>
  </w:style>
  <w:style w:type="character" w:styleId="Refdenotaderodap55" w:customStyle="1">
    <w:name w:val="Ref. de nota de rodapé55"/>
    <w:qFormat/>
    <w:rPr>
      <w:vertAlign w:val="superscript"/>
    </w:rPr>
  </w:style>
  <w:style w:type="character" w:styleId="Refdenotadefim52" w:customStyle="1">
    <w:name w:val="Ref. de nota de fim52"/>
    <w:qFormat/>
    <w:rPr>
      <w:vertAlign w:val="superscript"/>
    </w:rPr>
  </w:style>
  <w:style w:type="character" w:styleId="Refdenotaderodap56" w:customStyle="1">
    <w:name w:val="Ref. de nota de rodapé56"/>
    <w:qFormat/>
    <w:rPr>
      <w:vertAlign w:val="superscript"/>
    </w:rPr>
  </w:style>
  <w:style w:type="character" w:styleId="Refdenotadefim53" w:customStyle="1">
    <w:name w:val="Ref. de nota de fim53"/>
    <w:qFormat/>
    <w:rPr>
      <w:vertAlign w:val="superscript"/>
    </w:rPr>
  </w:style>
  <w:style w:type="character" w:styleId="Refdenotaderodap57" w:customStyle="1">
    <w:name w:val="Ref. de nota de rodapé57"/>
    <w:qFormat/>
    <w:rPr>
      <w:vertAlign w:val="superscript"/>
    </w:rPr>
  </w:style>
  <w:style w:type="character" w:styleId="Refdenotadefim54" w:customStyle="1">
    <w:name w:val="Ref. de nota de fim54"/>
    <w:qFormat/>
    <w:rPr>
      <w:vertAlign w:val="superscript"/>
    </w:rPr>
  </w:style>
  <w:style w:type="character" w:styleId="Refdenotaderodap58" w:customStyle="1">
    <w:name w:val="Ref. de nota de rodapé58"/>
    <w:qFormat/>
    <w:rPr>
      <w:vertAlign w:val="superscript"/>
    </w:rPr>
  </w:style>
  <w:style w:type="character" w:styleId="Refdenotadefim55" w:customStyle="1">
    <w:name w:val="Ref. de nota de fim55"/>
    <w:qFormat/>
    <w:rPr>
      <w:vertAlign w:val="superscript"/>
    </w:rPr>
  </w:style>
  <w:style w:type="character" w:styleId="Refdenotaderodap59" w:customStyle="1">
    <w:name w:val="Ref. de nota de rodapé59"/>
    <w:qFormat/>
    <w:rPr>
      <w:vertAlign w:val="superscript"/>
    </w:rPr>
  </w:style>
  <w:style w:type="character" w:styleId="Refdenotadefim56" w:customStyle="1">
    <w:name w:val="Ref. de nota de fim56"/>
    <w:qFormat/>
    <w:rPr>
      <w:vertAlign w:val="superscript"/>
    </w:rPr>
  </w:style>
  <w:style w:type="character" w:styleId="Refdenotaderodap60" w:customStyle="1">
    <w:name w:val="Ref. de nota de rodapé60"/>
    <w:qFormat/>
    <w:rPr>
      <w:vertAlign w:val="superscript"/>
    </w:rPr>
  </w:style>
  <w:style w:type="character" w:styleId="Refdenotadefim57" w:customStyle="1">
    <w:name w:val="Ref. de nota de fim57"/>
    <w:qFormat/>
    <w:rPr>
      <w:vertAlign w:val="superscript"/>
    </w:rPr>
  </w:style>
  <w:style w:type="character" w:styleId="Refdenotaderodap61" w:customStyle="1">
    <w:name w:val="Ref. de nota de rodapé61"/>
    <w:qFormat/>
    <w:rPr>
      <w:vertAlign w:val="superscript"/>
    </w:rPr>
  </w:style>
  <w:style w:type="character" w:styleId="Refdenotadefim58" w:customStyle="1">
    <w:name w:val="Ref. de nota de fim58"/>
    <w:qFormat/>
    <w:rPr>
      <w:vertAlign w:val="superscript"/>
    </w:rPr>
  </w:style>
  <w:style w:type="character" w:styleId="Refdenotaderodap62" w:customStyle="1">
    <w:name w:val="Ref. de nota de rodapé62"/>
    <w:qFormat/>
    <w:rPr>
      <w:vertAlign w:val="superscript"/>
    </w:rPr>
  </w:style>
  <w:style w:type="character" w:styleId="Refdenotadefim59" w:customStyle="1">
    <w:name w:val="Ref. de nota de fim59"/>
    <w:qFormat/>
    <w:rPr>
      <w:vertAlign w:val="superscript"/>
    </w:rPr>
  </w:style>
  <w:style w:type="character" w:styleId="Refdenotaderodap63" w:customStyle="1">
    <w:name w:val="Ref. de nota de rodapé63"/>
    <w:qFormat/>
    <w:rPr>
      <w:vertAlign w:val="superscript"/>
    </w:rPr>
  </w:style>
  <w:style w:type="character" w:styleId="Refdenotadefim60" w:customStyle="1">
    <w:name w:val="Ref. de nota de fim60"/>
    <w:qFormat/>
    <w:rPr>
      <w:vertAlign w:val="superscript"/>
    </w:rPr>
  </w:style>
  <w:style w:type="character" w:styleId="Refdenotaderodap64" w:customStyle="1">
    <w:name w:val="Ref. de nota de rodapé64"/>
    <w:qFormat/>
    <w:rPr>
      <w:vertAlign w:val="superscript"/>
    </w:rPr>
  </w:style>
  <w:style w:type="character" w:styleId="Refdenotadefim61" w:customStyle="1">
    <w:name w:val="Ref. de nota de fim61"/>
    <w:qFormat/>
    <w:rPr>
      <w:vertAlign w:val="superscript"/>
    </w:rPr>
  </w:style>
  <w:style w:type="character" w:styleId="Refdenotaderodap65" w:customStyle="1">
    <w:name w:val="Ref. de nota de rodapé65"/>
    <w:qFormat/>
    <w:rPr>
      <w:vertAlign w:val="superscript"/>
    </w:rPr>
  </w:style>
  <w:style w:type="character" w:styleId="Refdenotadefim62" w:customStyle="1">
    <w:name w:val="Ref. de nota de fim62"/>
    <w:qFormat/>
    <w:rPr>
      <w:vertAlign w:val="superscript"/>
    </w:rPr>
  </w:style>
  <w:style w:type="character" w:styleId="Refdenotaderodap66" w:customStyle="1">
    <w:name w:val="Ref. de nota de rodapé66"/>
    <w:qFormat/>
    <w:rPr>
      <w:vertAlign w:val="superscript"/>
    </w:rPr>
  </w:style>
  <w:style w:type="character" w:styleId="Refdenotadefim63" w:customStyle="1">
    <w:name w:val="Ref. de nota de fim63"/>
    <w:qFormat/>
    <w:rPr>
      <w:vertAlign w:val="superscript"/>
    </w:rPr>
  </w:style>
  <w:style w:type="character" w:styleId="Refdenotadefim64" w:customStyle="1">
    <w:name w:val="Ref. de nota de fim64"/>
    <w:qFormat/>
    <w:rPr>
      <w:vertAlign w:val="superscript"/>
    </w:rPr>
  </w:style>
  <w:style w:type="character" w:styleId="Refdenotaderodap67" w:customStyle="1">
    <w:name w:val="Ref. de nota de rodapé67"/>
    <w:qFormat/>
    <w:rPr>
      <w:vertAlign w:val="superscript"/>
    </w:rPr>
  </w:style>
  <w:style w:type="character" w:styleId="Refdenotadefim65" w:customStyle="1">
    <w:name w:val="Ref. de nota de fim65"/>
    <w:qFormat/>
    <w:rPr>
      <w:vertAlign w:val="superscript"/>
    </w:rPr>
  </w:style>
  <w:style w:type="character" w:styleId="Refdenotaderodap68" w:customStyle="1">
    <w:name w:val="Ref. de nota de rodapé68"/>
    <w:qFormat/>
    <w:rPr>
      <w:vertAlign w:val="superscript"/>
    </w:rPr>
  </w:style>
  <w:style w:type="character" w:styleId="Refdenotadefim66" w:customStyle="1">
    <w:name w:val="Ref. de nota de fim66"/>
    <w:qFormat/>
    <w:rPr>
      <w:vertAlign w:val="superscript"/>
    </w:rPr>
  </w:style>
  <w:style w:type="character" w:styleId="Refdenotaderodap69" w:customStyle="1">
    <w:name w:val="Ref. de nota de rodapé69"/>
    <w:qFormat/>
    <w:rPr>
      <w:vertAlign w:val="superscript"/>
    </w:rPr>
  </w:style>
  <w:style w:type="character" w:styleId="Refdenotadefim67" w:customStyle="1">
    <w:name w:val="Ref. de nota de fim67"/>
    <w:qFormat/>
    <w:rPr>
      <w:vertAlign w:val="superscript"/>
    </w:rPr>
  </w:style>
  <w:style w:type="character" w:styleId="Refdenotaderodap70" w:customStyle="1">
    <w:name w:val="Ref. de nota de rodapé70"/>
    <w:qFormat/>
    <w:rPr>
      <w:vertAlign w:val="superscript"/>
    </w:rPr>
  </w:style>
  <w:style w:type="character" w:styleId="Refdenotaderodap72" w:customStyle="1">
    <w:name w:val="Ref. de nota de rodapé72"/>
    <w:qFormat/>
    <w:rPr>
      <w:vertAlign w:val="superscript"/>
    </w:rPr>
  </w:style>
  <w:style w:type="character" w:styleId="Refdenotadefim69" w:customStyle="1">
    <w:name w:val="Ref. de nota de fim69"/>
    <w:qFormat/>
    <w:rPr>
      <w:vertAlign w:val="superscript"/>
    </w:rPr>
  </w:style>
  <w:style w:type="character" w:styleId="Refdenotaderodap71" w:customStyle="1">
    <w:name w:val="Ref. de nota de rodapé71"/>
    <w:qFormat/>
    <w:rPr>
      <w:vertAlign w:val="superscript"/>
    </w:rPr>
  </w:style>
  <w:style w:type="character" w:styleId="Refdenotadefim68" w:customStyle="1">
    <w:name w:val="Ref. de nota de fim68"/>
    <w:qFormat/>
    <w:rPr>
      <w:vertAlign w:val="superscript"/>
    </w:rPr>
  </w:style>
  <w:style w:type="character" w:styleId="Refdenotaderodap73" w:customStyle="1">
    <w:name w:val="Ref. de nota de rodapé73"/>
    <w:qFormat/>
    <w:rPr>
      <w:vertAlign w:val="superscript"/>
    </w:rPr>
  </w:style>
  <w:style w:type="character" w:styleId="Refdenotadefim70" w:customStyle="1">
    <w:name w:val="Ref. de nota de fim70"/>
    <w:qFormat/>
    <w:rPr>
      <w:vertAlign w:val="superscript"/>
    </w:rPr>
  </w:style>
  <w:style w:type="character" w:styleId="Refdenotaderodap74" w:customStyle="1">
    <w:name w:val="Ref. de nota de rodapé74"/>
    <w:qFormat/>
    <w:rPr>
      <w:vertAlign w:val="superscript"/>
    </w:rPr>
  </w:style>
  <w:style w:type="character" w:styleId="Refdenotadefim71" w:customStyle="1">
    <w:name w:val="Ref. de nota de fim71"/>
    <w:qFormat/>
    <w:rPr>
      <w:vertAlign w:val="superscript"/>
    </w:rPr>
  </w:style>
  <w:style w:type="character" w:styleId="WW8Num11z3" w:customStyle="1">
    <w:name w:val="WW8Num11z3"/>
    <w:qFormat/>
    <w:rPr>
      <w:rFonts w:ascii="Symbol" w:hAnsi="Symbol" w:cs="Symbol"/>
    </w:rPr>
  </w:style>
  <w:style w:type="character" w:styleId="WW8Num11z1" w:customStyle="1">
    <w:name w:val="WW8Num11z1"/>
    <w:qFormat/>
    <w:rPr>
      <w:rFonts w:ascii="Courier New" w:hAnsi="Courier New" w:cs="Courier New"/>
    </w:rPr>
  </w:style>
  <w:style w:type="character" w:styleId="WW8Num7z3" w:customStyle="1">
    <w:name w:val="WW8Num7z3"/>
    <w:qFormat/>
    <w:rPr>
      <w:rFonts w:ascii="Symbol" w:hAnsi="Symbol" w:cs="OpenSymbol"/>
    </w:rPr>
  </w:style>
  <w:style w:type="character" w:styleId="WW8Num7z1" w:customStyle="1">
    <w:name w:val="WW8Num7z1"/>
    <w:qFormat/>
    <w:rPr>
      <w:rFonts w:ascii="OpenSymbol" w:hAnsi="OpenSymbol" w:cs="OpenSymbol"/>
    </w:rPr>
  </w:style>
  <w:style w:type="character" w:styleId="WW8Num4z4" w:customStyle="1">
    <w:name w:val="WW8Num4z4"/>
    <w:qFormat/>
    <w:rPr>
      <w:rFonts w:ascii="Courier New" w:hAnsi="Courier New" w:cs="Courier New"/>
    </w:rPr>
  </w:style>
  <w:style w:type="character" w:styleId="Refdenotaderodap75" w:customStyle="1">
    <w:name w:val="Ref. de nota de rodapé75"/>
    <w:qFormat/>
    <w:rPr>
      <w:vertAlign w:val="superscript"/>
    </w:rPr>
  </w:style>
  <w:style w:type="character" w:styleId="Refdenotadefim72" w:customStyle="1">
    <w:name w:val="Ref. de nota de fim72"/>
    <w:qFormat/>
    <w:rPr>
      <w:vertAlign w:val="superscript"/>
    </w:rPr>
  </w:style>
  <w:style w:type="character" w:styleId="Refdenotaderodap76" w:customStyle="1">
    <w:name w:val="Ref. de nota de rodapé76"/>
    <w:qFormat/>
    <w:rPr>
      <w:vertAlign w:val="superscript"/>
    </w:rPr>
  </w:style>
  <w:style w:type="character" w:styleId="Refdenotadefim73" w:customStyle="1">
    <w:name w:val="Ref. de nota de fim73"/>
    <w:qFormat/>
    <w:rPr>
      <w:vertAlign w:val="superscript"/>
    </w:rPr>
  </w:style>
  <w:style w:type="character" w:styleId="Refdenotaderodap77" w:customStyle="1">
    <w:name w:val="Ref. de nota de rodapé77"/>
    <w:qFormat/>
    <w:rPr>
      <w:vertAlign w:val="superscript"/>
    </w:rPr>
  </w:style>
  <w:style w:type="character" w:styleId="Refdenotadefim74" w:customStyle="1">
    <w:name w:val="Ref. de nota de fim74"/>
    <w:qFormat/>
    <w:rPr>
      <w:vertAlign w:val="superscript"/>
    </w:rPr>
  </w:style>
  <w:style w:type="character" w:styleId="Refdenotaderodap78" w:customStyle="1">
    <w:name w:val="Ref. de nota de rodapé78"/>
    <w:qFormat/>
    <w:rPr>
      <w:vertAlign w:val="superscript"/>
    </w:rPr>
  </w:style>
  <w:style w:type="character" w:styleId="Refdenotadefim75" w:customStyle="1">
    <w:name w:val="Ref. de nota de fim75"/>
    <w:qFormat/>
    <w:rPr>
      <w:vertAlign w:val="superscript"/>
    </w:rPr>
  </w:style>
  <w:style w:type="character" w:styleId="Refdenotaderodap79" w:customStyle="1">
    <w:name w:val="Ref. de nota de rodapé79"/>
    <w:qFormat/>
    <w:rPr>
      <w:vertAlign w:val="superscript"/>
    </w:rPr>
  </w:style>
  <w:style w:type="character" w:styleId="Refdenotadefim76" w:customStyle="1">
    <w:name w:val="Ref. de nota de fim76"/>
    <w:qFormat/>
    <w:rPr>
      <w:vertAlign w:val="superscript"/>
    </w:rPr>
  </w:style>
  <w:style w:type="character" w:styleId="Refdenotaderodap80" w:customStyle="1">
    <w:name w:val="Ref. de nota de rodapé80"/>
    <w:qFormat/>
    <w:rPr>
      <w:vertAlign w:val="superscript"/>
    </w:rPr>
  </w:style>
  <w:style w:type="character" w:styleId="Refdenotadefim77" w:customStyle="1">
    <w:name w:val="Ref. de nota de fim77"/>
    <w:qFormat/>
    <w:rPr>
      <w:vertAlign w:val="superscript"/>
    </w:rPr>
  </w:style>
  <w:style w:type="character" w:styleId="Refdenotaderodap81" w:customStyle="1">
    <w:name w:val="Ref. de nota de rodapé81"/>
    <w:qFormat/>
    <w:rPr>
      <w:vertAlign w:val="superscript"/>
    </w:rPr>
  </w:style>
  <w:style w:type="character" w:styleId="Refdenotadefim78" w:customStyle="1">
    <w:name w:val="Ref. de nota de fim78"/>
    <w:qFormat/>
    <w:rPr>
      <w:vertAlign w:val="superscript"/>
    </w:rPr>
  </w:style>
  <w:style w:type="character" w:styleId="Refdenotaderodap82" w:customStyle="1">
    <w:name w:val="Ref. de nota de rodapé82"/>
    <w:qFormat/>
    <w:rPr>
      <w:vertAlign w:val="superscript"/>
    </w:rPr>
  </w:style>
  <w:style w:type="character" w:styleId="Refdenotadefim79" w:customStyle="1">
    <w:name w:val="Ref. de nota de fim79"/>
    <w:qFormat/>
    <w:rPr>
      <w:vertAlign w:val="superscript"/>
    </w:rPr>
  </w:style>
  <w:style w:type="character" w:styleId="Refdenotaderodap83" w:customStyle="1">
    <w:name w:val="Ref. de nota de rodapé83"/>
    <w:qFormat/>
    <w:rPr>
      <w:vertAlign w:val="superscript"/>
    </w:rPr>
  </w:style>
  <w:style w:type="character" w:styleId="Refdenotadefim80" w:customStyle="1">
    <w:name w:val="Ref. de nota de fim80"/>
    <w:qFormat/>
    <w:rPr>
      <w:vertAlign w:val="superscript"/>
    </w:rPr>
  </w:style>
  <w:style w:type="character" w:styleId="Refdenotaderodap84" w:customStyle="1">
    <w:name w:val="Ref. de nota de rodapé84"/>
    <w:qFormat/>
    <w:rPr>
      <w:vertAlign w:val="superscript"/>
    </w:rPr>
  </w:style>
  <w:style w:type="character" w:styleId="Refdenotadefim81" w:customStyle="1">
    <w:name w:val="Ref. de nota de fim81"/>
    <w:qFormat/>
    <w:rPr>
      <w:vertAlign w:val="superscript"/>
    </w:rPr>
  </w:style>
  <w:style w:type="character" w:styleId="Refdenotaderodap85" w:customStyle="1">
    <w:name w:val="Ref. de nota de rodapé85"/>
    <w:qFormat/>
    <w:rPr>
      <w:vertAlign w:val="superscript"/>
    </w:rPr>
  </w:style>
  <w:style w:type="character" w:styleId="Refdenotadefim82" w:customStyle="1">
    <w:name w:val="Ref. de nota de fim82"/>
    <w:qFormat/>
    <w:rPr>
      <w:vertAlign w:val="superscript"/>
    </w:rPr>
  </w:style>
  <w:style w:type="character" w:styleId="Refdenotaderodap86" w:customStyle="1">
    <w:name w:val="Ref. de nota de rodapé86"/>
    <w:qFormat/>
    <w:rPr>
      <w:vertAlign w:val="superscript"/>
    </w:rPr>
  </w:style>
  <w:style w:type="character" w:styleId="Refdenotadefim83" w:customStyle="1">
    <w:name w:val="Ref. de nota de fim83"/>
    <w:qFormat/>
    <w:rPr>
      <w:vertAlign w:val="superscript"/>
    </w:rPr>
  </w:style>
  <w:style w:type="character" w:styleId="Refdenotaderodap87" w:customStyle="1">
    <w:name w:val="Ref. de nota de rodapé87"/>
    <w:qFormat/>
    <w:rPr>
      <w:vertAlign w:val="superscript"/>
    </w:rPr>
  </w:style>
  <w:style w:type="character" w:styleId="Refdenotadefim84" w:customStyle="1">
    <w:name w:val="Ref. de nota de fim84"/>
    <w:qFormat/>
    <w:rPr>
      <w:vertAlign w:val="superscript"/>
    </w:rPr>
  </w:style>
  <w:style w:type="character" w:styleId="Refdenotaderodap88" w:customStyle="1">
    <w:name w:val="Ref. de nota de rodapé88"/>
    <w:qFormat/>
    <w:rPr>
      <w:vertAlign w:val="superscript"/>
    </w:rPr>
  </w:style>
  <w:style w:type="character" w:styleId="Refdenotadefim85" w:customStyle="1">
    <w:name w:val="Ref. de nota de fim85"/>
    <w:qFormat/>
    <w:rPr>
      <w:vertAlign w:val="superscript"/>
    </w:rPr>
  </w:style>
  <w:style w:type="character" w:styleId="Refdenotaderodap89" w:customStyle="1">
    <w:name w:val="Ref. de nota de rodapé89"/>
    <w:qFormat/>
    <w:rPr>
      <w:vertAlign w:val="superscript"/>
    </w:rPr>
  </w:style>
  <w:style w:type="character" w:styleId="Refdenotadefim86" w:customStyle="1">
    <w:name w:val="Ref. de nota de fim86"/>
    <w:qFormat/>
    <w:rPr>
      <w:vertAlign w:val="superscript"/>
    </w:rPr>
  </w:style>
  <w:style w:type="character" w:styleId="Refdenotaderodap90" w:customStyle="1">
    <w:name w:val="Ref. de nota de rodapé90"/>
    <w:qFormat/>
    <w:rPr>
      <w:vertAlign w:val="superscript"/>
    </w:rPr>
  </w:style>
  <w:style w:type="character" w:styleId="Refdenotadefim87" w:customStyle="1">
    <w:name w:val="Ref. de nota de fim87"/>
    <w:qFormat/>
    <w:rPr>
      <w:vertAlign w:val="superscript"/>
    </w:rPr>
  </w:style>
  <w:style w:type="character" w:styleId="Refdenotaderodap91" w:customStyle="1">
    <w:name w:val="Ref. de nota de rodapé91"/>
    <w:qFormat/>
    <w:rPr>
      <w:vertAlign w:val="superscript"/>
    </w:rPr>
  </w:style>
  <w:style w:type="character" w:styleId="Refdenotadefim88" w:customStyle="1">
    <w:name w:val="Ref. de nota de fim88"/>
    <w:qFormat/>
    <w:rPr>
      <w:vertAlign w:val="superscript"/>
    </w:rPr>
  </w:style>
  <w:style w:type="character" w:styleId="CabealhoChar1" w:customStyle="1">
    <w:name w:val="Cabeçalho Char1"/>
    <w:qFormat/>
    <w:rPr>
      <w:kern w:val="2"/>
      <w:lang w:val="x-none" w:eastAsia="zh-CN"/>
    </w:rPr>
  </w:style>
  <w:style w:type="character" w:styleId="Annotationreference">
    <w:name w:val="annotation reference"/>
    <w:unhideWhenUsed/>
    <w:qFormat/>
    <w:rsid w:val="00312428"/>
    <w:rPr>
      <w:sz w:val="16"/>
      <w:szCs w:val="16"/>
    </w:rPr>
  </w:style>
  <w:style w:type="character" w:styleId="TextodecomentrioChar" w:customStyle="1">
    <w:name w:val="Texto de comentário Char"/>
    <w:link w:val="Annotationtext"/>
    <w:qFormat/>
    <w:rsid w:val="00312428"/>
    <w:rPr>
      <w:rFonts w:ascii="Ecofont_Spranq_eco_Sans" w:hAnsi="Ecofont_Spranq_eco_Sans" w:eastAsia="MS Mincho" w:cs="Tahoma"/>
    </w:rPr>
  </w:style>
  <w:style w:type="character" w:styleId="Nivel01Char" w:customStyle="1">
    <w:name w:val="Nivel 01 Char"/>
    <w:link w:val="Nivel01"/>
    <w:qFormat/>
    <w:rsid w:val="00f901db"/>
    <w:rPr>
      <w:rFonts w:ascii="Arial" w:hAnsi="Arial" w:eastAsia="MS Gothic" w:cs="Arial"/>
      <w:b/>
      <w:bCs/>
    </w:rPr>
  </w:style>
  <w:style w:type="character" w:styleId="Nivel2Char" w:customStyle="1">
    <w:name w:val="Nivel 2 Char"/>
    <w:link w:val="Nivel2"/>
    <w:qFormat/>
    <w:locked/>
    <w:rsid w:val="00f901db"/>
    <w:rPr>
      <w:rFonts w:ascii="Arial" w:hAnsi="Arial" w:eastAsia="MS Mincho" w:cs="Arial"/>
      <w:color w:val="000000"/>
    </w:rPr>
  </w:style>
  <w:style w:type="character" w:styleId="Citao2Char" w:customStyle="1">
    <w:name w:val="citação 2 Char"/>
    <w:link w:val="Citao2"/>
    <w:qFormat/>
    <w:rsid w:val="00f901db"/>
    <w:rPr>
      <w:rFonts w:ascii="Arial" w:hAnsi="Arial" w:eastAsia="Calibri" w:cs="Tahoma"/>
      <w:i/>
      <w:iCs/>
      <w:color w:val="000000"/>
      <w:shd w:fill="FFFFCC" w:val="clear"/>
      <w:lang w:eastAsia="en-US"/>
    </w:rPr>
  </w:style>
  <w:style w:type="character" w:styleId="CitaoChar" w:customStyle="1">
    <w:name w:val="Citação Char"/>
    <w:link w:val="Quote"/>
    <w:qFormat/>
    <w:rsid w:val="00f901db"/>
    <w:rPr>
      <w:i/>
      <w:iCs/>
      <w:color w:val="404040"/>
      <w:kern w:val="2"/>
      <w:lang w:eastAsia="zh-CN"/>
    </w:rPr>
  </w:style>
  <w:style w:type="character" w:styleId="Nivel4Char" w:customStyle="1">
    <w:name w:val="Nivel 4 Char"/>
    <w:link w:val="Nivel4"/>
    <w:qFormat/>
    <w:rsid w:val="008803f6"/>
    <w:rPr>
      <w:rFonts w:ascii="Arial" w:hAnsi="Arial" w:eastAsia="MS Mincho" w:cs="Arial"/>
    </w:rPr>
  </w:style>
  <w:style w:type="character" w:styleId="PargrafodaListaChar" w:customStyle="1">
    <w:name w:val="Parágrafo da Lista Char"/>
    <w:link w:val="PargrafodaLista1"/>
    <w:uiPriority w:val="34"/>
    <w:qFormat/>
    <w:rsid w:val="008803f6"/>
    <w:rPr>
      <w:kern w:val="2"/>
      <w:sz w:val="24"/>
      <w:szCs w:val="24"/>
      <w:lang w:eastAsia="zh-CN"/>
    </w:rPr>
  </w:style>
  <w:style w:type="character" w:styleId="Nivel3Char" w:customStyle="1">
    <w:name w:val="Nivel 3 Char"/>
    <w:link w:val="Nivel3"/>
    <w:qFormat/>
    <w:rsid w:val="008803f6"/>
    <w:rPr>
      <w:rFonts w:ascii="Arial" w:hAnsi="Arial" w:eastAsia="MS Mincho" w:cs="Arial"/>
      <w:color w:val="000000"/>
    </w:rPr>
  </w:style>
  <w:style w:type="character" w:styleId="UnresolvedMention">
    <w:name w:val="Unresolved Mention"/>
    <w:uiPriority w:val="99"/>
    <w:semiHidden/>
    <w:unhideWhenUsed/>
    <w:qFormat/>
    <w:rsid w:val="005c3ea3"/>
    <w:rPr>
      <w:color w:val="605E5C"/>
      <w:shd w:fill="E1DFDD" w:val="clear"/>
    </w:rPr>
  </w:style>
  <w:style w:type="character" w:styleId="AssuntodocomentrioChar" w:customStyle="1">
    <w:name w:val="Assunto do comentário Char"/>
    <w:link w:val="Annotationsubject"/>
    <w:uiPriority w:val="99"/>
    <w:semiHidden/>
    <w:qFormat/>
    <w:rsid w:val="00c03f04"/>
    <w:rPr>
      <w:rFonts w:ascii="Ecofont_Spranq_eco_Sans" w:hAnsi="Ecofont_Spranq_eco_Sans" w:eastAsia="MS Mincho" w:cs="Tahoma"/>
      <w:b/>
      <w:bCs/>
      <w:kern w:val="2"/>
      <w:lang w:eastAsia="zh-CN"/>
    </w:rPr>
  </w:style>
  <w:style w:type="character" w:styleId="Nvel2-RedChar" w:customStyle="1">
    <w:name w:val="Nível 2 -Red Char"/>
    <w:link w:val="Nvel2-Red"/>
    <w:qFormat/>
    <w:locked/>
    <w:rsid w:val="00602823"/>
    <w:rPr>
      <w:rFonts w:ascii="Arial" w:hAnsi="Arial" w:cs="Arial"/>
      <w:i/>
      <w:iCs/>
      <w:color w:val="FF0000"/>
    </w:rPr>
  </w:style>
  <w:style w:type="character" w:styleId="OuChar" w:customStyle="1">
    <w:name w:val="ou Char"/>
    <w:link w:val="Ou"/>
    <w:qFormat/>
    <w:rsid w:val="00602823"/>
    <w:rPr>
      <w:rFonts w:ascii="Arial" w:hAnsi="Arial" w:eastAsia="Calibri" w:cs="Arial"/>
      <w:b/>
      <w:bCs/>
      <w:i/>
      <w:iCs/>
      <w:color w:val="FF0000"/>
      <w:sz w:val="24"/>
      <w:szCs w:val="24"/>
      <w:u w:val="single"/>
    </w:rPr>
  </w:style>
  <w:style w:type="character" w:styleId="Nvel3-RChar" w:customStyle="1">
    <w:name w:val="Nível 3-R Char"/>
    <w:link w:val="Nvel3-R"/>
    <w:qFormat/>
    <w:rsid w:val="008c4767"/>
    <w:rPr>
      <w:rFonts w:ascii="Arial" w:hAnsi="Arial" w:cs="Arial"/>
      <w:i/>
      <w:iCs/>
      <w:color w:val="FF0000"/>
    </w:rPr>
  </w:style>
  <w:style w:type="character" w:styleId="CorpodetextoChar1" w:customStyle="1">
    <w:name w:val="Corpo de texto Char1"/>
    <w:basedOn w:val="DefaultParagraphFont"/>
    <w:link w:val="Textbody"/>
    <w:qFormat/>
    <w:rsid w:val="002a576f"/>
    <w:rPr>
      <w:kern w:val="2"/>
      <w:lang w:eastAsia="zh-CN"/>
    </w:rPr>
  </w:style>
  <w:style w:type="character" w:styleId="PrimeirorecuodecorpodetextoChar" w:customStyle="1">
    <w:name w:val="Primeiro recuo de corpo de texto Char"/>
    <w:basedOn w:val="CorpodetextoChar1"/>
    <w:link w:val="Textbodyindent"/>
    <w:uiPriority w:val="99"/>
    <w:semiHidden/>
    <w:qFormat/>
    <w:rsid w:val="002a576f"/>
    <w:rPr>
      <w:kern w:val="2"/>
      <w:lang w:eastAsia="zh-CN"/>
    </w:rPr>
  </w:style>
  <w:style w:type="character" w:styleId="Tipodeletrapredefinidodopargrafo" w:customStyle="1">
    <w:name w:val="Tipo de letra predefinido do parágrafo"/>
    <w:qFormat/>
    <w:rsid w:val="0016437c"/>
    <w:rPr/>
  </w:style>
  <w:style w:type="character" w:styleId="Tipodeletrapredefinidodopargrafo2" w:customStyle="1">
    <w:name w:val="Tipo de letra predefinido do parágrafo2"/>
    <w:qFormat/>
    <w:rsid w:val="0016437c"/>
    <w:rPr/>
  </w:style>
  <w:style w:type="character" w:styleId="Tipodeletrapredefinidodopargrafo1" w:customStyle="1">
    <w:name w:val="Tipo de letra predefinido do parágrafo1"/>
    <w:qFormat/>
    <w:rsid w:val="0016437c"/>
    <w:rPr/>
  </w:style>
  <w:style w:type="character" w:styleId="WW8Num1zfalse" w:customStyle="1">
    <w:name w:val="WW8Num1zfalse"/>
    <w:qFormat/>
    <w:rsid w:val="0016437c"/>
    <w:rPr/>
  </w:style>
  <w:style w:type="character" w:styleId="WW8Num1ztrue" w:customStyle="1">
    <w:name w:val="WW8Num1ztrue"/>
    <w:qFormat/>
    <w:rsid w:val="0016437c"/>
    <w:rPr/>
  </w:style>
  <w:style w:type="character" w:styleId="WW-WW8Num1ztrue" w:customStyle="1">
    <w:name w:val="WW-WW8Num1ztrue"/>
    <w:qFormat/>
    <w:rsid w:val="0016437c"/>
    <w:rPr/>
  </w:style>
  <w:style w:type="character" w:styleId="WW-WW8Num1ztrue1" w:customStyle="1">
    <w:name w:val="WW-WW8Num1ztrue1"/>
    <w:qFormat/>
    <w:rsid w:val="0016437c"/>
    <w:rPr/>
  </w:style>
  <w:style w:type="character" w:styleId="WW-WW8Num1ztrue2" w:customStyle="1">
    <w:name w:val="WW-WW8Num1ztrue2"/>
    <w:qFormat/>
    <w:rsid w:val="0016437c"/>
    <w:rPr/>
  </w:style>
  <w:style w:type="character" w:styleId="WW-WW8Num1ztrue3" w:customStyle="1">
    <w:name w:val="WW-WW8Num1ztrue3"/>
    <w:qFormat/>
    <w:rsid w:val="0016437c"/>
    <w:rPr/>
  </w:style>
  <w:style w:type="character" w:styleId="WW-WW8Num1ztrue4" w:customStyle="1">
    <w:name w:val="WW-WW8Num1ztrue4"/>
    <w:qFormat/>
    <w:rsid w:val="0016437c"/>
    <w:rPr/>
  </w:style>
  <w:style w:type="character" w:styleId="WW-WW8Num1ztrue5" w:customStyle="1">
    <w:name w:val="WW-WW8Num1ztrue5"/>
    <w:qFormat/>
    <w:rsid w:val="0016437c"/>
    <w:rPr/>
  </w:style>
  <w:style w:type="character" w:styleId="WW-WW8Num1ztrue6" w:customStyle="1">
    <w:name w:val="WW-WW8Num1ztrue6"/>
    <w:qFormat/>
    <w:rsid w:val="0016437c"/>
    <w:rPr/>
  </w:style>
  <w:style w:type="character" w:styleId="TextodebaloCarter" w:customStyle="1">
    <w:name w:val="Texto de balão Caráter"/>
    <w:qFormat/>
    <w:rsid w:val="0016437c"/>
    <w:rPr>
      <w:rFonts w:ascii="Segoe UI" w:hAnsi="Segoe UI" w:eastAsia="SimSun" w:cs="Mangal"/>
      <w:kern w:val="2"/>
      <w:sz w:val="18"/>
      <w:szCs w:val="16"/>
      <w:lang w:eastAsia="zh-CN" w:bidi="hi-IN"/>
    </w:rPr>
  </w:style>
  <w:style w:type="character" w:styleId="Marcadores" w:customStyle="1">
    <w:name w:val="Marcadores"/>
    <w:qFormat/>
    <w:rsid w:val="0016437c"/>
    <w:rPr>
      <w:rFonts w:ascii="OpenSymbol" w:hAnsi="OpenSymbol" w:eastAsia="OpenSymbol" w:cs="OpenSymbol"/>
    </w:rPr>
  </w:style>
  <w:style w:type="character" w:styleId="Fontepargpadro133" w:customStyle="1">
    <w:name w:val="Fonte parág. padrão133"/>
    <w:qFormat/>
    <w:rsid w:val="0016437c"/>
    <w:rPr/>
  </w:style>
  <w:style w:type="character" w:styleId="Forte1" w:customStyle="1">
    <w:name w:val="Forte1"/>
    <w:qFormat/>
    <w:rsid w:val="0016437c"/>
    <w:rPr>
      <w:b/>
      <w:bC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20"/>
    </w:pPr>
    <w:rPr/>
  </w:style>
  <w:style w:type="paragraph" w:styleId="Lista">
    <w:name w:val="List"/>
    <w:basedOn w:val="Corpodotexto"/>
    <w:pPr/>
    <w:rPr>
      <w:rFonts w:cs="Tahoma"/>
      <w:sz w:val="24"/>
      <w:szCs w:val="24"/>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Tahoma"/>
      <w:sz w:val="24"/>
      <w:szCs w:val="24"/>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Ttulo132" w:customStyle="1">
    <w:name w:val="Título132"/>
    <w:basedOn w:val="Normal"/>
    <w:next w:val="Corpodotexto"/>
    <w:qFormat/>
    <w:pPr>
      <w:keepNext w:val="true"/>
      <w:spacing w:before="240" w:after="120"/>
    </w:pPr>
    <w:rPr>
      <w:rFonts w:ascii="Liberation Sans" w:hAnsi="Liberation Sans" w:eastAsia="Microsoft YaHei" w:cs="Arial"/>
      <w:sz w:val="28"/>
      <w:szCs w:val="28"/>
    </w:rPr>
  </w:style>
  <w:style w:type="paragraph" w:styleId="Ttulo131" w:customStyle="1">
    <w:name w:val="Título131"/>
    <w:basedOn w:val="Normal"/>
    <w:next w:val="Corpodotexto"/>
    <w:qFormat/>
    <w:pPr>
      <w:keepNext w:val="true"/>
      <w:spacing w:before="240" w:after="120"/>
    </w:pPr>
    <w:rPr>
      <w:rFonts w:ascii="Liberation Sans" w:hAnsi="Liberation Sans" w:eastAsia="Microsoft YaHei" w:cs="Arial"/>
      <w:sz w:val="28"/>
      <w:szCs w:val="28"/>
    </w:rPr>
  </w:style>
  <w:style w:type="paragraph" w:styleId="Ttulo130" w:customStyle="1">
    <w:name w:val="Título130"/>
    <w:basedOn w:val="Normal"/>
    <w:next w:val="Corpodotexto"/>
    <w:qFormat/>
    <w:pPr>
      <w:keepNext w:val="true"/>
      <w:spacing w:before="240" w:after="120"/>
    </w:pPr>
    <w:rPr>
      <w:rFonts w:ascii="Liberation Sans" w:hAnsi="Liberation Sans" w:eastAsia="Microsoft YaHei" w:cs="Mangal"/>
      <w:sz w:val="28"/>
      <w:szCs w:val="28"/>
    </w:rPr>
  </w:style>
  <w:style w:type="paragraph" w:styleId="Ttulo129" w:customStyle="1">
    <w:name w:val="Título129"/>
    <w:basedOn w:val="Normal"/>
    <w:next w:val="Corpodotexto"/>
    <w:qFormat/>
    <w:pPr>
      <w:keepNext w:val="true"/>
      <w:spacing w:before="240" w:after="120"/>
    </w:pPr>
    <w:rPr>
      <w:rFonts w:ascii="Liberation Sans" w:hAnsi="Liberation Sans" w:eastAsia="Microsoft YaHei" w:cs="Mangal"/>
      <w:sz w:val="28"/>
      <w:szCs w:val="28"/>
    </w:rPr>
  </w:style>
  <w:style w:type="paragraph" w:styleId="Ttulo128" w:customStyle="1">
    <w:name w:val="Título128"/>
    <w:basedOn w:val="Normal"/>
    <w:next w:val="Corpodotexto"/>
    <w:qFormat/>
    <w:pPr>
      <w:keepNext w:val="true"/>
      <w:spacing w:before="240" w:after="120"/>
    </w:pPr>
    <w:rPr>
      <w:rFonts w:ascii="Liberation Sans" w:hAnsi="Liberation Sans" w:eastAsia="Microsoft YaHei" w:cs="Mangal"/>
      <w:sz w:val="28"/>
      <w:szCs w:val="28"/>
    </w:rPr>
  </w:style>
  <w:style w:type="paragraph" w:styleId="Ttulo127" w:customStyle="1">
    <w:name w:val="Título127"/>
    <w:basedOn w:val="Normal"/>
    <w:next w:val="Corpodotexto"/>
    <w:qFormat/>
    <w:pPr>
      <w:keepNext w:val="true"/>
      <w:spacing w:before="240" w:after="120"/>
    </w:pPr>
    <w:rPr>
      <w:rFonts w:ascii="Liberation Sans" w:hAnsi="Liberation Sans" w:eastAsia="Microsoft YaHei" w:cs="Mangal"/>
      <w:sz w:val="28"/>
      <w:szCs w:val="28"/>
    </w:rPr>
  </w:style>
  <w:style w:type="paragraph" w:styleId="Ttulo126" w:customStyle="1">
    <w:name w:val="Título126"/>
    <w:basedOn w:val="Normal"/>
    <w:next w:val="Corpodotexto"/>
    <w:qFormat/>
    <w:pPr>
      <w:keepNext w:val="true"/>
      <w:spacing w:before="240" w:after="120"/>
    </w:pPr>
    <w:rPr>
      <w:rFonts w:ascii="Liberation Sans" w:hAnsi="Liberation Sans" w:eastAsia="Microsoft YaHei" w:cs="Mangal"/>
      <w:sz w:val="28"/>
      <w:szCs w:val="28"/>
    </w:rPr>
  </w:style>
  <w:style w:type="paragraph" w:styleId="Ttulo125" w:customStyle="1">
    <w:name w:val="Título125"/>
    <w:basedOn w:val="Normal"/>
    <w:next w:val="Corpodotexto"/>
    <w:qFormat/>
    <w:pPr>
      <w:keepNext w:val="true"/>
      <w:spacing w:before="240" w:after="120"/>
    </w:pPr>
    <w:rPr>
      <w:rFonts w:ascii="Liberation Sans" w:hAnsi="Liberation Sans" w:eastAsia="Microsoft YaHei" w:cs="Mangal"/>
      <w:sz w:val="28"/>
      <w:szCs w:val="28"/>
    </w:rPr>
  </w:style>
  <w:style w:type="paragraph" w:styleId="Ttulo124" w:customStyle="1">
    <w:name w:val="Título124"/>
    <w:basedOn w:val="Normal"/>
    <w:next w:val="Corpodotexto"/>
    <w:qFormat/>
    <w:pPr>
      <w:keepNext w:val="true"/>
      <w:spacing w:before="240" w:after="120"/>
    </w:pPr>
    <w:rPr>
      <w:rFonts w:ascii="Liberation Sans" w:hAnsi="Liberation Sans" w:eastAsia="Microsoft YaHei" w:cs="Mangal"/>
      <w:sz w:val="28"/>
      <w:szCs w:val="28"/>
    </w:rPr>
  </w:style>
  <w:style w:type="paragraph" w:styleId="Ttulo123" w:customStyle="1">
    <w:name w:val="Título123"/>
    <w:basedOn w:val="Normal"/>
    <w:next w:val="Corpodotexto"/>
    <w:qFormat/>
    <w:pPr>
      <w:keepNext w:val="true"/>
      <w:spacing w:before="240" w:after="120"/>
    </w:pPr>
    <w:rPr>
      <w:rFonts w:ascii="Liberation Sans" w:hAnsi="Liberation Sans" w:eastAsia="Microsoft YaHei" w:cs="Mangal"/>
      <w:sz w:val="28"/>
      <w:szCs w:val="28"/>
    </w:rPr>
  </w:style>
  <w:style w:type="paragraph" w:styleId="Ttulo122" w:customStyle="1">
    <w:name w:val="Título122"/>
    <w:basedOn w:val="Normal"/>
    <w:next w:val="Corpodotexto"/>
    <w:qFormat/>
    <w:pPr>
      <w:keepNext w:val="true"/>
      <w:spacing w:before="240" w:after="120"/>
    </w:pPr>
    <w:rPr>
      <w:rFonts w:ascii="Liberation Sans" w:hAnsi="Liberation Sans" w:eastAsia="Microsoft YaHei" w:cs="Mangal"/>
      <w:sz w:val="28"/>
      <w:szCs w:val="28"/>
    </w:rPr>
  </w:style>
  <w:style w:type="paragraph" w:styleId="Ttulo121" w:customStyle="1">
    <w:name w:val="Título121"/>
    <w:basedOn w:val="Normal"/>
    <w:next w:val="Corpodotexto"/>
    <w:qFormat/>
    <w:pPr>
      <w:keepNext w:val="true"/>
      <w:spacing w:before="240" w:after="120"/>
    </w:pPr>
    <w:rPr>
      <w:rFonts w:ascii="Liberation Sans" w:hAnsi="Liberation Sans" w:eastAsia="Microsoft YaHei" w:cs="Mangal"/>
      <w:sz w:val="28"/>
      <w:szCs w:val="28"/>
    </w:rPr>
  </w:style>
  <w:style w:type="paragraph" w:styleId="Ttulo120" w:customStyle="1">
    <w:name w:val="Título120"/>
    <w:basedOn w:val="Normal"/>
    <w:next w:val="Corpodotexto"/>
    <w:qFormat/>
    <w:pPr>
      <w:keepNext w:val="true"/>
      <w:spacing w:before="240" w:after="120"/>
    </w:pPr>
    <w:rPr>
      <w:rFonts w:ascii="Liberation Sans" w:hAnsi="Liberation Sans" w:eastAsia="Microsoft YaHei" w:cs="Mangal"/>
      <w:sz w:val="28"/>
      <w:szCs w:val="28"/>
    </w:rPr>
  </w:style>
  <w:style w:type="paragraph" w:styleId="Ttulo119" w:customStyle="1">
    <w:name w:val="Título119"/>
    <w:basedOn w:val="Normal"/>
    <w:next w:val="Corpodotexto"/>
    <w:qFormat/>
    <w:pPr>
      <w:keepNext w:val="true"/>
      <w:spacing w:before="240" w:after="120"/>
    </w:pPr>
    <w:rPr>
      <w:rFonts w:ascii="Liberation Sans" w:hAnsi="Liberation Sans" w:eastAsia="Microsoft YaHei" w:cs="Mangal"/>
      <w:sz w:val="28"/>
      <w:szCs w:val="28"/>
    </w:rPr>
  </w:style>
  <w:style w:type="paragraph" w:styleId="Ttulo118" w:customStyle="1">
    <w:name w:val="Título118"/>
    <w:basedOn w:val="Normal"/>
    <w:next w:val="Corpodotexto"/>
    <w:qFormat/>
    <w:pPr>
      <w:keepNext w:val="true"/>
      <w:spacing w:before="240" w:after="120"/>
    </w:pPr>
    <w:rPr>
      <w:rFonts w:ascii="Liberation Sans" w:hAnsi="Liberation Sans" w:eastAsia="Microsoft YaHei" w:cs="Mangal"/>
      <w:sz w:val="28"/>
      <w:szCs w:val="28"/>
    </w:rPr>
  </w:style>
  <w:style w:type="paragraph" w:styleId="Ttulo117" w:customStyle="1">
    <w:name w:val="Título117"/>
    <w:basedOn w:val="Normal"/>
    <w:next w:val="Corpodotexto"/>
    <w:qFormat/>
    <w:pPr>
      <w:keepNext w:val="true"/>
      <w:spacing w:before="240" w:after="120"/>
    </w:pPr>
    <w:rPr>
      <w:rFonts w:ascii="Liberation Sans" w:hAnsi="Liberation Sans" w:eastAsia="Microsoft YaHei" w:cs="Mangal"/>
      <w:sz w:val="28"/>
      <w:szCs w:val="28"/>
    </w:rPr>
  </w:style>
  <w:style w:type="paragraph" w:styleId="Ttulo116" w:customStyle="1">
    <w:name w:val="Título116"/>
    <w:basedOn w:val="Normal"/>
    <w:next w:val="Corpodotexto"/>
    <w:qFormat/>
    <w:pPr>
      <w:keepNext w:val="true"/>
      <w:spacing w:before="240" w:after="120"/>
    </w:pPr>
    <w:rPr>
      <w:rFonts w:ascii="Liberation Sans" w:hAnsi="Liberation Sans" w:eastAsia="Microsoft YaHei" w:cs="Mangal"/>
      <w:sz w:val="28"/>
      <w:szCs w:val="28"/>
    </w:rPr>
  </w:style>
  <w:style w:type="paragraph" w:styleId="Ttulo115" w:customStyle="1">
    <w:name w:val="Título115"/>
    <w:basedOn w:val="Normal"/>
    <w:next w:val="Corpodotexto"/>
    <w:qFormat/>
    <w:pPr>
      <w:keepNext w:val="true"/>
      <w:spacing w:before="240" w:after="120"/>
    </w:pPr>
    <w:rPr>
      <w:rFonts w:ascii="Liberation Sans" w:hAnsi="Liberation Sans" w:eastAsia="Microsoft YaHei" w:cs="Mangal"/>
      <w:sz w:val="28"/>
      <w:szCs w:val="28"/>
    </w:rPr>
  </w:style>
  <w:style w:type="paragraph" w:styleId="Ttulo114" w:customStyle="1">
    <w:name w:val="Título114"/>
    <w:basedOn w:val="Normal"/>
    <w:next w:val="Corpodotexto"/>
    <w:qFormat/>
    <w:pPr>
      <w:keepNext w:val="true"/>
      <w:spacing w:before="240" w:after="120"/>
    </w:pPr>
    <w:rPr>
      <w:rFonts w:ascii="Liberation Sans" w:hAnsi="Liberation Sans" w:eastAsia="Microsoft YaHei" w:cs="Mangal"/>
      <w:sz w:val="28"/>
      <w:szCs w:val="28"/>
    </w:rPr>
  </w:style>
  <w:style w:type="paragraph" w:styleId="Ttulo113" w:customStyle="1">
    <w:name w:val="Título113"/>
    <w:basedOn w:val="Normal"/>
    <w:next w:val="Corpodotexto"/>
    <w:qFormat/>
    <w:pPr>
      <w:keepNext w:val="true"/>
      <w:spacing w:before="240" w:after="120"/>
    </w:pPr>
    <w:rPr>
      <w:rFonts w:ascii="Liberation Sans" w:hAnsi="Liberation Sans" w:eastAsia="Microsoft YaHei" w:cs="Mangal"/>
      <w:sz w:val="28"/>
      <w:szCs w:val="28"/>
    </w:rPr>
  </w:style>
  <w:style w:type="paragraph" w:styleId="Ttulo112" w:customStyle="1">
    <w:name w:val="Título112"/>
    <w:basedOn w:val="Normal"/>
    <w:next w:val="Corpodotexto"/>
    <w:qFormat/>
    <w:pPr>
      <w:keepNext w:val="true"/>
      <w:spacing w:before="240" w:after="120"/>
    </w:pPr>
    <w:rPr>
      <w:rFonts w:ascii="Liberation Sans" w:hAnsi="Liberation Sans" w:eastAsia="Microsoft YaHei" w:cs="Mangal"/>
      <w:sz w:val="28"/>
      <w:szCs w:val="28"/>
    </w:rPr>
  </w:style>
  <w:style w:type="paragraph" w:styleId="Ttulo111" w:customStyle="1">
    <w:name w:val="Título111"/>
    <w:basedOn w:val="Normal"/>
    <w:next w:val="Corpodotexto"/>
    <w:qFormat/>
    <w:pPr>
      <w:keepNext w:val="true"/>
      <w:spacing w:before="240" w:after="120"/>
    </w:pPr>
    <w:rPr>
      <w:rFonts w:ascii="Liberation Sans" w:hAnsi="Liberation Sans" w:eastAsia="Microsoft YaHei" w:cs="Mangal"/>
      <w:sz w:val="28"/>
      <w:szCs w:val="28"/>
    </w:rPr>
  </w:style>
  <w:style w:type="paragraph" w:styleId="Ttulo110" w:customStyle="1">
    <w:name w:val="Título110"/>
    <w:basedOn w:val="Normal"/>
    <w:next w:val="Corpodotexto"/>
    <w:qFormat/>
    <w:pPr>
      <w:keepNext w:val="true"/>
      <w:spacing w:before="240" w:after="120"/>
    </w:pPr>
    <w:rPr>
      <w:rFonts w:ascii="Liberation Sans" w:hAnsi="Liberation Sans" w:eastAsia="Microsoft YaHei" w:cs="Mangal"/>
      <w:sz w:val="28"/>
      <w:szCs w:val="28"/>
    </w:rPr>
  </w:style>
  <w:style w:type="paragraph" w:styleId="Ttulo109" w:customStyle="1">
    <w:name w:val="Título109"/>
    <w:basedOn w:val="Normal"/>
    <w:next w:val="Corpodotexto"/>
    <w:qFormat/>
    <w:pPr>
      <w:keepNext w:val="true"/>
      <w:spacing w:before="240" w:after="120"/>
    </w:pPr>
    <w:rPr>
      <w:rFonts w:ascii="Liberation Sans" w:hAnsi="Liberation Sans" w:eastAsia="Microsoft YaHei" w:cs="Mangal"/>
      <w:sz w:val="28"/>
      <w:szCs w:val="28"/>
    </w:rPr>
  </w:style>
  <w:style w:type="paragraph" w:styleId="Ttulo108" w:customStyle="1">
    <w:name w:val="Título108"/>
    <w:basedOn w:val="Normal"/>
    <w:next w:val="Corpodotexto"/>
    <w:qFormat/>
    <w:pPr>
      <w:keepNext w:val="true"/>
      <w:spacing w:before="240" w:after="120"/>
    </w:pPr>
    <w:rPr>
      <w:rFonts w:ascii="Liberation Sans" w:hAnsi="Liberation Sans" w:eastAsia="Microsoft YaHei" w:cs="Mangal"/>
      <w:sz w:val="28"/>
      <w:szCs w:val="28"/>
    </w:rPr>
  </w:style>
  <w:style w:type="paragraph" w:styleId="Ttulo107" w:customStyle="1">
    <w:name w:val="Título107"/>
    <w:basedOn w:val="Normal"/>
    <w:next w:val="Corpodotexto"/>
    <w:qFormat/>
    <w:pPr>
      <w:keepNext w:val="true"/>
      <w:spacing w:before="240" w:after="120"/>
    </w:pPr>
    <w:rPr>
      <w:rFonts w:ascii="Liberation Sans" w:hAnsi="Liberation Sans" w:eastAsia="Microsoft YaHei" w:cs="Mangal"/>
      <w:sz w:val="28"/>
      <w:szCs w:val="28"/>
    </w:rPr>
  </w:style>
  <w:style w:type="paragraph" w:styleId="Ttulo106" w:customStyle="1">
    <w:name w:val="Título106"/>
    <w:basedOn w:val="Normal"/>
    <w:next w:val="Corpodotexto"/>
    <w:qFormat/>
    <w:pPr>
      <w:keepNext w:val="true"/>
      <w:spacing w:before="240" w:after="120"/>
    </w:pPr>
    <w:rPr>
      <w:rFonts w:ascii="Liberation Sans" w:hAnsi="Liberation Sans" w:eastAsia="Microsoft YaHei" w:cs="Mangal"/>
      <w:sz w:val="28"/>
      <w:szCs w:val="28"/>
    </w:rPr>
  </w:style>
  <w:style w:type="paragraph" w:styleId="Ttulo105" w:customStyle="1">
    <w:name w:val="Título105"/>
    <w:basedOn w:val="Normal"/>
    <w:next w:val="Corpodotexto"/>
    <w:qFormat/>
    <w:pPr>
      <w:keepNext w:val="true"/>
      <w:spacing w:before="240" w:after="120"/>
    </w:pPr>
    <w:rPr>
      <w:rFonts w:ascii="Liberation Sans" w:hAnsi="Liberation Sans" w:eastAsia="Microsoft YaHei" w:cs="Mangal"/>
      <w:sz w:val="28"/>
      <w:szCs w:val="28"/>
    </w:rPr>
  </w:style>
  <w:style w:type="paragraph" w:styleId="Ttulo104" w:customStyle="1">
    <w:name w:val="Título104"/>
    <w:basedOn w:val="Normal"/>
    <w:next w:val="Corpodotexto"/>
    <w:qFormat/>
    <w:pPr>
      <w:keepNext w:val="true"/>
      <w:spacing w:before="240" w:after="120"/>
    </w:pPr>
    <w:rPr>
      <w:rFonts w:ascii="Liberation Sans" w:hAnsi="Liberation Sans" w:eastAsia="Microsoft YaHei" w:cs="Mangal"/>
      <w:sz w:val="28"/>
      <w:szCs w:val="28"/>
    </w:rPr>
  </w:style>
  <w:style w:type="paragraph" w:styleId="Ttulo103" w:customStyle="1">
    <w:name w:val="Título103"/>
    <w:basedOn w:val="Normal"/>
    <w:next w:val="Corpodotexto"/>
    <w:qFormat/>
    <w:pPr>
      <w:keepNext w:val="true"/>
      <w:spacing w:before="240" w:after="120"/>
    </w:pPr>
    <w:rPr>
      <w:rFonts w:ascii="Liberation Sans" w:hAnsi="Liberation Sans" w:eastAsia="Microsoft YaHei" w:cs="Mangal"/>
      <w:sz w:val="28"/>
      <w:szCs w:val="28"/>
    </w:rPr>
  </w:style>
  <w:style w:type="paragraph" w:styleId="Ttulo102" w:customStyle="1">
    <w:name w:val="Título102"/>
    <w:basedOn w:val="Normal"/>
    <w:next w:val="Corpodotexto"/>
    <w:qFormat/>
    <w:pPr>
      <w:keepNext w:val="true"/>
      <w:spacing w:before="240" w:after="120"/>
    </w:pPr>
    <w:rPr>
      <w:rFonts w:ascii="Liberation Sans" w:hAnsi="Liberation Sans" w:eastAsia="Microsoft YaHei" w:cs="Mangal"/>
      <w:sz w:val="28"/>
      <w:szCs w:val="28"/>
    </w:rPr>
  </w:style>
  <w:style w:type="paragraph" w:styleId="Ttulo101" w:customStyle="1">
    <w:name w:val="Título101"/>
    <w:basedOn w:val="Normal"/>
    <w:next w:val="Corpodotexto"/>
    <w:qFormat/>
    <w:pPr>
      <w:keepNext w:val="true"/>
      <w:spacing w:before="240" w:after="120"/>
    </w:pPr>
    <w:rPr>
      <w:rFonts w:ascii="Liberation Sans" w:hAnsi="Liberation Sans" w:eastAsia="Microsoft YaHei" w:cs="Mangal"/>
      <w:sz w:val="28"/>
      <w:szCs w:val="28"/>
    </w:rPr>
  </w:style>
  <w:style w:type="paragraph" w:styleId="Ttulo100" w:customStyle="1">
    <w:name w:val="Título100"/>
    <w:basedOn w:val="Normal"/>
    <w:next w:val="Corpodotexto"/>
    <w:qFormat/>
    <w:pPr>
      <w:keepNext w:val="true"/>
      <w:spacing w:before="240" w:after="120"/>
    </w:pPr>
    <w:rPr>
      <w:rFonts w:ascii="Liberation Sans" w:hAnsi="Liberation Sans" w:eastAsia="Microsoft YaHei" w:cs="Mangal"/>
      <w:sz w:val="28"/>
      <w:szCs w:val="28"/>
    </w:rPr>
  </w:style>
  <w:style w:type="paragraph" w:styleId="Ttulo99" w:customStyle="1">
    <w:name w:val="Título99"/>
    <w:basedOn w:val="Normal"/>
    <w:next w:val="Corpodotexto"/>
    <w:qFormat/>
    <w:pPr>
      <w:keepNext w:val="true"/>
      <w:spacing w:before="240" w:after="120"/>
    </w:pPr>
    <w:rPr>
      <w:rFonts w:ascii="Liberation Sans" w:hAnsi="Liberation Sans" w:eastAsia="Microsoft YaHei" w:cs="Mangal"/>
      <w:sz w:val="28"/>
      <w:szCs w:val="28"/>
    </w:rPr>
  </w:style>
  <w:style w:type="paragraph" w:styleId="Ttulo98" w:customStyle="1">
    <w:name w:val="Título98"/>
    <w:basedOn w:val="Normal"/>
    <w:next w:val="Corpodotexto"/>
    <w:qFormat/>
    <w:pPr>
      <w:keepNext w:val="true"/>
      <w:spacing w:before="240" w:after="120"/>
    </w:pPr>
    <w:rPr>
      <w:rFonts w:ascii="Liberation Sans" w:hAnsi="Liberation Sans" w:eastAsia="Microsoft YaHei" w:cs="Mangal"/>
      <w:sz w:val="28"/>
      <w:szCs w:val="28"/>
    </w:rPr>
  </w:style>
  <w:style w:type="paragraph" w:styleId="Ttulo97" w:customStyle="1">
    <w:name w:val="Título97"/>
    <w:basedOn w:val="Normal"/>
    <w:next w:val="Corpodotexto"/>
    <w:qFormat/>
    <w:pPr>
      <w:keepNext w:val="true"/>
      <w:spacing w:before="240" w:after="120"/>
    </w:pPr>
    <w:rPr>
      <w:rFonts w:ascii="Liberation Sans" w:hAnsi="Liberation Sans" w:eastAsia="Microsoft YaHei" w:cs="Mangal"/>
      <w:sz w:val="28"/>
      <w:szCs w:val="28"/>
    </w:rPr>
  </w:style>
  <w:style w:type="paragraph" w:styleId="Ttulo96" w:customStyle="1">
    <w:name w:val="Título96"/>
    <w:basedOn w:val="Normal"/>
    <w:next w:val="Corpodotexto"/>
    <w:qFormat/>
    <w:pPr>
      <w:keepNext w:val="true"/>
      <w:spacing w:before="240" w:after="120"/>
    </w:pPr>
    <w:rPr>
      <w:rFonts w:ascii="Liberation Sans" w:hAnsi="Liberation Sans" w:eastAsia="Microsoft YaHei" w:cs="Mangal"/>
      <w:sz w:val="28"/>
      <w:szCs w:val="28"/>
    </w:rPr>
  </w:style>
  <w:style w:type="paragraph" w:styleId="Ttulo95" w:customStyle="1">
    <w:name w:val="Título95"/>
    <w:basedOn w:val="Normal"/>
    <w:next w:val="Corpodotexto"/>
    <w:qFormat/>
    <w:pPr>
      <w:keepNext w:val="true"/>
      <w:spacing w:before="240" w:after="120"/>
    </w:pPr>
    <w:rPr>
      <w:rFonts w:ascii="Liberation Sans" w:hAnsi="Liberation Sans" w:eastAsia="Microsoft YaHei" w:cs="Mangal"/>
      <w:sz w:val="28"/>
      <w:szCs w:val="28"/>
    </w:rPr>
  </w:style>
  <w:style w:type="paragraph" w:styleId="Ttulo94" w:customStyle="1">
    <w:name w:val="Título94"/>
    <w:basedOn w:val="Normal"/>
    <w:next w:val="Corpodotexto"/>
    <w:qFormat/>
    <w:pPr>
      <w:keepNext w:val="true"/>
      <w:spacing w:before="240" w:after="120"/>
    </w:pPr>
    <w:rPr>
      <w:rFonts w:ascii="Liberation Sans" w:hAnsi="Liberation Sans" w:eastAsia="Microsoft YaHei" w:cs="Mangal"/>
      <w:sz w:val="28"/>
      <w:szCs w:val="28"/>
    </w:rPr>
  </w:style>
  <w:style w:type="paragraph" w:styleId="Ttulo93" w:customStyle="1">
    <w:name w:val="Título93"/>
    <w:basedOn w:val="Normal"/>
    <w:next w:val="Corpodotexto"/>
    <w:qFormat/>
    <w:pPr>
      <w:keepNext w:val="true"/>
      <w:spacing w:before="240" w:after="120"/>
    </w:pPr>
    <w:rPr>
      <w:rFonts w:ascii="Liberation Sans" w:hAnsi="Liberation Sans" w:eastAsia="Microsoft YaHei" w:cs="Mangal"/>
      <w:sz w:val="28"/>
      <w:szCs w:val="28"/>
    </w:rPr>
  </w:style>
  <w:style w:type="paragraph" w:styleId="Ttulo92" w:customStyle="1">
    <w:name w:val="Título92"/>
    <w:basedOn w:val="Normal"/>
    <w:next w:val="Corpodotexto"/>
    <w:qFormat/>
    <w:pPr>
      <w:keepNext w:val="true"/>
      <w:spacing w:before="240" w:after="120"/>
    </w:pPr>
    <w:rPr>
      <w:rFonts w:ascii="Liberation Sans" w:hAnsi="Liberation Sans" w:eastAsia="Microsoft YaHei" w:cs="Mangal"/>
      <w:sz w:val="28"/>
      <w:szCs w:val="28"/>
    </w:rPr>
  </w:style>
  <w:style w:type="paragraph" w:styleId="Ttulo91" w:customStyle="1">
    <w:name w:val="Título91"/>
    <w:basedOn w:val="Normal"/>
    <w:next w:val="Corpodotexto"/>
    <w:qFormat/>
    <w:pPr>
      <w:keepNext w:val="true"/>
      <w:spacing w:before="240" w:after="120"/>
    </w:pPr>
    <w:rPr>
      <w:rFonts w:ascii="Liberation Sans" w:hAnsi="Liberation Sans" w:eastAsia="Microsoft YaHei" w:cs="Mangal"/>
      <w:sz w:val="28"/>
      <w:szCs w:val="28"/>
    </w:rPr>
  </w:style>
  <w:style w:type="paragraph" w:styleId="Ttulo90" w:customStyle="1">
    <w:name w:val="Título90"/>
    <w:basedOn w:val="Normal"/>
    <w:next w:val="Corpodotexto"/>
    <w:qFormat/>
    <w:pPr>
      <w:keepNext w:val="true"/>
      <w:spacing w:before="240" w:after="120"/>
    </w:pPr>
    <w:rPr>
      <w:rFonts w:ascii="Liberation Sans" w:hAnsi="Liberation Sans" w:eastAsia="Microsoft YaHei" w:cs="Mangal"/>
      <w:sz w:val="28"/>
      <w:szCs w:val="28"/>
    </w:rPr>
  </w:style>
  <w:style w:type="paragraph" w:styleId="Ttulo89" w:customStyle="1">
    <w:name w:val="Título89"/>
    <w:basedOn w:val="Normal"/>
    <w:next w:val="Corpodotexto"/>
    <w:qFormat/>
    <w:pPr>
      <w:keepNext w:val="true"/>
      <w:spacing w:before="240" w:after="120"/>
    </w:pPr>
    <w:rPr>
      <w:rFonts w:ascii="Liberation Sans" w:hAnsi="Liberation Sans" w:eastAsia="Microsoft YaHei" w:cs="Mangal"/>
      <w:sz w:val="28"/>
      <w:szCs w:val="28"/>
    </w:rPr>
  </w:style>
  <w:style w:type="paragraph" w:styleId="Ttulo88" w:customStyle="1">
    <w:name w:val="Título88"/>
    <w:basedOn w:val="Normal"/>
    <w:next w:val="Corpodotexto"/>
    <w:qFormat/>
    <w:pPr>
      <w:keepNext w:val="true"/>
      <w:spacing w:before="240" w:after="120"/>
    </w:pPr>
    <w:rPr>
      <w:rFonts w:ascii="Liberation Sans" w:hAnsi="Liberation Sans" w:eastAsia="Microsoft YaHei" w:cs="Mangal"/>
      <w:sz w:val="28"/>
      <w:szCs w:val="28"/>
    </w:rPr>
  </w:style>
  <w:style w:type="paragraph" w:styleId="Ttulo87" w:customStyle="1">
    <w:name w:val="Título87"/>
    <w:basedOn w:val="Normal"/>
    <w:next w:val="Corpodotexto"/>
    <w:qFormat/>
    <w:pPr>
      <w:keepNext w:val="true"/>
      <w:spacing w:before="240" w:after="120"/>
    </w:pPr>
    <w:rPr>
      <w:rFonts w:ascii="Liberation Sans" w:hAnsi="Liberation Sans" w:eastAsia="Microsoft YaHei" w:cs="Mangal"/>
      <w:sz w:val="28"/>
      <w:szCs w:val="28"/>
    </w:rPr>
  </w:style>
  <w:style w:type="paragraph" w:styleId="Ttulo86" w:customStyle="1">
    <w:name w:val="Título86"/>
    <w:basedOn w:val="Normal"/>
    <w:next w:val="Corpodotexto"/>
    <w:qFormat/>
    <w:pPr>
      <w:keepNext w:val="true"/>
      <w:spacing w:before="240" w:after="120"/>
    </w:pPr>
    <w:rPr>
      <w:rFonts w:ascii="Liberation Sans" w:hAnsi="Liberation Sans" w:eastAsia="Microsoft YaHei" w:cs="Mangal"/>
      <w:sz w:val="28"/>
      <w:szCs w:val="28"/>
    </w:rPr>
  </w:style>
  <w:style w:type="paragraph" w:styleId="Ttulo85" w:customStyle="1">
    <w:name w:val="Título85"/>
    <w:basedOn w:val="Normal"/>
    <w:next w:val="Corpodotexto"/>
    <w:qFormat/>
    <w:pPr>
      <w:keepNext w:val="true"/>
      <w:spacing w:before="240" w:after="120"/>
    </w:pPr>
    <w:rPr>
      <w:rFonts w:ascii="Liberation Sans" w:hAnsi="Liberation Sans" w:eastAsia="Microsoft YaHei" w:cs="Mangal"/>
      <w:sz w:val="28"/>
      <w:szCs w:val="28"/>
    </w:rPr>
  </w:style>
  <w:style w:type="paragraph" w:styleId="Ttulo84" w:customStyle="1">
    <w:name w:val="Título84"/>
    <w:basedOn w:val="Normal"/>
    <w:next w:val="Corpodotexto"/>
    <w:qFormat/>
    <w:pPr>
      <w:keepNext w:val="true"/>
      <w:spacing w:before="240" w:after="120"/>
    </w:pPr>
    <w:rPr>
      <w:rFonts w:ascii="Liberation Sans" w:hAnsi="Liberation Sans" w:eastAsia="Microsoft YaHei" w:cs="Mangal"/>
      <w:sz w:val="28"/>
      <w:szCs w:val="28"/>
    </w:rPr>
  </w:style>
  <w:style w:type="paragraph" w:styleId="Ttulo83" w:customStyle="1">
    <w:name w:val="Título83"/>
    <w:basedOn w:val="Normal"/>
    <w:next w:val="Corpodotexto"/>
    <w:qFormat/>
    <w:pPr>
      <w:keepNext w:val="true"/>
      <w:spacing w:before="240" w:after="120"/>
    </w:pPr>
    <w:rPr>
      <w:rFonts w:ascii="Liberation Sans" w:hAnsi="Liberation Sans" w:eastAsia="Microsoft YaHei" w:cs="Mangal"/>
      <w:sz w:val="28"/>
      <w:szCs w:val="28"/>
    </w:rPr>
  </w:style>
  <w:style w:type="paragraph" w:styleId="Ttulo82" w:customStyle="1">
    <w:name w:val="Título82"/>
    <w:basedOn w:val="Normal"/>
    <w:next w:val="Corpodotexto"/>
    <w:qFormat/>
    <w:pPr>
      <w:keepNext w:val="true"/>
      <w:spacing w:before="240" w:after="120"/>
    </w:pPr>
    <w:rPr>
      <w:rFonts w:ascii="Liberation Sans" w:hAnsi="Liberation Sans" w:eastAsia="Microsoft YaHei" w:cs="Mangal"/>
      <w:sz w:val="28"/>
      <w:szCs w:val="28"/>
    </w:rPr>
  </w:style>
  <w:style w:type="paragraph" w:styleId="Ttulo81" w:customStyle="1">
    <w:name w:val="Título81"/>
    <w:basedOn w:val="Normal"/>
    <w:next w:val="Corpodotexto"/>
    <w:qFormat/>
    <w:pPr>
      <w:keepNext w:val="true"/>
      <w:spacing w:before="240" w:after="120"/>
    </w:pPr>
    <w:rPr>
      <w:rFonts w:ascii="Liberation Sans" w:hAnsi="Liberation Sans" w:eastAsia="Microsoft YaHei" w:cs="Mangal"/>
      <w:sz w:val="28"/>
      <w:szCs w:val="28"/>
    </w:rPr>
  </w:style>
  <w:style w:type="paragraph" w:styleId="Ttulo80" w:customStyle="1">
    <w:name w:val="Título80"/>
    <w:basedOn w:val="Normal"/>
    <w:next w:val="Corpodotexto"/>
    <w:qFormat/>
    <w:pPr>
      <w:keepNext w:val="true"/>
      <w:spacing w:before="240" w:after="120"/>
    </w:pPr>
    <w:rPr>
      <w:rFonts w:ascii="Liberation Sans" w:hAnsi="Liberation Sans" w:eastAsia="Microsoft YaHei" w:cs="Mangal"/>
      <w:sz w:val="28"/>
      <w:szCs w:val="28"/>
    </w:rPr>
  </w:style>
  <w:style w:type="paragraph" w:styleId="Ttulo79" w:customStyle="1">
    <w:name w:val="Título79"/>
    <w:basedOn w:val="Normal"/>
    <w:next w:val="Corpodotexto"/>
    <w:qFormat/>
    <w:pPr>
      <w:keepNext w:val="true"/>
      <w:spacing w:before="240" w:after="120"/>
    </w:pPr>
    <w:rPr>
      <w:rFonts w:ascii="Liberation Sans" w:hAnsi="Liberation Sans" w:eastAsia="Microsoft YaHei" w:cs="Mangal"/>
      <w:sz w:val="28"/>
      <w:szCs w:val="28"/>
    </w:rPr>
  </w:style>
  <w:style w:type="paragraph" w:styleId="Ttulo78" w:customStyle="1">
    <w:name w:val="Título78"/>
    <w:basedOn w:val="Normal"/>
    <w:next w:val="Corpodotexto"/>
    <w:qFormat/>
    <w:pPr>
      <w:keepNext w:val="true"/>
      <w:spacing w:before="240" w:after="120"/>
    </w:pPr>
    <w:rPr>
      <w:rFonts w:ascii="Liberation Sans" w:hAnsi="Liberation Sans" w:eastAsia="Microsoft YaHei" w:cs="Mangal"/>
      <w:sz w:val="28"/>
      <w:szCs w:val="28"/>
    </w:rPr>
  </w:style>
  <w:style w:type="paragraph" w:styleId="Ttulo77" w:customStyle="1">
    <w:name w:val="Título77"/>
    <w:basedOn w:val="Normal"/>
    <w:next w:val="Corpodotexto"/>
    <w:qFormat/>
    <w:pPr>
      <w:keepNext w:val="true"/>
      <w:spacing w:before="240" w:after="120"/>
    </w:pPr>
    <w:rPr>
      <w:rFonts w:ascii="Liberation Sans" w:hAnsi="Liberation Sans" w:eastAsia="Microsoft YaHei" w:cs="Mangal"/>
      <w:sz w:val="28"/>
      <w:szCs w:val="28"/>
    </w:rPr>
  </w:style>
  <w:style w:type="paragraph" w:styleId="Ttulo76" w:customStyle="1">
    <w:name w:val="Título76"/>
    <w:basedOn w:val="Normal"/>
    <w:next w:val="Corpodotexto"/>
    <w:qFormat/>
    <w:pPr>
      <w:keepNext w:val="true"/>
      <w:spacing w:before="240" w:after="120"/>
    </w:pPr>
    <w:rPr>
      <w:rFonts w:ascii="Liberation Sans" w:hAnsi="Liberation Sans" w:eastAsia="Microsoft YaHei" w:cs="Mangal"/>
      <w:sz w:val="28"/>
      <w:szCs w:val="28"/>
    </w:rPr>
  </w:style>
  <w:style w:type="paragraph" w:styleId="Ttulo75" w:customStyle="1">
    <w:name w:val="Título75"/>
    <w:basedOn w:val="Normal"/>
    <w:next w:val="Corpodotexto"/>
    <w:qFormat/>
    <w:pPr>
      <w:keepNext w:val="true"/>
      <w:spacing w:before="240" w:after="120"/>
    </w:pPr>
    <w:rPr>
      <w:rFonts w:ascii="Liberation Sans" w:hAnsi="Liberation Sans" w:eastAsia="Microsoft YaHei" w:cs="Mangal"/>
      <w:sz w:val="28"/>
      <w:szCs w:val="28"/>
    </w:rPr>
  </w:style>
  <w:style w:type="paragraph" w:styleId="Ttulo74" w:customStyle="1">
    <w:name w:val="Título74"/>
    <w:basedOn w:val="Normal"/>
    <w:next w:val="Corpodotexto"/>
    <w:qFormat/>
    <w:pPr>
      <w:keepNext w:val="true"/>
      <w:spacing w:before="240" w:after="120"/>
    </w:pPr>
    <w:rPr>
      <w:rFonts w:ascii="Liberation Sans" w:hAnsi="Liberation Sans" w:eastAsia="Microsoft YaHei" w:cs="Mangal"/>
      <w:sz w:val="28"/>
      <w:szCs w:val="28"/>
    </w:rPr>
  </w:style>
  <w:style w:type="paragraph" w:styleId="Ttulo73" w:customStyle="1">
    <w:name w:val="Título73"/>
    <w:basedOn w:val="Normal"/>
    <w:next w:val="Corpodotexto"/>
    <w:qFormat/>
    <w:pPr>
      <w:keepNext w:val="true"/>
      <w:spacing w:before="240" w:after="120"/>
    </w:pPr>
    <w:rPr>
      <w:rFonts w:ascii="Liberation Sans" w:hAnsi="Liberation Sans" w:eastAsia="Microsoft YaHei" w:cs="Mangal"/>
      <w:sz w:val="28"/>
      <w:szCs w:val="28"/>
    </w:rPr>
  </w:style>
  <w:style w:type="paragraph" w:styleId="Ttulo72" w:customStyle="1">
    <w:name w:val="Título72"/>
    <w:basedOn w:val="Normal"/>
    <w:next w:val="Corpodotexto"/>
    <w:qFormat/>
    <w:pPr>
      <w:keepNext w:val="true"/>
      <w:spacing w:before="240" w:after="120"/>
    </w:pPr>
    <w:rPr>
      <w:rFonts w:ascii="Liberation Sans" w:hAnsi="Liberation Sans" w:eastAsia="Microsoft YaHei" w:cs="Mangal"/>
      <w:sz w:val="28"/>
      <w:szCs w:val="28"/>
    </w:rPr>
  </w:style>
  <w:style w:type="paragraph" w:styleId="Ttulo71" w:customStyle="1">
    <w:name w:val="Título71"/>
    <w:basedOn w:val="Normal"/>
    <w:next w:val="Corpodotexto"/>
    <w:qFormat/>
    <w:pPr>
      <w:keepNext w:val="true"/>
      <w:spacing w:before="240" w:after="120"/>
    </w:pPr>
    <w:rPr>
      <w:rFonts w:ascii="Liberation Sans" w:hAnsi="Liberation Sans" w:eastAsia="Microsoft YaHei" w:cs="Mangal"/>
      <w:sz w:val="28"/>
      <w:szCs w:val="28"/>
    </w:rPr>
  </w:style>
  <w:style w:type="paragraph" w:styleId="Ttulo70" w:customStyle="1">
    <w:name w:val="Título70"/>
    <w:basedOn w:val="Normal"/>
    <w:next w:val="Corpodotexto"/>
    <w:qFormat/>
    <w:pPr>
      <w:keepNext w:val="true"/>
      <w:spacing w:before="240" w:after="120"/>
    </w:pPr>
    <w:rPr>
      <w:rFonts w:ascii="Liberation Sans" w:hAnsi="Liberation Sans" w:eastAsia="Microsoft YaHei" w:cs="Mangal"/>
      <w:sz w:val="28"/>
      <w:szCs w:val="28"/>
    </w:rPr>
  </w:style>
  <w:style w:type="paragraph" w:styleId="Ttulo69" w:customStyle="1">
    <w:name w:val="Título69"/>
    <w:basedOn w:val="Normal"/>
    <w:next w:val="Corpodotexto"/>
    <w:qFormat/>
    <w:pPr>
      <w:keepNext w:val="true"/>
      <w:spacing w:before="240" w:after="120"/>
    </w:pPr>
    <w:rPr>
      <w:rFonts w:ascii="Liberation Sans" w:hAnsi="Liberation Sans" w:eastAsia="Microsoft YaHei" w:cs="Mangal"/>
      <w:sz w:val="28"/>
      <w:szCs w:val="28"/>
    </w:rPr>
  </w:style>
  <w:style w:type="paragraph" w:styleId="Ttulo68" w:customStyle="1">
    <w:name w:val="Título68"/>
    <w:basedOn w:val="Normal"/>
    <w:next w:val="Corpodotexto"/>
    <w:qFormat/>
    <w:pPr>
      <w:keepNext w:val="true"/>
      <w:spacing w:before="240" w:after="120"/>
    </w:pPr>
    <w:rPr>
      <w:rFonts w:ascii="Liberation Sans" w:hAnsi="Liberation Sans" w:eastAsia="Microsoft YaHei" w:cs="Mangal"/>
      <w:sz w:val="28"/>
      <w:szCs w:val="28"/>
    </w:rPr>
  </w:style>
  <w:style w:type="paragraph" w:styleId="Ttulo67" w:customStyle="1">
    <w:name w:val="Título67"/>
    <w:basedOn w:val="Normal"/>
    <w:next w:val="Corpodotexto"/>
    <w:qFormat/>
    <w:pPr>
      <w:keepNext w:val="true"/>
      <w:spacing w:before="240" w:after="120"/>
    </w:pPr>
    <w:rPr>
      <w:rFonts w:ascii="Liberation Sans" w:hAnsi="Liberation Sans" w:eastAsia="Microsoft YaHei" w:cs="Arial Unicode MS"/>
      <w:sz w:val="28"/>
      <w:szCs w:val="28"/>
    </w:rPr>
  </w:style>
  <w:style w:type="paragraph" w:styleId="Ttulo66" w:customStyle="1">
    <w:name w:val="Título66"/>
    <w:basedOn w:val="Normal"/>
    <w:next w:val="Corpodotexto"/>
    <w:qFormat/>
    <w:pPr>
      <w:keepNext w:val="true"/>
      <w:spacing w:before="240" w:after="120"/>
    </w:pPr>
    <w:rPr>
      <w:rFonts w:ascii="Liberation Sans" w:hAnsi="Liberation Sans" w:eastAsia="Microsoft YaHei" w:cs="Mangal"/>
      <w:sz w:val="28"/>
      <w:szCs w:val="28"/>
    </w:rPr>
  </w:style>
  <w:style w:type="paragraph" w:styleId="Ttulo65" w:customStyle="1">
    <w:name w:val="Título65"/>
    <w:basedOn w:val="Normal"/>
    <w:next w:val="Corpodotexto"/>
    <w:qFormat/>
    <w:pPr>
      <w:keepNext w:val="true"/>
      <w:spacing w:before="240" w:after="120"/>
    </w:pPr>
    <w:rPr>
      <w:rFonts w:ascii="Liberation Sans" w:hAnsi="Liberation Sans" w:eastAsia="Microsoft YaHei" w:cs="Mangal"/>
      <w:sz w:val="28"/>
      <w:szCs w:val="28"/>
    </w:rPr>
  </w:style>
  <w:style w:type="paragraph" w:styleId="Ttulo64" w:customStyle="1">
    <w:name w:val="Título64"/>
    <w:basedOn w:val="Normal"/>
    <w:next w:val="Corpodotexto"/>
    <w:qFormat/>
    <w:pPr>
      <w:keepNext w:val="true"/>
      <w:spacing w:before="240" w:after="120"/>
    </w:pPr>
    <w:rPr>
      <w:rFonts w:ascii="Liberation Sans" w:hAnsi="Liberation Sans" w:eastAsia="Microsoft YaHei" w:cs="Mangal"/>
      <w:sz w:val="28"/>
      <w:szCs w:val="28"/>
    </w:rPr>
  </w:style>
  <w:style w:type="paragraph" w:styleId="Ttulo63" w:customStyle="1">
    <w:name w:val="Título63"/>
    <w:basedOn w:val="Normal"/>
    <w:next w:val="Corpodotexto"/>
    <w:qFormat/>
    <w:pPr>
      <w:keepNext w:val="true"/>
      <w:spacing w:before="240" w:after="120"/>
    </w:pPr>
    <w:rPr>
      <w:rFonts w:ascii="Liberation Sans" w:hAnsi="Liberation Sans" w:eastAsia="Microsoft YaHei" w:cs="Mangal"/>
      <w:sz w:val="28"/>
      <w:szCs w:val="28"/>
    </w:rPr>
  </w:style>
  <w:style w:type="paragraph" w:styleId="Ttulo62" w:customStyle="1">
    <w:name w:val="Título62"/>
    <w:basedOn w:val="Normal"/>
    <w:next w:val="Corpodotexto"/>
    <w:qFormat/>
    <w:pPr>
      <w:keepNext w:val="true"/>
      <w:spacing w:before="240" w:after="120"/>
    </w:pPr>
    <w:rPr>
      <w:rFonts w:ascii="Liberation Sans" w:hAnsi="Liberation Sans" w:eastAsia="Microsoft YaHei" w:cs="Mangal"/>
      <w:sz w:val="28"/>
      <w:szCs w:val="28"/>
    </w:rPr>
  </w:style>
  <w:style w:type="paragraph" w:styleId="Ttulo61" w:customStyle="1">
    <w:name w:val="Título61"/>
    <w:basedOn w:val="Normal"/>
    <w:next w:val="Corpodotexto"/>
    <w:qFormat/>
    <w:pPr>
      <w:keepNext w:val="true"/>
      <w:spacing w:before="240" w:after="120"/>
    </w:pPr>
    <w:rPr>
      <w:rFonts w:ascii="Liberation Sans" w:hAnsi="Liberation Sans" w:eastAsia="Microsoft YaHei" w:cs="Mangal"/>
      <w:sz w:val="28"/>
      <w:szCs w:val="28"/>
    </w:rPr>
  </w:style>
  <w:style w:type="paragraph" w:styleId="Ttulo60" w:customStyle="1">
    <w:name w:val="Título60"/>
    <w:basedOn w:val="Normal"/>
    <w:next w:val="Corpodotexto"/>
    <w:qFormat/>
    <w:pPr>
      <w:keepNext w:val="true"/>
      <w:spacing w:before="240" w:after="120"/>
    </w:pPr>
    <w:rPr>
      <w:rFonts w:ascii="Liberation Sans" w:hAnsi="Liberation Sans" w:eastAsia="Microsoft YaHei" w:cs="Mangal"/>
      <w:sz w:val="28"/>
      <w:szCs w:val="28"/>
    </w:rPr>
  </w:style>
  <w:style w:type="paragraph" w:styleId="Ttulo59" w:customStyle="1">
    <w:name w:val="Título59"/>
    <w:basedOn w:val="Normal"/>
    <w:next w:val="Corpodotexto"/>
    <w:qFormat/>
    <w:pPr>
      <w:keepNext w:val="true"/>
      <w:spacing w:before="240" w:after="120"/>
    </w:pPr>
    <w:rPr>
      <w:rFonts w:ascii="Liberation Sans" w:hAnsi="Liberation Sans" w:eastAsia="Microsoft YaHei" w:cs="Mangal"/>
      <w:sz w:val="28"/>
      <w:szCs w:val="28"/>
    </w:rPr>
  </w:style>
  <w:style w:type="paragraph" w:styleId="Ttulo58" w:customStyle="1">
    <w:name w:val="Título58"/>
    <w:basedOn w:val="Normal"/>
    <w:next w:val="Corpodotexto"/>
    <w:qFormat/>
    <w:pPr>
      <w:keepNext w:val="true"/>
      <w:spacing w:before="240" w:after="120"/>
    </w:pPr>
    <w:rPr>
      <w:rFonts w:ascii="Liberation Sans" w:hAnsi="Liberation Sans" w:eastAsia="Microsoft YaHei" w:cs="Mangal"/>
      <w:sz w:val="28"/>
      <w:szCs w:val="28"/>
    </w:rPr>
  </w:style>
  <w:style w:type="paragraph" w:styleId="Ttulo57" w:customStyle="1">
    <w:name w:val="Título57"/>
    <w:basedOn w:val="Normal"/>
    <w:next w:val="Corpodotexto"/>
    <w:qFormat/>
    <w:pPr>
      <w:keepNext w:val="true"/>
      <w:spacing w:before="240" w:after="120"/>
    </w:pPr>
    <w:rPr>
      <w:rFonts w:ascii="Liberation Sans" w:hAnsi="Liberation Sans" w:eastAsia="Microsoft YaHei" w:cs="Mangal"/>
      <w:sz w:val="28"/>
      <w:szCs w:val="28"/>
    </w:rPr>
  </w:style>
  <w:style w:type="paragraph" w:styleId="Ttulo56" w:customStyle="1">
    <w:name w:val="Título56"/>
    <w:basedOn w:val="Normal"/>
    <w:next w:val="Corpodotexto"/>
    <w:qFormat/>
    <w:pPr>
      <w:keepNext w:val="true"/>
      <w:spacing w:before="240" w:after="120"/>
    </w:pPr>
    <w:rPr>
      <w:rFonts w:ascii="Liberation Sans" w:hAnsi="Liberation Sans" w:eastAsia="Microsoft YaHei" w:cs="Mangal"/>
      <w:sz w:val="28"/>
      <w:szCs w:val="28"/>
    </w:rPr>
  </w:style>
  <w:style w:type="paragraph" w:styleId="Ttulo55" w:customStyle="1">
    <w:name w:val="Título55"/>
    <w:basedOn w:val="Normal"/>
    <w:next w:val="Corpodotexto"/>
    <w:qFormat/>
    <w:pPr>
      <w:keepNext w:val="true"/>
      <w:spacing w:before="240" w:after="120"/>
    </w:pPr>
    <w:rPr>
      <w:rFonts w:ascii="Liberation Sans" w:hAnsi="Liberation Sans" w:eastAsia="Microsoft YaHei" w:cs="Mangal"/>
      <w:sz w:val="28"/>
      <w:szCs w:val="28"/>
    </w:rPr>
  </w:style>
  <w:style w:type="paragraph" w:styleId="Ttulo54" w:customStyle="1">
    <w:name w:val="Título54"/>
    <w:basedOn w:val="Normal"/>
    <w:next w:val="Corpodotexto"/>
    <w:qFormat/>
    <w:pPr>
      <w:keepNext w:val="true"/>
      <w:spacing w:before="240" w:after="120"/>
    </w:pPr>
    <w:rPr>
      <w:rFonts w:ascii="Liberation Sans" w:hAnsi="Liberation Sans" w:eastAsia="Microsoft YaHei" w:cs="Mangal"/>
      <w:sz w:val="28"/>
      <w:szCs w:val="28"/>
    </w:rPr>
  </w:style>
  <w:style w:type="paragraph" w:styleId="Ttulo53" w:customStyle="1">
    <w:name w:val="Título53"/>
    <w:basedOn w:val="Normal"/>
    <w:next w:val="Corpodotexto"/>
    <w:qFormat/>
    <w:pPr>
      <w:keepNext w:val="true"/>
      <w:spacing w:before="240" w:after="120"/>
    </w:pPr>
    <w:rPr>
      <w:rFonts w:ascii="Liberation Sans" w:hAnsi="Liberation Sans" w:eastAsia="Microsoft YaHei" w:cs="Mangal"/>
      <w:sz w:val="28"/>
      <w:szCs w:val="28"/>
    </w:rPr>
  </w:style>
  <w:style w:type="paragraph" w:styleId="Ttulo52" w:customStyle="1">
    <w:name w:val="Título52"/>
    <w:basedOn w:val="Normal"/>
    <w:next w:val="Corpodotexto"/>
    <w:qFormat/>
    <w:pPr>
      <w:keepNext w:val="true"/>
      <w:spacing w:before="240" w:after="120"/>
    </w:pPr>
    <w:rPr>
      <w:rFonts w:ascii="Liberation Sans" w:hAnsi="Liberation Sans" w:eastAsia="Microsoft YaHei" w:cs="Mangal"/>
      <w:sz w:val="28"/>
      <w:szCs w:val="28"/>
    </w:rPr>
  </w:style>
  <w:style w:type="paragraph" w:styleId="Ttulo51" w:customStyle="1">
    <w:name w:val="Título51"/>
    <w:basedOn w:val="Normal"/>
    <w:next w:val="Corpodotexto"/>
    <w:qFormat/>
    <w:pPr>
      <w:keepNext w:val="true"/>
      <w:spacing w:before="240" w:after="120"/>
    </w:pPr>
    <w:rPr>
      <w:rFonts w:ascii="Liberation Sans" w:hAnsi="Liberation Sans" w:eastAsia="Microsoft YaHei" w:cs="Mangal"/>
      <w:sz w:val="28"/>
      <w:szCs w:val="28"/>
    </w:rPr>
  </w:style>
  <w:style w:type="paragraph" w:styleId="Ttulo50" w:customStyle="1">
    <w:name w:val="Título50"/>
    <w:basedOn w:val="Normal"/>
    <w:next w:val="Corpodotexto"/>
    <w:qFormat/>
    <w:pPr>
      <w:keepNext w:val="true"/>
      <w:spacing w:before="240" w:after="120"/>
    </w:pPr>
    <w:rPr>
      <w:rFonts w:ascii="Liberation Sans" w:hAnsi="Liberation Sans" w:eastAsia="Microsoft YaHei" w:cs="Mangal"/>
      <w:sz w:val="28"/>
      <w:szCs w:val="28"/>
    </w:rPr>
  </w:style>
  <w:style w:type="paragraph" w:styleId="Ttulo49" w:customStyle="1">
    <w:name w:val="Título49"/>
    <w:basedOn w:val="Normal"/>
    <w:next w:val="Corpodotexto"/>
    <w:qFormat/>
    <w:pPr>
      <w:keepNext w:val="true"/>
      <w:spacing w:before="240" w:after="120"/>
    </w:pPr>
    <w:rPr>
      <w:rFonts w:ascii="Liberation Sans" w:hAnsi="Liberation Sans" w:eastAsia="Microsoft YaHei" w:cs="Mangal"/>
      <w:sz w:val="28"/>
      <w:szCs w:val="28"/>
    </w:rPr>
  </w:style>
  <w:style w:type="paragraph" w:styleId="Ttulo48" w:customStyle="1">
    <w:name w:val="Título48"/>
    <w:basedOn w:val="Normal"/>
    <w:next w:val="Corpodotexto"/>
    <w:qFormat/>
    <w:pPr>
      <w:keepNext w:val="true"/>
      <w:spacing w:before="240" w:after="120"/>
    </w:pPr>
    <w:rPr>
      <w:rFonts w:ascii="Liberation Sans" w:hAnsi="Liberation Sans" w:eastAsia="Microsoft YaHei" w:cs="Mangal"/>
      <w:sz w:val="28"/>
      <w:szCs w:val="28"/>
    </w:rPr>
  </w:style>
  <w:style w:type="paragraph" w:styleId="Ttulo47" w:customStyle="1">
    <w:name w:val="Título47"/>
    <w:basedOn w:val="Normal"/>
    <w:next w:val="Corpodotexto"/>
    <w:qFormat/>
    <w:pPr>
      <w:keepNext w:val="true"/>
      <w:spacing w:before="240" w:after="120"/>
    </w:pPr>
    <w:rPr>
      <w:rFonts w:ascii="Liberation Sans" w:hAnsi="Liberation Sans" w:eastAsia="Microsoft YaHei" w:cs="Mangal"/>
      <w:sz w:val="28"/>
      <w:szCs w:val="28"/>
    </w:rPr>
  </w:style>
  <w:style w:type="paragraph" w:styleId="Ttulo46" w:customStyle="1">
    <w:name w:val="Título46"/>
    <w:basedOn w:val="Normal"/>
    <w:next w:val="Corpodotexto"/>
    <w:qFormat/>
    <w:pPr>
      <w:keepNext w:val="true"/>
      <w:spacing w:before="240" w:after="120"/>
    </w:pPr>
    <w:rPr>
      <w:rFonts w:ascii="Liberation Sans" w:hAnsi="Liberation Sans" w:eastAsia="Microsoft YaHei" w:cs="Mangal"/>
      <w:sz w:val="28"/>
      <w:szCs w:val="28"/>
    </w:rPr>
  </w:style>
  <w:style w:type="paragraph" w:styleId="Ttulo45" w:customStyle="1">
    <w:name w:val="Título45"/>
    <w:basedOn w:val="Normal"/>
    <w:next w:val="Corpodotexto"/>
    <w:qFormat/>
    <w:pPr>
      <w:keepNext w:val="true"/>
      <w:spacing w:before="240" w:after="120"/>
    </w:pPr>
    <w:rPr>
      <w:rFonts w:ascii="Liberation Sans" w:hAnsi="Liberation Sans" w:eastAsia="Microsoft YaHei" w:cs="Mangal"/>
      <w:sz w:val="28"/>
      <w:szCs w:val="28"/>
    </w:rPr>
  </w:style>
  <w:style w:type="paragraph" w:styleId="Ttulo44" w:customStyle="1">
    <w:name w:val="Título44"/>
    <w:basedOn w:val="Normal"/>
    <w:next w:val="Corpodotexto"/>
    <w:qFormat/>
    <w:pPr>
      <w:keepNext w:val="true"/>
      <w:spacing w:before="240" w:after="120"/>
    </w:pPr>
    <w:rPr>
      <w:rFonts w:ascii="Liberation Sans" w:hAnsi="Liberation Sans" w:eastAsia="Microsoft YaHei" w:cs="Mangal"/>
      <w:sz w:val="28"/>
      <w:szCs w:val="28"/>
    </w:rPr>
  </w:style>
  <w:style w:type="paragraph" w:styleId="Ttulo43" w:customStyle="1">
    <w:name w:val="Título43"/>
    <w:basedOn w:val="Normal"/>
    <w:next w:val="Corpodotexto"/>
    <w:qFormat/>
    <w:pPr>
      <w:keepNext w:val="true"/>
      <w:spacing w:before="240" w:after="120"/>
    </w:pPr>
    <w:rPr>
      <w:rFonts w:ascii="Liberation Sans" w:hAnsi="Liberation Sans" w:eastAsia="Microsoft YaHei" w:cs="Mangal"/>
      <w:sz w:val="28"/>
      <w:szCs w:val="28"/>
    </w:rPr>
  </w:style>
  <w:style w:type="paragraph" w:styleId="Ttulo42" w:customStyle="1">
    <w:name w:val="Título42"/>
    <w:basedOn w:val="Normal"/>
    <w:next w:val="Corpodotexto"/>
    <w:qFormat/>
    <w:pPr>
      <w:keepNext w:val="true"/>
      <w:spacing w:before="240" w:after="120"/>
    </w:pPr>
    <w:rPr>
      <w:rFonts w:ascii="Liberation Sans" w:hAnsi="Liberation Sans" w:eastAsia="Microsoft YaHei" w:cs="Mangal"/>
      <w:sz w:val="28"/>
      <w:szCs w:val="28"/>
    </w:rPr>
  </w:style>
  <w:style w:type="paragraph" w:styleId="Ttulo41" w:customStyle="1">
    <w:name w:val="Título41"/>
    <w:basedOn w:val="Normal"/>
    <w:next w:val="Corpodotexto"/>
    <w:qFormat/>
    <w:pPr>
      <w:keepNext w:val="true"/>
      <w:spacing w:before="240" w:after="120"/>
    </w:pPr>
    <w:rPr>
      <w:rFonts w:ascii="Liberation Sans" w:hAnsi="Liberation Sans" w:eastAsia="Microsoft YaHei" w:cs="Mangal"/>
      <w:sz w:val="28"/>
      <w:szCs w:val="28"/>
    </w:rPr>
  </w:style>
  <w:style w:type="paragraph" w:styleId="Ttulo40" w:customStyle="1">
    <w:name w:val="Título40"/>
    <w:basedOn w:val="Normal"/>
    <w:next w:val="Corpodotexto"/>
    <w:qFormat/>
    <w:pPr>
      <w:keepNext w:val="true"/>
      <w:spacing w:before="240" w:after="120"/>
    </w:pPr>
    <w:rPr>
      <w:rFonts w:ascii="Liberation Sans" w:hAnsi="Liberation Sans" w:eastAsia="Microsoft YaHei" w:cs="Mangal"/>
      <w:sz w:val="28"/>
      <w:szCs w:val="28"/>
    </w:rPr>
  </w:style>
  <w:style w:type="paragraph" w:styleId="Ttulo39" w:customStyle="1">
    <w:name w:val="Título39"/>
    <w:basedOn w:val="Normal"/>
    <w:next w:val="Corpodotexto"/>
    <w:qFormat/>
    <w:pPr>
      <w:keepNext w:val="true"/>
      <w:spacing w:before="240" w:after="120"/>
    </w:pPr>
    <w:rPr>
      <w:rFonts w:ascii="Liberation Sans" w:hAnsi="Liberation Sans" w:eastAsia="Microsoft YaHei" w:cs="Mangal"/>
      <w:sz w:val="28"/>
      <w:szCs w:val="28"/>
    </w:rPr>
  </w:style>
  <w:style w:type="paragraph" w:styleId="Ttulo38" w:customStyle="1">
    <w:name w:val="Título38"/>
    <w:basedOn w:val="Normal"/>
    <w:next w:val="Corpodotexto"/>
    <w:qFormat/>
    <w:pPr>
      <w:keepNext w:val="true"/>
      <w:spacing w:before="240" w:after="120"/>
    </w:pPr>
    <w:rPr>
      <w:rFonts w:ascii="Liberation Sans" w:hAnsi="Liberation Sans" w:eastAsia="Microsoft YaHei" w:cs="Mangal"/>
      <w:sz w:val="28"/>
      <w:szCs w:val="28"/>
    </w:rPr>
  </w:style>
  <w:style w:type="paragraph" w:styleId="Ttulo37" w:customStyle="1">
    <w:name w:val="Título37"/>
    <w:basedOn w:val="Normal"/>
    <w:next w:val="Corpodotexto"/>
    <w:qFormat/>
    <w:pPr>
      <w:keepNext w:val="true"/>
      <w:spacing w:before="240" w:after="120"/>
    </w:pPr>
    <w:rPr>
      <w:rFonts w:ascii="Liberation Sans" w:hAnsi="Liberation Sans" w:eastAsia="Microsoft YaHei" w:cs="Mangal"/>
      <w:sz w:val="28"/>
      <w:szCs w:val="28"/>
    </w:rPr>
  </w:style>
  <w:style w:type="paragraph" w:styleId="Ttulo36" w:customStyle="1">
    <w:name w:val="Título36"/>
    <w:basedOn w:val="Normal"/>
    <w:next w:val="Corpodotexto"/>
    <w:qFormat/>
    <w:pPr>
      <w:keepNext w:val="true"/>
      <w:spacing w:before="240" w:after="120"/>
    </w:pPr>
    <w:rPr>
      <w:rFonts w:ascii="Liberation Sans" w:hAnsi="Liberation Sans" w:eastAsia="Microsoft YaHei" w:cs="Mangal"/>
      <w:sz w:val="28"/>
      <w:szCs w:val="28"/>
    </w:rPr>
  </w:style>
  <w:style w:type="paragraph" w:styleId="Ttulo35" w:customStyle="1">
    <w:name w:val="Título35"/>
    <w:basedOn w:val="Normal"/>
    <w:next w:val="Corpodotexto"/>
    <w:qFormat/>
    <w:pPr>
      <w:keepNext w:val="true"/>
      <w:spacing w:before="240" w:after="120"/>
    </w:pPr>
    <w:rPr>
      <w:rFonts w:ascii="Liberation Sans" w:hAnsi="Liberation Sans" w:eastAsia="Microsoft YaHei" w:cs="Mangal"/>
      <w:sz w:val="28"/>
      <w:szCs w:val="28"/>
    </w:rPr>
  </w:style>
  <w:style w:type="paragraph" w:styleId="Ttulo34" w:customStyle="1">
    <w:name w:val="Título34"/>
    <w:basedOn w:val="Normal"/>
    <w:next w:val="Corpodotexto"/>
    <w:qFormat/>
    <w:pPr>
      <w:keepNext w:val="true"/>
      <w:spacing w:before="240" w:after="120"/>
    </w:pPr>
    <w:rPr>
      <w:rFonts w:ascii="Liberation Sans" w:hAnsi="Liberation Sans" w:eastAsia="Microsoft YaHei" w:cs="Mangal"/>
      <w:sz w:val="28"/>
      <w:szCs w:val="28"/>
    </w:rPr>
  </w:style>
  <w:style w:type="paragraph" w:styleId="Ttulo33" w:customStyle="1">
    <w:name w:val="Título33"/>
    <w:basedOn w:val="Normal"/>
    <w:next w:val="Corpodotexto"/>
    <w:qFormat/>
    <w:pPr>
      <w:keepNext w:val="true"/>
      <w:spacing w:before="240" w:after="120"/>
    </w:pPr>
    <w:rPr>
      <w:rFonts w:ascii="Liberation Sans" w:hAnsi="Liberation Sans" w:eastAsia="Microsoft YaHei" w:cs="Mangal"/>
      <w:sz w:val="28"/>
      <w:szCs w:val="28"/>
    </w:rPr>
  </w:style>
  <w:style w:type="paragraph" w:styleId="Ttulo32" w:customStyle="1">
    <w:name w:val="Título32"/>
    <w:basedOn w:val="Normal"/>
    <w:next w:val="Corpodotexto"/>
    <w:qFormat/>
    <w:pPr>
      <w:keepNext w:val="true"/>
      <w:spacing w:before="240" w:after="120"/>
    </w:pPr>
    <w:rPr>
      <w:rFonts w:ascii="Liberation Sans" w:hAnsi="Liberation Sans" w:eastAsia="Microsoft YaHei" w:cs="Mangal"/>
      <w:sz w:val="28"/>
      <w:szCs w:val="28"/>
    </w:rPr>
  </w:style>
  <w:style w:type="paragraph" w:styleId="Ttulo31" w:customStyle="1">
    <w:name w:val="Título31"/>
    <w:basedOn w:val="Normal"/>
    <w:next w:val="Corpodotexto"/>
    <w:qFormat/>
    <w:pPr>
      <w:keepNext w:val="true"/>
      <w:spacing w:before="240" w:after="120"/>
    </w:pPr>
    <w:rPr>
      <w:rFonts w:ascii="Liberation Sans" w:hAnsi="Liberation Sans" w:eastAsia="Microsoft YaHei" w:cs="Mangal"/>
      <w:sz w:val="28"/>
      <w:szCs w:val="28"/>
    </w:rPr>
  </w:style>
  <w:style w:type="paragraph" w:styleId="Ttulo30" w:customStyle="1">
    <w:name w:val="Título30"/>
    <w:basedOn w:val="Normal"/>
    <w:next w:val="Corpodotexto"/>
    <w:qFormat/>
    <w:pPr>
      <w:keepNext w:val="true"/>
      <w:spacing w:before="240" w:after="120"/>
    </w:pPr>
    <w:rPr>
      <w:rFonts w:ascii="Liberation Sans" w:hAnsi="Liberation Sans" w:eastAsia="Microsoft YaHei" w:cs="Mangal"/>
      <w:sz w:val="28"/>
      <w:szCs w:val="28"/>
    </w:rPr>
  </w:style>
  <w:style w:type="paragraph" w:styleId="Ttulo29" w:customStyle="1">
    <w:name w:val="Título29"/>
    <w:basedOn w:val="Normal"/>
    <w:next w:val="Corpodotexto"/>
    <w:qFormat/>
    <w:pPr>
      <w:keepNext w:val="true"/>
      <w:spacing w:before="240" w:after="120"/>
    </w:pPr>
    <w:rPr>
      <w:rFonts w:ascii="Liberation Sans" w:hAnsi="Liberation Sans" w:eastAsia="Microsoft YaHei" w:cs="Mangal"/>
      <w:sz w:val="28"/>
      <w:szCs w:val="28"/>
    </w:rPr>
  </w:style>
  <w:style w:type="paragraph" w:styleId="Ttulo28" w:customStyle="1">
    <w:name w:val="Título28"/>
    <w:basedOn w:val="Normal"/>
    <w:next w:val="Corpodotexto"/>
    <w:qFormat/>
    <w:pPr>
      <w:keepNext w:val="true"/>
      <w:spacing w:before="240" w:after="120"/>
    </w:pPr>
    <w:rPr>
      <w:rFonts w:ascii="Liberation Sans" w:hAnsi="Liberation Sans" w:eastAsia="Microsoft YaHei" w:cs="Mangal"/>
      <w:sz w:val="28"/>
      <w:szCs w:val="28"/>
    </w:rPr>
  </w:style>
  <w:style w:type="paragraph" w:styleId="Ttulo27" w:customStyle="1">
    <w:name w:val="Título27"/>
    <w:basedOn w:val="Normal"/>
    <w:next w:val="Corpodotexto"/>
    <w:qFormat/>
    <w:pPr>
      <w:keepNext w:val="true"/>
      <w:spacing w:before="240" w:after="120"/>
    </w:pPr>
    <w:rPr>
      <w:rFonts w:ascii="Liberation Sans" w:hAnsi="Liberation Sans" w:eastAsia="Microsoft YaHei" w:cs="Mangal"/>
      <w:sz w:val="28"/>
      <w:szCs w:val="28"/>
    </w:rPr>
  </w:style>
  <w:style w:type="paragraph" w:styleId="Ttulo26" w:customStyle="1">
    <w:name w:val="Título26"/>
    <w:basedOn w:val="Normal"/>
    <w:next w:val="Corpodotexto"/>
    <w:qFormat/>
    <w:pPr>
      <w:keepNext w:val="true"/>
      <w:spacing w:before="240" w:after="120"/>
    </w:pPr>
    <w:rPr>
      <w:rFonts w:ascii="Liberation Sans" w:hAnsi="Liberation Sans" w:eastAsia="Microsoft YaHei" w:cs="Arial Unicode MS"/>
      <w:sz w:val="28"/>
      <w:szCs w:val="28"/>
    </w:rPr>
  </w:style>
  <w:style w:type="paragraph" w:styleId="Ttulo25" w:customStyle="1">
    <w:name w:val="Título25"/>
    <w:basedOn w:val="Normal"/>
    <w:next w:val="Corpodotexto"/>
    <w:qFormat/>
    <w:pPr>
      <w:keepNext w:val="true"/>
      <w:spacing w:before="240" w:after="120"/>
    </w:pPr>
    <w:rPr>
      <w:rFonts w:ascii="Liberation Sans" w:hAnsi="Liberation Sans" w:eastAsia="Microsoft YaHei" w:cs="Arial Unicode MS"/>
      <w:sz w:val="28"/>
      <w:szCs w:val="28"/>
    </w:rPr>
  </w:style>
  <w:style w:type="paragraph" w:styleId="Ttulo24" w:customStyle="1">
    <w:name w:val="Título24"/>
    <w:basedOn w:val="Normal"/>
    <w:next w:val="Corpodotexto"/>
    <w:qFormat/>
    <w:pPr>
      <w:keepNext w:val="true"/>
      <w:spacing w:before="240" w:after="120"/>
    </w:pPr>
    <w:rPr>
      <w:rFonts w:ascii="Liberation Sans" w:hAnsi="Liberation Sans" w:eastAsia="Microsoft YaHei" w:cs="Arial Unicode MS"/>
      <w:sz w:val="28"/>
      <w:szCs w:val="28"/>
    </w:rPr>
  </w:style>
  <w:style w:type="paragraph" w:styleId="Ttulo23" w:customStyle="1">
    <w:name w:val="Título23"/>
    <w:basedOn w:val="Normal"/>
    <w:next w:val="Corpodotexto"/>
    <w:qFormat/>
    <w:pPr>
      <w:keepNext w:val="true"/>
      <w:spacing w:before="240" w:after="120"/>
    </w:pPr>
    <w:rPr>
      <w:rFonts w:ascii="Liberation Sans" w:hAnsi="Liberation Sans" w:eastAsia="Microsoft YaHei" w:cs="Arial Unicode MS"/>
      <w:sz w:val="28"/>
      <w:szCs w:val="28"/>
    </w:rPr>
  </w:style>
  <w:style w:type="paragraph" w:styleId="Ttulo22" w:customStyle="1">
    <w:name w:val="Título22"/>
    <w:basedOn w:val="Normal"/>
    <w:next w:val="Corpodotexto"/>
    <w:qFormat/>
    <w:pPr>
      <w:keepNext w:val="true"/>
      <w:spacing w:before="240" w:after="120"/>
    </w:pPr>
    <w:rPr>
      <w:rFonts w:ascii="Liberation Sans" w:hAnsi="Liberation Sans" w:eastAsia="Microsoft YaHei" w:cs="Mangal"/>
      <w:sz w:val="28"/>
      <w:szCs w:val="28"/>
    </w:rPr>
  </w:style>
  <w:style w:type="paragraph" w:styleId="Ttulo21" w:customStyle="1">
    <w:name w:val="Título21"/>
    <w:basedOn w:val="Normal"/>
    <w:next w:val="Corpodotexto"/>
    <w:qFormat/>
    <w:pPr>
      <w:keepNext w:val="true"/>
      <w:spacing w:before="240" w:after="120"/>
    </w:pPr>
    <w:rPr>
      <w:rFonts w:ascii="Liberation Sans" w:hAnsi="Liberation Sans" w:eastAsia="Microsoft YaHei" w:cs="Mangal"/>
      <w:sz w:val="28"/>
      <w:szCs w:val="28"/>
    </w:rPr>
  </w:style>
  <w:style w:type="paragraph" w:styleId="Ttulo20" w:customStyle="1">
    <w:name w:val="Título20"/>
    <w:basedOn w:val="Normal"/>
    <w:next w:val="Corpodotexto"/>
    <w:qFormat/>
    <w:pPr>
      <w:keepNext w:val="true"/>
      <w:spacing w:before="240" w:after="120"/>
    </w:pPr>
    <w:rPr>
      <w:rFonts w:ascii="Liberation Sans" w:hAnsi="Liberation Sans" w:eastAsia="Microsoft YaHei" w:cs="Mangal"/>
      <w:sz w:val="28"/>
      <w:szCs w:val="28"/>
    </w:rPr>
  </w:style>
  <w:style w:type="paragraph" w:styleId="Ttulo19" w:customStyle="1">
    <w:name w:val="Título19"/>
    <w:basedOn w:val="Normal"/>
    <w:next w:val="Corpodotexto"/>
    <w:qFormat/>
    <w:pPr>
      <w:keepNext w:val="true"/>
      <w:spacing w:before="240" w:after="120"/>
    </w:pPr>
    <w:rPr>
      <w:rFonts w:ascii="Liberation Sans" w:hAnsi="Liberation Sans" w:eastAsia="Microsoft YaHei" w:cs="Mangal"/>
      <w:sz w:val="28"/>
      <w:szCs w:val="28"/>
    </w:rPr>
  </w:style>
  <w:style w:type="paragraph" w:styleId="Ttulo18" w:customStyle="1">
    <w:name w:val="Título18"/>
    <w:basedOn w:val="Normal"/>
    <w:next w:val="Corpodotexto"/>
    <w:qFormat/>
    <w:pPr>
      <w:keepNext w:val="true"/>
      <w:spacing w:before="240" w:after="120"/>
    </w:pPr>
    <w:rPr>
      <w:rFonts w:ascii="Liberation Sans" w:hAnsi="Liberation Sans" w:eastAsia="Microsoft YaHei" w:cs="Mangal"/>
      <w:sz w:val="28"/>
      <w:szCs w:val="28"/>
    </w:rPr>
  </w:style>
  <w:style w:type="paragraph" w:styleId="Ttulo17" w:customStyle="1">
    <w:name w:val="Título17"/>
    <w:basedOn w:val="Normal"/>
    <w:next w:val="Corpodotexto"/>
    <w:qFormat/>
    <w:pPr>
      <w:keepNext w:val="true"/>
      <w:spacing w:before="240" w:after="120"/>
    </w:pPr>
    <w:rPr>
      <w:rFonts w:ascii="Liberation Sans" w:hAnsi="Liberation Sans" w:eastAsia="Microsoft YaHei" w:cs="Mangal"/>
      <w:sz w:val="28"/>
      <w:szCs w:val="28"/>
    </w:rPr>
  </w:style>
  <w:style w:type="paragraph" w:styleId="Ttulo16" w:customStyle="1">
    <w:name w:val="Título16"/>
    <w:basedOn w:val="Normal"/>
    <w:next w:val="Corpodotexto"/>
    <w:qFormat/>
    <w:pPr>
      <w:keepNext w:val="true"/>
      <w:spacing w:before="240" w:after="120"/>
    </w:pPr>
    <w:rPr>
      <w:rFonts w:ascii="Liberation Sans" w:hAnsi="Liberation Sans" w:eastAsia="Microsoft YaHei" w:cs="Mangal"/>
      <w:sz w:val="28"/>
      <w:szCs w:val="28"/>
    </w:rPr>
  </w:style>
  <w:style w:type="paragraph" w:styleId="Ttulo15" w:customStyle="1">
    <w:name w:val="Título15"/>
    <w:basedOn w:val="Normal"/>
    <w:next w:val="Corpodotexto"/>
    <w:qFormat/>
    <w:pPr>
      <w:keepNext w:val="true"/>
      <w:spacing w:before="240" w:after="120"/>
    </w:pPr>
    <w:rPr>
      <w:rFonts w:ascii="Liberation Sans" w:hAnsi="Liberation Sans" w:eastAsia="Microsoft YaHei" w:cs="Mangal"/>
      <w:sz w:val="28"/>
      <w:szCs w:val="28"/>
    </w:rPr>
  </w:style>
  <w:style w:type="paragraph" w:styleId="Ttulo14" w:customStyle="1">
    <w:name w:val="Título14"/>
    <w:basedOn w:val="Normal"/>
    <w:next w:val="Corpodotexto"/>
    <w:qFormat/>
    <w:pPr>
      <w:keepNext w:val="true"/>
      <w:spacing w:before="240" w:after="120"/>
    </w:pPr>
    <w:rPr>
      <w:rFonts w:ascii="Liberation Sans" w:hAnsi="Liberation Sans" w:eastAsia="Microsoft YaHei" w:cs="Mangal"/>
      <w:sz w:val="28"/>
      <w:szCs w:val="28"/>
    </w:rPr>
  </w:style>
  <w:style w:type="paragraph" w:styleId="Ttulo13" w:customStyle="1">
    <w:name w:val="Título13"/>
    <w:basedOn w:val="Normal"/>
    <w:next w:val="Corpodotexto"/>
    <w:qFormat/>
    <w:pPr>
      <w:keepNext w:val="true"/>
      <w:spacing w:before="240" w:after="120"/>
    </w:pPr>
    <w:rPr>
      <w:rFonts w:ascii="Liberation Sans" w:hAnsi="Liberation Sans" w:eastAsia="Microsoft YaHei" w:cs="Mangal"/>
      <w:sz w:val="28"/>
      <w:szCs w:val="28"/>
    </w:rPr>
  </w:style>
  <w:style w:type="paragraph" w:styleId="Ttulo12" w:customStyle="1">
    <w:name w:val="Título12"/>
    <w:basedOn w:val="Normal"/>
    <w:next w:val="Corpodotexto"/>
    <w:qFormat/>
    <w:pPr>
      <w:keepNext w:val="true"/>
      <w:spacing w:before="240" w:after="120"/>
    </w:pPr>
    <w:rPr>
      <w:rFonts w:ascii="Liberation Sans" w:hAnsi="Liberation Sans" w:eastAsia="Microsoft YaHei" w:cs="Mangal"/>
      <w:sz w:val="28"/>
      <w:szCs w:val="28"/>
    </w:rPr>
  </w:style>
  <w:style w:type="paragraph" w:styleId="Ttulo11" w:customStyle="1">
    <w:name w:val="Título11"/>
    <w:basedOn w:val="Normal"/>
    <w:next w:val="Corpodotexto"/>
    <w:qFormat/>
    <w:pPr>
      <w:keepNext w:val="true"/>
      <w:spacing w:before="240" w:after="120"/>
    </w:pPr>
    <w:rPr>
      <w:rFonts w:ascii="Liberation Sans" w:hAnsi="Liberation Sans" w:eastAsia="Microsoft YaHei" w:cs="Mangal"/>
      <w:sz w:val="28"/>
      <w:szCs w:val="28"/>
    </w:rPr>
  </w:style>
  <w:style w:type="paragraph" w:styleId="Ttulo10" w:customStyle="1">
    <w:name w:val="Título10"/>
    <w:basedOn w:val="Normal"/>
    <w:next w:val="Corpodotexto"/>
    <w:qFormat/>
    <w:pPr>
      <w:keepNext w:val="true"/>
      <w:spacing w:before="240" w:after="120"/>
    </w:pPr>
    <w:rPr>
      <w:rFonts w:ascii="Liberation Sans" w:hAnsi="Liberation Sans" w:eastAsia="Microsoft YaHei" w:cs="Mangal"/>
      <w:sz w:val="28"/>
      <w:szCs w:val="28"/>
    </w:rPr>
  </w:style>
  <w:style w:type="paragraph" w:styleId="Ttulo910" w:customStyle="1">
    <w:name w:val="Título9"/>
    <w:basedOn w:val="Normal"/>
    <w:next w:val="Corpodotexto"/>
    <w:qFormat/>
    <w:pPr>
      <w:keepNext w:val="true"/>
      <w:spacing w:before="240" w:after="120"/>
    </w:pPr>
    <w:rPr>
      <w:rFonts w:ascii="Liberation Sans" w:hAnsi="Liberation Sans" w:eastAsia="Microsoft YaHei" w:cs="Mangal"/>
      <w:sz w:val="28"/>
      <w:szCs w:val="28"/>
    </w:rPr>
  </w:style>
  <w:style w:type="paragraph" w:styleId="Ttulo810" w:customStyle="1">
    <w:name w:val="Título8"/>
    <w:basedOn w:val="Normal"/>
    <w:next w:val="Corpodotexto"/>
    <w:qFormat/>
    <w:pPr>
      <w:keepNext w:val="true"/>
      <w:spacing w:before="240" w:after="120"/>
    </w:pPr>
    <w:rPr>
      <w:rFonts w:ascii="Liberation Sans" w:hAnsi="Liberation Sans" w:eastAsia="Microsoft YaHei" w:cs="Mangal"/>
      <w:sz w:val="28"/>
      <w:szCs w:val="28"/>
    </w:rPr>
  </w:style>
  <w:style w:type="paragraph" w:styleId="Ttulo710" w:customStyle="1">
    <w:name w:val="Título7"/>
    <w:basedOn w:val="Normal"/>
    <w:next w:val="Corpodotexto"/>
    <w:qFormat/>
    <w:pPr>
      <w:keepNext w:val="true"/>
      <w:spacing w:before="240" w:after="120"/>
    </w:pPr>
    <w:rPr>
      <w:rFonts w:ascii="Liberation Sans" w:hAnsi="Liberation Sans" w:eastAsia="Microsoft YaHei" w:cs="Mangal"/>
      <w:sz w:val="28"/>
      <w:szCs w:val="28"/>
    </w:rPr>
  </w:style>
  <w:style w:type="paragraph" w:styleId="Ttulo610" w:customStyle="1">
    <w:name w:val="Título6"/>
    <w:basedOn w:val="Normal"/>
    <w:next w:val="Corpodotexto"/>
    <w:qFormat/>
    <w:pPr>
      <w:keepNext w:val="true"/>
      <w:spacing w:before="240" w:after="120"/>
    </w:pPr>
    <w:rPr>
      <w:rFonts w:ascii="Liberation Sans" w:hAnsi="Liberation Sans" w:eastAsia="Microsoft YaHei" w:cs="Mangal"/>
      <w:sz w:val="28"/>
      <w:szCs w:val="28"/>
    </w:rPr>
  </w:style>
  <w:style w:type="paragraph" w:styleId="Ttulo510" w:customStyle="1">
    <w:name w:val="Título5"/>
    <w:basedOn w:val="Normal"/>
    <w:next w:val="Corpodotexto"/>
    <w:qFormat/>
    <w:pPr>
      <w:keepNext w:val="true"/>
      <w:spacing w:before="240" w:after="120"/>
    </w:pPr>
    <w:rPr>
      <w:rFonts w:ascii="Liberation Sans" w:hAnsi="Liberation Sans" w:eastAsia="Microsoft YaHei" w:cs="Mangal"/>
      <w:sz w:val="28"/>
      <w:szCs w:val="28"/>
    </w:rPr>
  </w:style>
  <w:style w:type="paragraph" w:styleId="Ttulo410" w:customStyle="1">
    <w:name w:val="Título4"/>
    <w:basedOn w:val="Normal"/>
    <w:next w:val="Corpodotexto"/>
    <w:qFormat/>
    <w:pPr>
      <w:keepNext w:val="true"/>
      <w:spacing w:before="240" w:after="120"/>
    </w:pPr>
    <w:rPr>
      <w:rFonts w:ascii="Liberation Sans" w:hAnsi="Liberation Sans" w:eastAsia="Microsoft YaHei" w:cs="Mangal"/>
      <w:sz w:val="28"/>
      <w:szCs w:val="28"/>
    </w:rPr>
  </w:style>
  <w:style w:type="paragraph" w:styleId="Ttulo310" w:customStyle="1">
    <w:name w:val="Título3"/>
    <w:basedOn w:val="Normal"/>
    <w:next w:val="Corpodotexto"/>
    <w:qFormat/>
    <w:pPr>
      <w:keepNext w:val="true"/>
      <w:spacing w:before="240" w:after="120"/>
    </w:pPr>
    <w:rPr>
      <w:rFonts w:ascii="Arial" w:hAnsi="Arial" w:eastAsia="Microsoft YaHei" w:cs="Mangal"/>
      <w:sz w:val="28"/>
      <w:szCs w:val="28"/>
    </w:rPr>
  </w:style>
  <w:style w:type="paragraph" w:styleId="Ttulo210" w:customStyle="1">
    <w:name w:val="Título2"/>
    <w:basedOn w:val="Normal"/>
    <w:next w:val="Corpodotexto"/>
    <w:qFormat/>
    <w:pPr>
      <w:widowControl w:val="false"/>
      <w:spacing w:before="10" w:after="0"/>
      <w:jc w:val="center"/>
    </w:pPr>
    <w:rPr>
      <w:b/>
      <w:bCs/>
      <w:sz w:val="32"/>
      <w:szCs w:val="32"/>
    </w:rPr>
  </w:style>
  <w:style w:type="paragraph" w:styleId="CabealhoeRodap" w:customStyle="1">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rPr>
      <w:lang w:val="x-none"/>
    </w:rPr>
  </w:style>
  <w:style w:type="paragraph" w:styleId="Rodap">
    <w:name w:val="Footer"/>
    <w:basedOn w:val="Normal"/>
    <w:pPr/>
    <w:rPr/>
  </w:style>
  <w:style w:type="paragraph" w:styleId="Corpodotextorecuado">
    <w:name w:val="Body Text Indent"/>
    <w:basedOn w:val="Corpodotexto"/>
    <w:unhideWhenUsed/>
    <w:qFormat/>
    <w:rsid w:val="002a576f"/>
    <w:pPr>
      <w:spacing w:before="0" w:after="0"/>
      <w:ind w:firstLine="360"/>
    </w:pPr>
    <w:rPr/>
  </w:style>
  <w:style w:type="paragraph" w:styleId="Notaderodap">
    <w:name w:val="Footnote Text"/>
    <w:basedOn w:val="Normal"/>
    <w:pPr/>
    <w:rPr/>
  </w:style>
  <w:style w:type="paragraph" w:styleId="Recuodecorpodetexto22" w:customStyle="1">
    <w:name w:val="Recuo de corpo de texto 22"/>
    <w:basedOn w:val="Normal"/>
    <w:qFormat/>
    <w:pPr>
      <w:spacing w:lineRule="auto" w:line="480" w:before="0" w:after="120"/>
      <w:ind w:left="283" w:hanging="0"/>
    </w:pPr>
    <w:rPr>
      <w:sz w:val="24"/>
      <w:szCs w:val="24"/>
    </w:rPr>
  </w:style>
  <w:style w:type="paragraph" w:styleId="TextosemFormatao1" w:customStyle="1">
    <w:name w:val="Texto sem Formatação1"/>
    <w:basedOn w:val="Normal"/>
    <w:qFormat/>
    <w:pPr>
      <w:spacing w:before="280" w:after="280"/>
    </w:pPr>
    <w:rPr>
      <w:sz w:val="24"/>
      <w:szCs w:val="24"/>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styleId="Msonospacing" w:customStyle="1">
    <w:name w:val="msonospacing"/>
    <w:basedOn w:val="Normal"/>
    <w:qFormat/>
    <w:pPr>
      <w:spacing w:before="280" w:after="280"/>
    </w:pPr>
    <w:rPr>
      <w:sz w:val="24"/>
      <w:szCs w:val="24"/>
    </w:rPr>
  </w:style>
  <w:style w:type="paragraph" w:styleId="Commarcadores1" w:customStyle="1">
    <w:name w:val="Com marcadores1"/>
    <w:basedOn w:val="Normal"/>
    <w:qFormat/>
    <w:pPr/>
    <w:rPr>
      <w:sz w:val="24"/>
      <w:szCs w:val="24"/>
    </w:rPr>
  </w:style>
  <w:style w:type="paragraph" w:styleId="Ttulo133" w:customStyle="1">
    <w:name w:val="Título1"/>
    <w:basedOn w:val="Normal"/>
    <w:next w:val="Corpodotexto"/>
    <w:qFormat/>
    <w:pPr>
      <w:keepNext w:val="true"/>
      <w:spacing w:before="240" w:after="120"/>
    </w:pPr>
    <w:rPr>
      <w:rFonts w:ascii="Arial" w:hAnsi="Arial" w:eastAsia="SimSun" w:cs="Tahoma"/>
      <w:sz w:val="28"/>
      <w:szCs w:val="28"/>
    </w:rPr>
  </w:style>
  <w:style w:type="paragraph" w:styleId="Legenda1" w:customStyle="1">
    <w:name w:val="Legenda1"/>
    <w:basedOn w:val="Normal"/>
    <w:qFormat/>
    <w:pPr>
      <w:suppressLineNumbers/>
      <w:spacing w:before="120" w:after="120"/>
    </w:pPr>
    <w:rPr>
      <w:rFonts w:cs="Tahoma"/>
      <w:i/>
      <w:iCs/>
      <w:sz w:val="24"/>
      <w:szCs w:val="24"/>
    </w:rPr>
  </w:style>
  <w:style w:type="paragraph" w:styleId="Corpodetexto21" w:customStyle="1">
    <w:name w:val="Corpo de texto 21"/>
    <w:basedOn w:val="Normal"/>
    <w:qFormat/>
    <w:pPr>
      <w:spacing w:lineRule="auto" w:line="480" w:before="0" w:after="120"/>
    </w:pPr>
    <w:rPr>
      <w:sz w:val="24"/>
      <w:szCs w:val="24"/>
    </w:rPr>
  </w:style>
  <w:style w:type="paragraph" w:styleId="Recuodecorpodetexto21" w:customStyle="1">
    <w:name w:val="Recuo de corpo de texto 21"/>
    <w:basedOn w:val="Normal"/>
    <w:qFormat/>
    <w:pPr>
      <w:spacing w:lineRule="auto" w:line="480" w:before="0" w:after="120"/>
      <w:ind w:left="283" w:hanging="0"/>
    </w:pPr>
    <w:rPr>
      <w:sz w:val="24"/>
      <w:szCs w:val="24"/>
    </w:rPr>
  </w:style>
  <w:style w:type="paragraph" w:styleId="Recuodecorpodetexto31" w:customStyle="1">
    <w:name w:val="Recuo de corpo de texto 31"/>
    <w:basedOn w:val="Normal"/>
    <w:qFormat/>
    <w:pPr>
      <w:spacing w:before="0" w:after="120"/>
      <w:ind w:left="283" w:hanging="0"/>
    </w:pPr>
    <w:rPr>
      <w:sz w:val="16"/>
      <w:szCs w:val="16"/>
    </w:rPr>
  </w:style>
  <w:style w:type="paragraph" w:styleId="Corpodetexto31" w:customStyle="1">
    <w:name w:val="Corpo de texto 31"/>
    <w:basedOn w:val="Normal"/>
    <w:qFormat/>
    <w:pPr>
      <w:spacing w:lineRule="atLeast" w:line="240"/>
      <w:jc w:val="both"/>
      <w:textAlignment w:val="baseline"/>
    </w:pPr>
    <w:rPr>
      <w:sz w:val="24"/>
    </w:rPr>
  </w:style>
  <w:style w:type="paragraph" w:styleId="WW-Corpodetexto31" w:customStyle="1">
    <w:name w:val="WW-Corpo de texto 31"/>
    <w:basedOn w:val="Normal"/>
    <w:qFormat/>
    <w:pPr>
      <w:spacing w:lineRule="atLeast" w:line="240"/>
      <w:jc w:val="both"/>
    </w:pPr>
    <w:rPr>
      <w:sz w:val="24"/>
    </w:rPr>
  </w:style>
  <w:style w:type="paragraph" w:styleId="Style21" w:customStyle="1">
    <w:name w:val="Style2"/>
    <w:basedOn w:val="Normal"/>
    <w:qFormat/>
    <w:pPr>
      <w:jc w:val="both"/>
      <w:textAlignment w:val="baseline"/>
    </w:pPr>
    <w:rPr>
      <w:b/>
      <w:caps/>
      <w:sz w:val="24"/>
    </w:rPr>
  </w:style>
  <w:style w:type="paragraph" w:styleId="Textoembloco1" w:customStyle="1">
    <w:name w:val="Texto em bloco1"/>
    <w:basedOn w:val="Normal"/>
    <w:qFormat/>
    <w:pPr>
      <w:ind w:left="1418" w:right="-1" w:hanging="0"/>
      <w:jc w:val="both"/>
    </w:pPr>
    <w:rPr>
      <w:b/>
      <w:sz w:val="28"/>
    </w:rPr>
  </w:style>
  <w:style w:type="paragraph" w:styleId="Contedodetabela" w:customStyle="1">
    <w:name w:val="Conteúdo de tabela"/>
    <w:basedOn w:val="Normal"/>
    <w:qFormat/>
    <w:pPr>
      <w:suppressLineNumbers/>
    </w:pPr>
    <w:rPr>
      <w:sz w:val="24"/>
      <w:szCs w:val="24"/>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etabela"/>
    <w:qFormat/>
    <w:pPr>
      <w:jc w:val="center"/>
    </w:pPr>
    <w:rPr>
      <w:b/>
      <w:bCs/>
    </w:rPr>
  </w:style>
  <w:style w:type="paragraph" w:styleId="Contedodequadro" w:customStyle="1">
    <w:name w:val="Conteúdo de quadro"/>
    <w:basedOn w:val="Corpodotexto"/>
    <w:qFormat/>
    <w:pPr/>
    <w:rPr>
      <w:sz w:val="24"/>
      <w:szCs w:val="24"/>
    </w:rPr>
  </w:style>
  <w:style w:type="paragraph" w:styleId="Paragrafo" w:customStyle="1">
    <w:name w:val="Paragrafo"/>
    <w:basedOn w:val="Corpodotextorecuado"/>
    <w:qFormat/>
    <w:pPr>
      <w:ind w:left="1134" w:hanging="567"/>
    </w:pPr>
    <w:rPr>
      <w:rFonts w:ascii="Arial" w:hAnsi="Arial" w:cs="Arial"/>
    </w:rPr>
  </w:style>
  <w:style w:type="paragraph" w:styleId="Corpodetexto22" w:customStyle="1">
    <w:name w:val="Corpo de texto 22"/>
    <w:basedOn w:val="Normal"/>
    <w:qFormat/>
    <w:pPr>
      <w:spacing w:lineRule="auto" w:line="480" w:before="0" w:after="120"/>
    </w:pPr>
    <w:rPr>
      <w:sz w:val="24"/>
      <w:szCs w:val="24"/>
    </w:rPr>
  </w:style>
  <w:style w:type="paragraph" w:styleId="Recuodecorpodetexto32" w:customStyle="1">
    <w:name w:val="Recuo de corpo de texto 32"/>
    <w:basedOn w:val="Normal"/>
    <w:qFormat/>
    <w:pPr>
      <w:spacing w:before="0" w:after="120"/>
      <w:ind w:left="283" w:hanging="0"/>
    </w:pPr>
    <w:rPr>
      <w:sz w:val="16"/>
      <w:szCs w:val="16"/>
    </w:rPr>
  </w:style>
  <w:style w:type="paragraph" w:styleId="Corpo" w:customStyle="1">
    <w:name w:val="Corpo"/>
    <w:qFormat/>
    <w:pPr>
      <w:widowControl/>
      <w:suppressAutoHyphens w:val="true"/>
      <w:bidi w:val="0"/>
      <w:spacing w:before="0" w:after="0"/>
      <w:jc w:val="left"/>
    </w:pPr>
    <w:rPr>
      <w:rFonts w:ascii="Times New" w:hAnsi="Times New" w:cs="Times New" w:eastAsia="Times New Roman"/>
      <w:color w:val="auto"/>
      <w:kern w:val="2"/>
      <w:sz w:val="20"/>
      <w:szCs w:val="20"/>
      <w:lang w:eastAsia="zh-CN" w:val="pt-BR" w:bidi="ar-SA"/>
    </w:rPr>
  </w:style>
  <w:style w:type="paragraph" w:styleId="Xl24" w:customStyle="1">
    <w:name w:val="xl24"/>
    <w:basedOn w:val="Normal"/>
    <w:qFormat/>
    <w:pPr>
      <w:spacing w:before="280" w:after="280"/>
      <w:jc w:val="center"/>
    </w:pPr>
    <w:rPr>
      <w:sz w:val="16"/>
      <w:szCs w:val="16"/>
    </w:rPr>
  </w:style>
  <w:style w:type="paragraph" w:styleId="Xl25" w:customStyle="1">
    <w:name w:val="xl25"/>
    <w:basedOn w:val="Normal"/>
    <w:qFormat/>
    <w:pPr>
      <w:spacing w:before="280" w:after="280"/>
      <w:textAlignment w:val="center"/>
    </w:pPr>
    <w:rPr>
      <w:b/>
      <w:bCs/>
      <w:sz w:val="16"/>
      <w:szCs w:val="16"/>
    </w:rPr>
  </w:style>
  <w:style w:type="paragraph" w:styleId="Xl26" w:customStyle="1">
    <w:name w:val="xl26"/>
    <w:basedOn w:val="Normal"/>
    <w:qFormat/>
    <w:pPr>
      <w:spacing w:before="280" w:after="280"/>
    </w:pPr>
    <w:rPr>
      <w:sz w:val="16"/>
      <w:szCs w:val="16"/>
    </w:rPr>
  </w:style>
  <w:style w:type="paragraph" w:styleId="Xl27" w:customStyle="1">
    <w:name w:val="xl27"/>
    <w:basedOn w:val="Normal"/>
    <w:qFormat/>
    <w:pPr>
      <w:spacing w:before="280" w:after="280"/>
    </w:pPr>
    <w:rPr>
      <w:sz w:val="16"/>
      <w:szCs w:val="16"/>
    </w:rPr>
  </w:style>
  <w:style w:type="paragraph" w:styleId="Xl28" w:customStyle="1">
    <w:name w:val="xl28"/>
    <w:basedOn w:val="Normal"/>
    <w:qFormat/>
    <w:pPr>
      <w:spacing w:before="280" w:after="280"/>
      <w:jc w:val="center"/>
    </w:pPr>
    <w:rPr>
      <w:sz w:val="16"/>
      <w:szCs w:val="16"/>
    </w:rPr>
  </w:style>
  <w:style w:type="paragraph" w:styleId="Xl29" w:customStyle="1">
    <w:name w:val="xl29"/>
    <w:basedOn w:val="Normal"/>
    <w:qFormat/>
    <w:pPr>
      <w:spacing w:before="280" w:after="280"/>
      <w:jc w:val="center"/>
    </w:pPr>
    <w:rPr>
      <w:sz w:val="16"/>
      <w:szCs w:val="16"/>
    </w:rPr>
  </w:style>
  <w:style w:type="paragraph" w:styleId="Xl30" w:customStyle="1">
    <w:name w:val="xl30"/>
    <w:basedOn w:val="Normal"/>
    <w:qFormat/>
    <w:pPr>
      <w:spacing w:before="280" w:after="280"/>
      <w:jc w:val="center"/>
      <w:textAlignment w:val="center"/>
    </w:pPr>
    <w:rPr>
      <w:b/>
      <w:bCs/>
      <w:sz w:val="16"/>
      <w:szCs w:val="16"/>
    </w:rPr>
  </w:style>
  <w:style w:type="paragraph" w:styleId="Xl31" w:customStyle="1">
    <w:name w:val="xl31"/>
    <w:basedOn w:val="Normal"/>
    <w:qFormat/>
    <w:pPr>
      <w:spacing w:before="280" w:after="280"/>
      <w:jc w:val="center"/>
    </w:pPr>
    <w:rPr>
      <w:sz w:val="16"/>
      <w:szCs w:val="16"/>
    </w:rPr>
  </w:style>
  <w:style w:type="paragraph" w:styleId="Xl32" w:customStyle="1">
    <w:name w:val="xl32"/>
    <w:basedOn w:val="Normal"/>
    <w:qFormat/>
    <w:pPr>
      <w:spacing w:before="280" w:after="280"/>
    </w:pPr>
    <w:rPr>
      <w:sz w:val="16"/>
      <w:szCs w:val="16"/>
    </w:rPr>
  </w:style>
  <w:style w:type="paragraph" w:styleId="Xl33" w:customStyle="1">
    <w:name w:val="xl33"/>
    <w:basedOn w:val="Normal"/>
    <w:qFormat/>
    <w:pPr>
      <w:spacing w:before="280" w:after="280"/>
    </w:pPr>
    <w:rPr>
      <w:sz w:val="16"/>
      <w:szCs w:val="16"/>
    </w:rPr>
  </w:style>
  <w:style w:type="paragraph" w:styleId="Xl34" w:customStyle="1">
    <w:name w:val="xl34"/>
    <w:basedOn w:val="Normal"/>
    <w:qFormat/>
    <w:pPr>
      <w:spacing w:before="280" w:after="280"/>
      <w:jc w:val="center"/>
    </w:pPr>
    <w:rPr>
      <w:sz w:val="16"/>
      <w:szCs w:val="16"/>
    </w:rPr>
  </w:style>
  <w:style w:type="paragraph" w:styleId="Xl35" w:customStyle="1">
    <w:name w:val="xl35"/>
    <w:basedOn w:val="Normal"/>
    <w:qFormat/>
    <w:pPr>
      <w:spacing w:before="280" w:after="280"/>
      <w:jc w:val="center"/>
      <w:textAlignment w:val="center"/>
    </w:pPr>
    <w:rPr>
      <w:b/>
      <w:bCs/>
      <w:sz w:val="16"/>
      <w:szCs w:val="16"/>
    </w:rPr>
  </w:style>
  <w:style w:type="paragraph" w:styleId="Xl36" w:customStyle="1">
    <w:name w:val="xl36"/>
    <w:basedOn w:val="Normal"/>
    <w:qFormat/>
    <w:pPr>
      <w:spacing w:before="280" w:after="280"/>
    </w:pPr>
    <w:rPr>
      <w:b/>
      <w:bCs/>
      <w:sz w:val="16"/>
      <w:szCs w:val="16"/>
    </w:rPr>
  </w:style>
  <w:style w:type="paragraph" w:styleId="Xl37" w:customStyle="1">
    <w:name w:val="xl37"/>
    <w:basedOn w:val="Normal"/>
    <w:qFormat/>
    <w:pPr>
      <w:spacing w:before="280" w:after="280"/>
      <w:jc w:val="center"/>
    </w:pPr>
    <w:rPr>
      <w:b/>
      <w:bCs/>
      <w:sz w:val="16"/>
      <w:szCs w:val="16"/>
    </w:rPr>
  </w:style>
  <w:style w:type="paragraph" w:styleId="Xl38" w:customStyle="1">
    <w:name w:val="xl38"/>
    <w:basedOn w:val="Normal"/>
    <w:qFormat/>
    <w:pPr>
      <w:spacing w:before="280" w:after="280"/>
      <w:jc w:val="center"/>
    </w:pPr>
    <w:rPr>
      <w:b/>
      <w:bCs/>
      <w:sz w:val="16"/>
      <w:szCs w:val="16"/>
    </w:rPr>
  </w:style>
  <w:style w:type="paragraph" w:styleId="Xl39" w:customStyle="1">
    <w:name w:val="xl39"/>
    <w:basedOn w:val="Normal"/>
    <w:qFormat/>
    <w:pPr>
      <w:spacing w:before="280" w:after="280"/>
      <w:jc w:val="center"/>
    </w:pPr>
    <w:rPr>
      <w:b/>
      <w:bCs/>
      <w:sz w:val="16"/>
      <w:szCs w:val="16"/>
    </w:rPr>
  </w:style>
  <w:style w:type="paragraph" w:styleId="Xl40" w:customStyle="1">
    <w:name w:val="xl40"/>
    <w:basedOn w:val="Normal"/>
    <w:qFormat/>
    <w:pPr>
      <w:spacing w:before="280" w:after="280"/>
    </w:pPr>
    <w:rPr>
      <w:sz w:val="16"/>
      <w:szCs w:val="16"/>
    </w:rPr>
  </w:style>
  <w:style w:type="paragraph" w:styleId="Xl41" w:customStyle="1">
    <w:name w:val="xl41"/>
    <w:basedOn w:val="Normal"/>
    <w:qFormat/>
    <w:pPr>
      <w:spacing w:before="280" w:after="280"/>
    </w:pPr>
    <w:rPr>
      <w:sz w:val="16"/>
      <w:szCs w:val="16"/>
    </w:rPr>
  </w:style>
  <w:style w:type="paragraph" w:styleId="Xl42" w:customStyle="1">
    <w:name w:val="xl42"/>
    <w:basedOn w:val="Normal"/>
    <w:qFormat/>
    <w:pPr>
      <w:spacing w:before="280" w:after="280"/>
    </w:pPr>
    <w:rPr>
      <w:sz w:val="16"/>
      <w:szCs w:val="16"/>
    </w:rPr>
  </w:style>
  <w:style w:type="paragraph" w:styleId="Xl43" w:customStyle="1">
    <w:name w:val="xl43"/>
    <w:basedOn w:val="Normal"/>
    <w:qFormat/>
    <w:pPr>
      <w:spacing w:before="280" w:after="280"/>
      <w:jc w:val="center"/>
    </w:pPr>
    <w:rPr>
      <w:sz w:val="16"/>
      <w:szCs w:val="16"/>
    </w:rPr>
  </w:style>
  <w:style w:type="paragraph" w:styleId="Xl44" w:customStyle="1">
    <w:name w:val="xl44"/>
    <w:basedOn w:val="Normal"/>
    <w:qFormat/>
    <w:pPr>
      <w:spacing w:before="280" w:after="280"/>
      <w:jc w:val="center"/>
    </w:pPr>
    <w:rPr>
      <w:sz w:val="16"/>
      <w:szCs w:val="16"/>
    </w:rPr>
  </w:style>
  <w:style w:type="paragraph" w:styleId="Xl45" w:customStyle="1">
    <w:name w:val="xl45"/>
    <w:basedOn w:val="Normal"/>
    <w:qFormat/>
    <w:pPr>
      <w:spacing w:before="280" w:after="280"/>
    </w:pPr>
    <w:rPr>
      <w:sz w:val="16"/>
      <w:szCs w:val="16"/>
    </w:rPr>
  </w:style>
  <w:style w:type="paragraph" w:styleId="Xl46" w:customStyle="1">
    <w:name w:val="xl46"/>
    <w:basedOn w:val="Normal"/>
    <w:qFormat/>
    <w:pPr>
      <w:spacing w:before="280" w:after="280"/>
    </w:pPr>
    <w:rPr>
      <w:sz w:val="16"/>
      <w:szCs w:val="16"/>
    </w:rPr>
  </w:style>
  <w:style w:type="paragraph" w:styleId="Xl47" w:customStyle="1">
    <w:name w:val="xl47"/>
    <w:basedOn w:val="Normal"/>
    <w:qFormat/>
    <w:pPr>
      <w:spacing w:before="280" w:after="280"/>
    </w:pPr>
    <w:rPr>
      <w:sz w:val="16"/>
      <w:szCs w:val="16"/>
    </w:rPr>
  </w:style>
  <w:style w:type="paragraph" w:styleId="Xl48" w:customStyle="1">
    <w:name w:val="xl48"/>
    <w:basedOn w:val="Normal"/>
    <w:qFormat/>
    <w:pPr>
      <w:spacing w:before="280" w:after="280"/>
      <w:jc w:val="center"/>
    </w:pPr>
    <w:rPr>
      <w:sz w:val="16"/>
      <w:szCs w:val="16"/>
    </w:rPr>
  </w:style>
  <w:style w:type="paragraph" w:styleId="Xl49" w:customStyle="1">
    <w:name w:val="xl49"/>
    <w:basedOn w:val="Normal"/>
    <w:qFormat/>
    <w:pPr>
      <w:spacing w:before="280" w:after="280"/>
      <w:jc w:val="center"/>
    </w:pPr>
    <w:rPr>
      <w:sz w:val="16"/>
      <w:szCs w:val="16"/>
    </w:rPr>
  </w:style>
  <w:style w:type="paragraph" w:styleId="Xl50" w:customStyle="1">
    <w:name w:val="xl50"/>
    <w:basedOn w:val="Normal"/>
    <w:qFormat/>
    <w:pPr>
      <w:spacing w:before="280" w:after="280"/>
    </w:pPr>
    <w:rPr>
      <w:sz w:val="16"/>
      <w:szCs w:val="16"/>
    </w:rPr>
  </w:style>
  <w:style w:type="paragraph" w:styleId="Corpodetexto32" w:customStyle="1">
    <w:name w:val="Corpo de texto 32"/>
    <w:basedOn w:val="Normal"/>
    <w:qFormat/>
    <w:pPr>
      <w:spacing w:lineRule="atLeast" w:line="240"/>
      <w:jc w:val="both"/>
    </w:pPr>
    <w:rPr>
      <w:sz w:val="24"/>
    </w:rPr>
  </w:style>
  <w:style w:type="paragraph" w:styleId="PargrafodaLista1" w:customStyle="1">
    <w:name w:val="Parágrafo da Lista1"/>
    <w:basedOn w:val="Normal"/>
    <w:link w:val="PargrafodaListaChar"/>
    <w:qFormat/>
    <w:pPr>
      <w:spacing w:lineRule="auto" w:line="276" w:before="0" w:after="200"/>
      <w:ind w:left="720" w:hanging="0"/>
    </w:pPr>
    <w:rPr>
      <w:rFonts w:ascii="Calibri" w:hAnsi="Calibri" w:eastAsia="Calibri" w:cs="Calibri"/>
      <w:sz w:val="22"/>
      <w:szCs w:val="22"/>
    </w:rPr>
  </w:style>
  <w:style w:type="paragraph" w:styleId="Commarcadores21" w:customStyle="1">
    <w:name w:val="Com marcadores 21"/>
    <w:basedOn w:val="Normal"/>
    <w:qFormat/>
    <w:pPr>
      <w:ind w:left="566" w:hanging="283"/>
    </w:pPr>
    <w:rPr>
      <w:rFonts w:ascii="Arial" w:hAnsi="Arial" w:eastAsia="MS Mincho" w:cs="Arial"/>
    </w:rPr>
  </w:style>
  <w:style w:type="paragraph" w:styleId="Commarcadores41" w:customStyle="1">
    <w:name w:val="Com marcadores 41"/>
    <w:basedOn w:val="Normal"/>
    <w:qFormat/>
    <w:pPr>
      <w:ind w:left="1132" w:hanging="283"/>
    </w:pPr>
    <w:rPr>
      <w:rFonts w:ascii="Arial" w:hAnsi="Arial" w:cs="Arial"/>
    </w:rPr>
  </w:style>
  <w:style w:type="paragraph" w:styleId="Msolistparagraph" w:customStyle="1">
    <w:name w:val="msolistparagraph"/>
    <w:basedOn w:val="Normal"/>
    <w:qFormat/>
    <w:pPr>
      <w:spacing w:before="280" w:after="280"/>
    </w:pPr>
    <w:rPr>
      <w:sz w:val="24"/>
      <w:szCs w:val="24"/>
    </w:rPr>
  </w:style>
  <w:style w:type="paragraph" w:styleId="Pa1" w:customStyle="1">
    <w:name w:val="Pa1"/>
    <w:basedOn w:val="Normal"/>
    <w:next w:val="Normal"/>
    <w:qFormat/>
    <w:pPr>
      <w:spacing w:lineRule="atLeast" w:line="241"/>
    </w:pPr>
    <w:rPr>
      <w:rFonts w:ascii="Helvetica LT Light" w:hAnsi="Helvetica LT Light" w:eastAsia="Calibri" w:cs="Helvetica LT Light"/>
      <w:sz w:val="24"/>
      <w:szCs w:val="24"/>
    </w:rPr>
  </w:style>
  <w:style w:type="paragraph" w:styleId="N1" w:customStyle="1">
    <w:name w:val="n1"/>
    <w:basedOn w:val="Normal"/>
    <w:qFormat/>
    <w:pPr>
      <w:spacing w:before="240" w:after="0"/>
      <w:jc w:val="both"/>
    </w:pPr>
    <w:rPr>
      <w:rFonts w:ascii="Arial" w:hAnsi="Arial" w:cs="Arial"/>
    </w:rPr>
  </w:style>
  <w:style w:type="paragraph" w:styleId="P0" w:customStyle="1">
    <w:name w:val="p0"/>
    <w:basedOn w:val="Normal"/>
    <w:qFormat/>
    <w:pPr>
      <w:widowControl w:val="false"/>
      <w:spacing w:lineRule="atLeast" w:line="240"/>
      <w:jc w:val="both"/>
    </w:pPr>
    <w:rPr>
      <w:sz w:val="24"/>
    </w:rPr>
  </w:style>
  <w:style w:type="paragraph" w:styleId="Western" w:customStyle="1">
    <w:name w:val="western"/>
    <w:basedOn w:val="Normal"/>
    <w:qFormat/>
    <w:pPr>
      <w:spacing w:before="280" w:after="119"/>
    </w:pPr>
    <w:rPr>
      <w:sz w:val="24"/>
      <w:szCs w:val="24"/>
    </w:rPr>
  </w:style>
  <w:style w:type="paragraph" w:styleId="Timesnew" w:customStyle="1">
    <w:name w:val="times new"/>
    <w:basedOn w:val="Corpo"/>
    <w:qFormat/>
    <w:pPr>
      <w:jc w:val="both"/>
    </w:pPr>
    <w:rPr/>
  </w:style>
  <w:style w:type="paragraph" w:styleId="Notadefim">
    <w:name w:val="Endnote Text"/>
    <w:basedOn w:val="Normal"/>
    <w:pPr/>
    <w:rPr/>
  </w:style>
  <w:style w:type="paragraph" w:styleId="LINHA" w:customStyle="1">
    <w:name w:val="LINHA"/>
    <w:qFormat/>
    <w:pPr>
      <w:widowControl/>
      <w:tabs>
        <w:tab w:val="clear" w:pos="709"/>
        <w:tab w:val="left" w:pos="1800" w:leader="underscore"/>
        <w:tab w:val="right" w:pos="5400" w:leader="dot"/>
      </w:tabs>
      <w:suppressAutoHyphens w:val="true"/>
      <w:bidi w:val="0"/>
      <w:spacing w:before="0" w:after="0"/>
      <w:jc w:val="both"/>
    </w:pPr>
    <w:rPr>
      <w:rFonts w:ascii="Courier New" w:hAnsi="Courier New" w:eastAsia="Calibri" w:cs="Courier New"/>
      <w:color w:val="000000"/>
      <w:kern w:val="2"/>
      <w:sz w:val="20"/>
      <w:szCs w:val="20"/>
      <w:lang w:eastAsia="zh-CN" w:val="pt-BR" w:bidi="ar-SA"/>
    </w:rPr>
  </w:style>
  <w:style w:type="paragraph" w:styleId="Contedodoquadro" w:customStyle="1">
    <w:name w:val="Conteúdo do quadro"/>
    <w:basedOn w:val="Corpodotexto"/>
    <w:qFormat/>
    <w:pPr/>
    <w:rPr/>
  </w:style>
  <w:style w:type="paragraph" w:styleId="WW-Padro" w:customStyle="1">
    <w:name w:val="WW-Padrão"/>
    <w:qFormat/>
    <w:pPr>
      <w:widowControl/>
      <w:tabs>
        <w:tab w:val="clear" w:pos="709"/>
        <w:tab w:val="left" w:pos="708" w:leader="none"/>
      </w:tabs>
      <w:suppressAutoHyphens w:val="true"/>
      <w:bidi w:val="0"/>
      <w:spacing w:lineRule="auto" w:line="276" w:before="0" w:after="200"/>
      <w:jc w:val="left"/>
    </w:pPr>
    <w:rPr>
      <w:rFonts w:ascii="Times New Roman" w:hAnsi="Times New Roman" w:eastAsia="Times New Roman" w:cs="Times New Roman"/>
      <w:color w:val="auto"/>
      <w:kern w:val="2"/>
      <w:sz w:val="20"/>
      <w:szCs w:val="20"/>
      <w:lang w:eastAsia="zh-CN" w:val="pt-BR" w:bidi="ar-SA"/>
    </w:rPr>
  </w:style>
  <w:style w:type="paragraph" w:styleId="Corpodetexto23" w:customStyle="1">
    <w:name w:val="Corpo de texto 23"/>
    <w:basedOn w:val="Normal"/>
    <w:qFormat/>
    <w:pPr>
      <w:spacing w:lineRule="auto" w:line="480" w:before="0" w:after="120"/>
    </w:pPr>
    <w:rPr>
      <w:lang w:val="x-none"/>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pt-BR" w:bidi="ar-SA"/>
    </w:rPr>
  </w:style>
  <w:style w:type="paragraph" w:styleId="Default" w:customStyle="1">
    <w:name w:val="Default"/>
    <w:qFormat/>
    <w:pPr>
      <w:widowControl/>
      <w:suppressAutoHyphens w:val="true"/>
      <w:bidi w:val="0"/>
      <w:spacing w:before="0" w:after="0"/>
      <w:jc w:val="left"/>
    </w:pPr>
    <w:rPr>
      <w:rFonts w:ascii="Conduit ITC Light" w:hAnsi="Conduit ITC Light" w:cs="Conduit ITC Light" w:eastAsia="Times New Roman"/>
      <w:color w:val="000000"/>
      <w:kern w:val="2"/>
      <w:sz w:val="24"/>
      <w:szCs w:val="24"/>
      <w:lang w:eastAsia="zh-CN" w:val="pt-BR" w:bidi="ar-SA"/>
    </w:rPr>
  </w:style>
  <w:style w:type="paragraph" w:styleId="Pa6" w:customStyle="1">
    <w:name w:val="Pa6"/>
    <w:basedOn w:val="Default"/>
    <w:next w:val="Default"/>
    <w:qFormat/>
    <w:pPr>
      <w:spacing w:lineRule="atLeast" w:line="281"/>
    </w:pPr>
    <w:rPr>
      <w:rFonts w:cs="Times New Roman"/>
    </w:rPr>
  </w:style>
  <w:style w:type="paragraph" w:styleId="Pa5" w:customStyle="1">
    <w:name w:val="Pa5"/>
    <w:basedOn w:val="Default"/>
    <w:next w:val="Default"/>
    <w:qFormat/>
    <w:pPr>
      <w:spacing w:lineRule="atLeast" w:line="191"/>
    </w:pPr>
    <w:rPr>
      <w:rFonts w:cs="Times New Roman"/>
    </w:rPr>
  </w:style>
  <w:style w:type="paragraph" w:styleId="Pa7" w:customStyle="1">
    <w:name w:val="Pa7"/>
    <w:basedOn w:val="Default"/>
    <w:next w:val="Default"/>
    <w:qFormat/>
    <w:pPr>
      <w:spacing w:lineRule="atLeast" w:line="191"/>
    </w:pPr>
    <w:rPr>
      <w:rFonts w:cs="Times New Roman"/>
    </w:rPr>
  </w:style>
  <w:style w:type="paragraph" w:styleId="Corpodetexto24" w:customStyle="1">
    <w:name w:val="Corpo de texto 24"/>
    <w:basedOn w:val="Normal"/>
    <w:qFormat/>
    <w:pPr>
      <w:suppressAutoHyphens w:val="false"/>
      <w:spacing w:lineRule="auto" w:line="480" w:before="0" w:after="120"/>
    </w:pPr>
    <w:rPr/>
  </w:style>
  <w:style w:type="paragraph" w:styleId="DivisodeTabelas" w:customStyle="1">
    <w:name w:val="Divisão de Tabelas"/>
    <w:basedOn w:val="Normal"/>
    <w:qFormat/>
    <w:pPr>
      <w:spacing w:lineRule="exact" w:line="20"/>
    </w:pPr>
    <w:rPr/>
  </w:style>
  <w:style w:type="paragraph" w:styleId="Corpodetexto33" w:customStyle="1">
    <w:name w:val="Corpo de texto 33"/>
    <w:basedOn w:val="Normal"/>
    <w:qFormat/>
    <w:pPr>
      <w:spacing w:lineRule="atLeast" w:line="240"/>
      <w:jc w:val="both"/>
    </w:pPr>
    <w:rPr/>
  </w:style>
  <w:style w:type="paragraph" w:styleId="Corpodetexto25" w:customStyle="1">
    <w:name w:val="Corpo de texto 25"/>
    <w:basedOn w:val="Normal"/>
    <w:qFormat/>
    <w:pPr>
      <w:spacing w:lineRule="auto" w:line="480" w:before="0" w:after="120"/>
    </w:pPr>
    <w:rPr>
      <w:lang w:val="x-none"/>
    </w:rPr>
  </w:style>
  <w:style w:type="paragraph" w:styleId="M280028546984662926m-5196658709604815041gmail-msonormal" w:customStyle="1">
    <w:name w:val="m_280028546984662926m_-5196658709604815041gmail-msonormal"/>
    <w:basedOn w:val="Normal"/>
    <w:qFormat/>
    <w:pPr>
      <w:suppressAutoHyphens w:val="false"/>
      <w:spacing w:before="280" w:after="280"/>
    </w:pPr>
    <w:rPr>
      <w:sz w:val="24"/>
      <w:szCs w:val="24"/>
    </w:rPr>
  </w:style>
  <w:style w:type="paragraph" w:styleId="Standard" w:customStyle="1">
    <w:name w:val="Standard"/>
    <w:qFormat/>
    <w:rsid w:val="00a74525"/>
    <w:pPr>
      <w:widowControl/>
      <w:suppressAutoHyphens w:val="true"/>
      <w:bidi w:val="0"/>
      <w:spacing w:before="0" w:after="0"/>
      <w:jc w:val="left"/>
      <w:textAlignment w:val="baseline"/>
    </w:pPr>
    <w:rPr>
      <w:rFonts w:ascii="Arial" w:hAnsi="Arial" w:cs="Arial" w:eastAsia="Times New Roman"/>
      <w:color w:val="auto"/>
      <w:kern w:val="2"/>
      <w:sz w:val="24"/>
      <w:szCs w:val="24"/>
      <w:lang w:eastAsia="zh-CN" w:val="pt-BR" w:bidi="ar-SA"/>
    </w:rPr>
  </w:style>
  <w:style w:type="paragraph" w:styleId="PargrafodaLista2" w:customStyle="1">
    <w:name w:val="Parágrafo da Lista2"/>
    <w:basedOn w:val="Normal"/>
    <w:qFormat/>
    <w:pPr>
      <w:spacing w:before="0" w:after="200"/>
      <w:ind w:left="720" w:hanging="0"/>
      <w:contextualSpacing/>
    </w:pPr>
    <w:rPr>
      <w:szCs w:val="24"/>
    </w:rPr>
  </w:style>
  <w:style w:type="paragraph" w:styleId="Corpodetexto26" w:customStyle="1">
    <w:name w:val="Corpo de texto 26"/>
    <w:basedOn w:val="Normal"/>
    <w:qFormat/>
    <w:pPr>
      <w:jc w:val="both"/>
    </w:pPr>
    <w:rPr>
      <w:color w:val="0000FF"/>
    </w:rPr>
  </w:style>
  <w:style w:type="paragraph" w:styleId="Corpodetexto27" w:customStyle="1">
    <w:name w:val="Corpo de texto 27"/>
    <w:basedOn w:val="Normal"/>
    <w:qFormat/>
    <w:pPr>
      <w:jc w:val="center"/>
    </w:pPr>
    <w:rPr>
      <w:b/>
    </w:rPr>
  </w:style>
  <w:style w:type="paragraph" w:styleId="SemEspaamento1" w:customStyle="1">
    <w:name w:val="Sem Espaçamento1"/>
    <w:qFormat/>
    <w:pPr>
      <w:widowControl/>
      <w:suppressAutoHyphens w:val="true"/>
      <w:bidi w:val="0"/>
      <w:spacing w:before="0" w:after="0"/>
      <w:jc w:val="left"/>
    </w:pPr>
    <w:rPr>
      <w:rFonts w:eastAsia="SimSun" w:ascii="Times New Roman" w:hAnsi="Times New Roman" w:cs="Times New Roman"/>
      <w:color w:val="auto"/>
      <w:kern w:val="2"/>
      <w:sz w:val="24"/>
      <w:szCs w:val="21"/>
      <w:lang w:eastAsia="zh-CN" w:bidi="hi-IN" w:val="pt-BR"/>
    </w:rPr>
  </w:style>
  <w:style w:type="paragraph" w:styleId="Textbodyindent" w:customStyle="1">
    <w:name w:val="Text body indent"/>
    <w:basedOn w:val="Normal"/>
    <w:link w:val="PrimeirorecuodecorpodetextoChar"/>
    <w:qFormat/>
    <w:pPr>
      <w:spacing w:before="0" w:after="120"/>
      <w:ind w:left="283" w:hanging="0"/>
      <w:textAlignment w:val="baseline"/>
    </w:pPr>
    <w:rPr>
      <w:rFonts w:ascii="Arial" w:hAnsi="Arial" w:cs="Arial"/>
      <w:sz w:val="24"/>
      <w:szCs w:val="24"/>
    </w:rPr>
  </w:style>
  <w:style w:type="paragraph" w:styleId="Annotationtext">
    <w:name w:val="annotation text"/>
    <w:basedOn w:val="Normal"/>
    <w:link w:val="TextodecomentrioChar"/>
    <w:unhideWhenUsed/>
    <w:qFormat/>
    <w:rsid w:val="00312428"/>
    <w:pPr>
      <w:suppressAutoHyphens w:val="false"/>
    </w:pPr>
    <w:rPr>
      <w:rFonts w:ascii="Ecofont_Spranq_eco_Sans" w:hAnsi="Ecofont_Spranq_eco_Sans" w:eastAsia="MS Mincho" w:cs="Tahoma"/>
      <w:kern w:val="0"/>
      <w:lang w:eastAsia="pt-BR"/>
    </w:rPr>
  </w:style>
  <w:style w:type="paragraph" w:styleId="Nivel01" w:customStyle="1">
    <w:name w:val="Nivel 01"/>
    <w:basedOn w:val="Ttulo1"/>
    <w:next w:val="Normal"/>
    <w:link w:val="Nivel01Char"/>
    <w:qFormat/>
    <w:rsid w:val="00f901db"/>
    <w:pPr>
      <w:keepLines/>
      <w:numPr>
        <w:ilvl w:val="0"/>
        <w:numId w:val="2"/>
      </w:numPr>
      <w:tabs>
        <w:tab w:val="clear" w:pos="709"/>
        <w:tab w:val="left" w:pos="567" w:leader="none"/>
      </w:tabs>
      <w:suppressAutoHyphens w:val="false"/>
      <w:spacing w:before="240" w:after="0"/>
      <w:jc w:val="both"/>
    </w:pPr>
    <w:rPr>
      <w:rFonts w:eastAsia="MS Gothic"/>
      <w:kern w:val="0"/>
      <w:sz w:val="20"/>
      <w:szCs w:val="20"/>
      <w:lang w:eastAsia="pt-BR"/>
    </w:rPr>
  </w:style>
  <w:style w:type="paragraph" w:styleId="Nivel2" w:customStyle="1">
    <w:name w:val="Nivel 2"/>
    <w:basedOn w:val="Normal"/>
    <w:link w:val="Nivel2Char"/>
    <w:qFormat/>
    <w:rsid w:val="00f901db"/>
    <w:pPr>
      <w:numPr>
        <w:ilvl w:val="1"/>
        <w:numId w:val="2"/>
      </w:numPr>
      <w:suppressAutoHyphens w:val="false"/>
      <w:spacing w:lineRule="auto" w:line="276" w:before="120" w:after="120"/>
      <w:jc w:val="both"/>
    </w:pPr>
    <w:rPr>
      <w:rFonts w:ascii="Arial" w:hAnsi="Arial" w:eastAsia="MS Mincho" w:cs="Arial"/>
      <w:color w:val="000000"/>
      <w:kern w:val="0"/>
      <w:lang w:eastAsia="pt-BR"/>
    </w:rPr>
  </w:style>
  <w:style w:type="paragraph" w:styleId="Nivel3" w:customStyle="1">
    <w:name w:val="Nivel 3"/>
    <w:basedOn w:val="Normal"/>
    <w:link w:val="Nivel3Char"/>
    <w:qFormat/>
    <w:rsid w:val="00f901db"/>
    <w:pPr>
      <w:numPr>
        <w:ilvl w:val="2"/>
        <w:numId w:val="2"/>
      </w:numPr>
      <w:suppressAutoHyphens w:val="false"/>
      <w:spacing w:lineRule="auto" w:line="276" w:before="120" w:after="120"/>
      <w:jc w:val="both"/>
    </w:pPr>
    <w:rPr>
      <w:rFonts w:ascii="Arial" w:hAnsi="Arial" w:eastAsia="MS Mincho" w:cs="Arial"/>
      <w:color w:val="000000"/>
      <w:kern w:val="0"/>
      <w:lang w:eastAsia="pt-BR"/>
    </w:rPr>
  </w:style>
  <w:style w:type="paragraph" w:styleId="Nivel4" w:customStyle="1">
    <w:name w:val="Nivel 4"/>
    <w:basedOn w:val="Nivel3"/>
    <w:link w:val="Nivel4Char"/>
    <w:qFormat/>
    <w:rsid w:val="00f901db"/>
    <w:pPr/>
    <w:rPr>
      <w:color w:val="auto"/>
    </w:rPr>
  </w:style>
  <w:style w:type="paragraph" w:styleId="Nivel5" w:customStyle="1">
    <w:name w:val="Nivel 5"/>
    <w:basedOn w:val="Nivel4"/>
    <w:qFormat/>
    <w:rsid w:val="00f901db"/>
    <w:pPr/>
    <w:rPr/>
  </w:style>
  <w:style w:type="paragraph" w:styleId="Citao2" w:customStyle="1">
    <w:name w:val="citação 2"/>
    <w:basedOn w:val="Quote"/>
    <w:link w:val="Citao2Char"/>
    <w:qFormat/>
    <w:rsid w:val="00f901db"/>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ind w:left="0" w:right="0" w:hanging="0"/>
      <w:jc w:val="both"/>
    </w:pPr>
    <w:rPr>
      <w:rFonts w:ascii="Arial" w:hAnsi="Arial" w:eastAsia="Calibri" w:cs="Tahoma"/>
      <w:color w:val="000000"/>
      <w:kern w:val="0"/>
      <w:lang w:eastAsia="en-US"/>
    </w:rPr>
  </w:style>
  <w:style w:type="paragraph" w:styleId="Quote">
    <w:name w:val="Quote"/>
    <w:basedOn w:val="Normal"/>
    <w:next w:val="Normal"/>
    <w:link w:val="CitaoChar"/>
    <w:qFormat/>
    <w:rsid w:val="00f901db"/>
    <w:pPr>
      <w:spacing w:before="200" w:after="160"/>
      <w:ind w:left="864" w:right="864" w:hanging="0"/>
      <w:jc w:val="center"/>
    </w:pPr>
    <w:rPr>
      <w:i/>
      <w:iCs/>
      <w:color w:val="404040"/>
    </w:rPr>
  </w:style>
  <w:style w:type="paragraph" w:styleId="Annotationsubject">
    <w:name w:val="annotation subject"/>
    <w:basedOn w:val="Annotationtext"/>
    <w:next w:val="Annotationtext"/>
    <w:link w:val="AssuntodocomentrioChar"/>
    <w:uiPriority w:val="99"/>
    <w:semiHidden/>
    <w:unhideWhenUsed/>
    <w:qFormat/>
    <w:rsid w:val="00c03f04"/>
    <w:pPr>
      <w:suppressAutoHyphens w:val="true"/>
    </w:pPr>
    <w:rPr>
      <w:rFonts w:ascii="Times New Roman" w:hAnsi="Times New Roman" w:eastAsia="Times New Roman" w:cs="Times New Roman"/>
      <w:b/>
      <w:bCs/>
      <w:kern w:val="2"/>
      <w:lang w:eastAsia="zh-CN"/>
    </w:rPr>
  </w:style>
  <w:style w:type="paragraph" w:styleId="Nvel2-Red" w:customStyle="1">
    <w:name w:val="Nível 2 -Red"/>
    <w:basedOn w:val="Nivel2"/>
    <w:link w:val="Nvel2-RedChar"/>
    <w:qFormat/>
    <w:rsid w:val="00602823"/>
    <w:pPr>
      <w:numPr>
        <w:ilvl w:val="0"/>
        <w:numId w:val="0"/>
      </w:numPr>
      <w:tabs>
        <w:tab w:val="clear" w:pos="709"/>
        <w:tab w:val="left" w:pos="0" w:leader="none"/>
      </w:tabs>
    </w:pPr>
    <w:rPr>
      <w:rFonts w:eastAsia="Times New Roman"/>
      <w:i/>
      <w:iCs/>
      <w:color w:val="FF0000"/>
    </w:rPr>
  </w:style>
  <w:style w:type="paragraph" w:styleId="Ou" w:customStyle="1">
    <w:name w:val="ou"/>
    <w:basedOn w:val="PargrafodaLista1"/>
    <w:link w:val="OuChar"/>
    <w:qFormat/>
    <w:rsid w:val="00602823"/>
    <w:pPr>
      <w:suppressAutoHyphens w:val="false"/>
      <w:spacing w:lineRule="auto" w:line="259" w:before="60" w:after="60"/>
      <w:ind w:left="0" w:hanging="0"/>
      <w:jc w:val="center"/>
    </w:pPr>
    <w:rPr>
      <w:rFonts w:ascii="Arial" w:hAnsi="Arial" w:cs="Arial"/>
      <w:b/>
      <w:bCs/>
      <w:i/>
      <w:iCs/>
      <w:color w:val="FF0000"/>
      <w:kern w:val="0"/>
      <w:u w:val="single"/>
      <w:lang w:eastAsia="pt-BR"/>
    </w:rPr>
  </w:style>
  <w:style w:type="paragraph" w:styleId="Nvel3-R" w:customStyle="1">
    <w:name w:val="Nível 3-R"/>
    <w:basedOn w:val="Nivel3"/>
    <w:link w:val="Nvel3-RChar"/>
    <w:qFormat/>
    <w:rsid w:val="008c4767"/>
    <w:pPr>
      <w:numPr>
        <w:ilvl w:val="0"/>
        <w:numId w:val="0"/>
      </w:numPr>
      <w:ind w:left="284" w:hanging="0"/>
    </w:pPr>
    <w:rPr>
      <w:rFonts w:eastAsia="Times New Roman"/>
      <w:i/>
      <w:iCs/>
      <w:color w:val="FF0000"/>
    </w:rPr>
  </w:style>
  <w:style w:type="paragraph" w:styleId="Textbody" w:customStyle="1">
    <w:name w:val="Text body"/>
    <w:basedOn w:val="Standard"/>
    <w:link w:val="CorpodetextoChar1"/>
    <w:qFormat/>
    <w:rsid w:val="00a74525"/>
    <w:pPr>
      <w:spacing w:before="0" w:after="120"/>
    </w:pPr>
    <w:rPr>
      <w:rFonts w:ascii="Calibri" w:hAnsi="Calibri" w:eastAsia="NSimSun" w:cs="Calibri"/>
      <w:sz w:val="22"/>
      <w:szCs w:val="22"/>
    </w:rPr>
  </w:style>
  <w:style w:type="paragraph" w:styleId="LO-normal" w:customStyle="1">
    <w:name w:val="LO-normal"/>
    <w:qFormat/>
    <w:rsid w:val="00a74525"/>
    <w:pPr>
      <w:widowControl/>
      <w:suppressAutoHyphens w:val="true"/>
      <w:bidi w:val="0"/>
      <w:spacing w:before="0" w:after="0"/>
      <w:jc w:val="left"/>
    </w:pPr>
    <w:rPr>
      <w:rFonts w:ascii="Liberation Serif" w:hAnsi="Liberation Serif" w:eastAsia="Liberation Serif" w:cs="Liberation Serif"/>
      <w:color w:val="auto"/>
      <w:kern w:val="0"/>
      <w:sz w:val="24"/>
      <w:szCs w:val="24"/>
      <w:lang w:eastAsia="zh-CN" w:bidi="hi-IN" w:val="pt-BR"/>
    </w:rPr>
  </w:style>
  <w:style w:type="paragraph" w:styleId="ListParagraph">
    <w:name w:val="List Paragraph"/>
    <w:basedOn w:val="Normal"/>
    <w:qFormat/>
    <w:rsid w:val="000830ed"/>
    <w:pPr>
      <w:spacing w:before="0" w:after="0"/>
      <w:ind w:left="720" w:hanging="0"/>
      <w:contextualSpacing/>
    </w:pPr>
    <w:rPr/>
  </w:style>
  <w:style w:type="paragraph" w:styleId="Dou-paragraph" w:customStyle="1">
    <w:name w:val="dou-paragraph"/>
    <w:basedOn w:val="Standard"/>
    <w:qFormat/>
    <w:rsid w:val="00060972"/>
    <w:pPr>
      <w:spacing w:before="280" w:after="280"/>
    </w:pPr>
    <w:rPr>
      <w:rFonts w:ascii="Times New Roman" w:hAnsi="Times New Roman" w:cs="Times New Roman"/>
      <w:kern w:val="0"/>
      <w:lang w:eastAsia="pt-BR"/>
    </w:rPr>
  </w:style>
  <w:style w:type="paragraph" w:styleId="ListNumber2">
    <w:name w:val="List Number 2"/>
    <w:basedOn w:val="Normal"/>
    <w:unhideWhenUsed/>
    <w:qFormat/>
    <w:rsid w:val="002a576f"/>
    <w:pPr>
      <w:numPr>
        <w:ilvl w:val="0"/>
        <w:numId w:val="13"/>
      </w:numPr>
      <w:spacing w:before="0" w:after="0"/>
      <w:contextualSpacing/>
    </w:pPr>
    <w:rPr/>
  </w:style>
  <w:style w:type="paragraph" w:styleId="ListNumber3">
    <w:name w:val="List Number 3"/>
    <w:basedOn w:val="Normal"/>
    <w:unhideWhenUsed/>
    <w:qFormat/>
    <w:rsid w:val="002a576f"/>
    <w:pPr>
      <w:numPr>
        <w:ilvl w:val="0"/>
        <w:numId w:val="14"/>
      </w:numPr>
      <w:spacing w:before="0" w:after="0"/>
      <w:contextualSpacing/>
    </w:pPr>
    <w:rPr/>
  </w:style>
  <w:style w:type="paragraph" w:styleId="ListNumber">
    <w:name w:val="List Number"/>
    <w:basedOn w:val="Normal"/>
    <w:unhideWhenUsed/>
    <w:qFormat/>
    <w:rsid w:val="002a576f"/>
    <w:pPr>
      <w:numPr>
        <w:ilvl w:val="0"/>
        <w:numId w:val="15"/>
      </w:numPr>
      <w:spacing w:before="0" w:after="0"/>
      <w:contextualSpacing/>
    </w:pPr>
    <w:rPr/>
  </w:style>
  <w:style w:type="paragraph" w:styleId="Listarecuada" w:customStyle="1">
    <w:name w:val="Lista recuada"/>
    <w:basedOn w:val="Corpodotexto"/>
    <w:qFormat/>
    <w:rsid w:val="0016437c"/>
    <w:pPr>
      <w:widowControl w:val="false"/>
      <w:tabs>
        <w:tab w:val="clear" w:pos="709"/>
        <w:tab w:val="left" w:pos="0" w:leader="none"/>
      </w:tabs>
      <w:spacing w:lineRule="auto" w:line="288" w:before="0" w:after="140"/>
      <w:ind w:left="2835" w:hanging="2551"/>
    </w:pPr>
    <w:rPr>
      <w:rFonts w:ascii="Arial" w:hAnsi="Arial" w:eastAsia="SimSun" w:cs="Arial"/>
      <w:szCs w:val="24"/>
      <w:lang w:bidi="hi-IN"/>
    </w:rPr>
  </w:style>
  <w:style w:type="paragraph" w:styleId="TableParagraph" w:customStyle="1">
    <w:name w:val="Table Paragraph"/>
    <w:basedOn w:val="Normal"/>
    <w:qFormat/>
    <w:rsid w:val="0016437c"/>
    <w:pPr>
      <w:widowControl w:val="false"/>
      <w:spacing w:before="138" w:after="0"/>
      <w:ind w:left="21" w:hanging="0"/>
    </w:pPr>
    <w:rPr>
      <w:rFonts w:ascii="Carlito" w:hAnsi="Carlito" w:eastAsia="Carlito" w:cs="Carlito"/>
      <w:szCs w:val="24"/>
      <w:lang w:val="pt-PT"/>
    </w:rPr>
  </w:style>
  <w:style w:type="numbering" w:styleId="NoList" w:default="1">
    <w:name w:val="No List"/>
    <w:uiPriority w:val="99"/>
    <w:semiHidden/>
    <w:unhideWhenUsed/>
    <w:qFormat/>
  </w:style>
  <w:style w:type="numbering" w:styleId="WW8Num2" w:customStyle="1">
    <w:name w:val="WW8Num2"/>
    <w:qFormat/>
    <w:rsid w:val="00a74525"/>
  </w:style>
  <w:style w:type="numbering" w:styleId="WW8Num3" w:customStyle="1">
    <w:name w:val="WW8Num3"/>
    <w:qFormat/>
    <w:rsid w:val="00a74525"/>
  </w:style>
  <w:style w:type="numbering" w:styleId="WW8Num4" w:customStyle="1">
    <w:name w:val="WW8Num4"/>
    <w:qFormat/>
    <w:rsid w:val="00a74525"/>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_ato2019-2022/2021/lei/L14133.htm" TargetMode="External"/><Relationship Id="rId3" Type="http://schemas.openxmlformats.org/officeDocument/2006/relationships/hyperlink" Target="http://www.bbmnetlicitacoes.com.br/" TargetMode="External"/><Relationship Id="rId4" Type="http://schemas.openxmlformats.org/officeDocument/2006/relationships/hyperlink" Target="http://www.bbmnetlicitacoes.com.br/" TargetMode="External"/><Relationship Id="rId5" Type="http://schemas.openxmlformats.org/officeDocument/2006/relationships/hyperlink" Target="http://www.bbmnetlicitacoes.com.br/" TargetMode="External"/><Relationship Id="rId6" Type="http://schemas.openxmlformats.org/officeDocument/2006/relationships/hyperlink" Target="https://www.planalto.gov.br/ccivil_03/constituicao/constituicaocompilado.htm" TargetMode="External"/><Relationship Id="rId7" Type="http://schemas.openxmlformats.org/officeDocument/2006/relationships/hyperlink" Target="http://www.planalto.gov.br/ccivil_03/_ato2019-2022/2021/lei/L14133.htm" TargetMode="External"/><Relationship Id="rId8" Type="http://schemas.openxmlformats.org/officeDocument/2006/relationships/hyperlink" Target="http://www.bbmnetlicitacoes.com.br/" TargetMode="External"/><Relationship Id="rId9" Type="http://schemas.openxmlformats.org/officeDocument/2006/relationships/hyperlink" Target="https://www.gov.br/empresas-enegocios/pt-br/empreendedor" TargetMode="External"/><Relationship Id="rId10" Type="http://schemas.openxmlformats.org/officeDocument/2006/relationships/hyperlink" Target="https://www.planalto.gov.br/ccivil_03/_ato2015-2018/2015/decreto/d8539.htm" TargetMode="External"/><Relationship Id="rId11" Type="http://schemas.openxmlformats.org/officeDocument/2006/relationships/hyperlink" Target="https://www.planalto.gov.br/ccivil_03/_ato2015-2018/2016/decreto/d8660.htm" TargetMode="External"/><Relationship Id="rId12" Type="http://schemas.openxmlformats.org/officeDocument/2006/relationships/hyperlink" Target="http://www.planalto.gov.br/ccivil_03/_ato2019-2022/2021/lei/L14133.htm" TargetMode="External"/><Relationship Id="rId13" Type="http://schemas.openxmlformats.org/officeDocument/2006/relationships/hyperlink" Target="https://www.gov.br/compras/pt-br/acesso-a-informacao/legislacao/instrucoes-normativas/instrucao-normativa-seges-me-no-73-de-30-de-setembro-de-2022" TargetMode="External"/><Relationship Id="rId14" Type="http://schemas.openxmlformats.org/officeDocument/2006/relationships/hyperlink" Target="http://www.planalto.gov.br/ccivil_03/_ato2019-2022/2021/lei/L14133.htm" TargetMode="External"/><Relationship Id="rId15" Type="http://schemas.openxmlformats.org/officeDocument/2006/relationships/hyperlink" Target="mailto:garagemmunicipal@adm.itatiba.sp.gov.br" TargetMode="External"/><Relationship Id="rId16" Type="http://schemas.openxmlformats.org/officeDocument/2006/relationships/hyperlink" Target="https://www.planalto.gov.br/ccivil_03/leis/l8078compilado.htm" TargetMode="External"/><Relationship Id="rId17"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_ato2011-2014/2013/lei/l12846.htm" TargetMode="External"/><Relationship Id="rId20" Type="http://schemas.openxmlformats.org/officeDocument/2006/relationships/hyperlink" Target="http://www.planalto.gov.br/ccivil_03/_ato2019-2022/2021/lei/L14133.htm%25art159" TargetMode="External"/><Relationship Id="rId21" Type="http://schemas.openxmlformats.org/officeDocument/2006/relationships/hyperlink" Target="https://www.gov.br/compras/pt-br/acesso-a-informacao/legislacao/instrucoes-normativas/instrucao-normativa-seges-me-no-26-de-13-de-abril-de-2022" TargetMode="External"/><Relationship Id="rId22"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8078compilado.htm" TargetMode="External"/><Relationship Id="rId25" Type="http://schemas.openxmlformats.org/officeDocument/2006/relationships/hyperlink" Target="http://www.bbmnetlicitacoes.com.br/" TargetMode="External"/><Relationship Id="rId26" Type="http://schemas.openxmlformats.org/officeDocument/2006/relationships/hyperlink" Target="http://www.itatiba.sp.gov.br/" TargetMode="External"/><Relationship Id="rId27" Type="http://schemas.openxmlformats.org/officeDocument/2006/relationships/hyperlink" Target="http://www.bbmnetlicitacoes.com.br/" TargetMode="External"/><Relationship Id="rId28" Type="http://schemas.openxmlformats.org/officeDocument/2006/relationships/header" Target="header1.xml"/><Relationship Id="rId29" Type="http://schemas.openxmlformats.org/officeDocument/2006/relationships/footer" Target="footer1.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Relationship Id="rId34"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52448-F67F-41FC-A2B7-7417FD458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Application>LibreOffice/7.5.9.2$Windows_X86_64 LibreOffice_project/cdeefe45c17511d326101eed8008ac4092f278a9</Application>
  <AppVersion>15.0000</AppVersion>
  <Pages>77</Pages>
  <Words>21369</Words>
  <Characters>121868</Characters>
  <CharactersWithSpaces>142809</CharactersWithSpaces>
  <Paragraphs>3017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2024-11-21T12:00:00Z</dcterms:created>
  <dc:creator>eportella</dc:creator>
  <dc:description/>
  <dc:language>pt-BR</dc:language>
  <cp:lastModifiedBy/>
  <cp:lastPrinted>2024-11-21T13:09:00Z</cp:lastPrinted>
  <dcterms:modified xsi:type="dcterms:W3CDTF">2024-11-22T12:44:35Z</dcterms:modified>
  <cp:revision>5</cp:revision>
  <dc:subject/>
  <dc:title> </dc:title>
</cp:coreProperties>
</file>

<file path=docProps/custom.xml><?xml version="1.0" encoding="utf-8"?>
<Properties xmlns="http://schemas.openxmlformats.org/officeDocument/2006/custom-properties" xmlns:vt="http://schemas.openxmlformats.org/officeDocument/2006/docPropsVTypes"/>
</file>