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117</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150</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medicamento e suplementos.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R$ 2.227.382,63 (dois milhões, duzentos e vinte e sete mil, trezentos e oitenta e dois reais e sessenta e três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05</w:t>
      </w:r>
      <w:r>
        <w:rPr>
          <w:rFonts w:cs="Arial" w:ascii="Arial" w:hAnsi="Arial"/>
          <w:b/>
          <w:bCs/>
          <w:sz w:val="22"/>
          <w:szCs w:val="22"/>
        </w:rPr>
        <w:t xml:space="preserve"> de </w:t>
      </w:r>
      <w:r>
        <w:rPr>
          <w:rFonts w:cs="Arial" w:ascii="Arial" w:hAnsi="Arial"/>
          <w:b/>
          <w:bCs/>
          <w:sz w:val="22"/>
          <w:szCs w:val="22"/>
        </w:rPr>
        <w:t>dezembro</w:t>
      </w:r>
      <w:r>
        <w:rPr>
          <w:rFonts w:cs="Arial" w:ascii="Arial" w:hAnsi="Arial"/>
          <w:b/>
          <w:bCs/>
          <w:sz w:val="22"/>
          <w:szCs w:val="22"/>
        </w:rPr>
        <w:t xml:space="preserve"> de 2024</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05</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2024</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05</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2024</w:t>
      </w:r>
      <w:r>
        <w:rPr>
          <w:rFonts w:cs="Arial" w:ascii="Arial" w:hAnsi="Arial"/>
          <w:sz w:val="22"/>
          <w:szCs w:val="22"/>
        </w:rPr>
        <w:tab/>
        <w:tab/>
        <w:t>09horas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05</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2024</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ind w:right="-54" w:hanging="0"/>
        <w:rPr>
          <w:rFonts w:ascii="Arial" w:hAnsi="Arial" w:cs="Arial"/>
          <w:b/>
          <w:bCs/>
          <w:sz w:val="22"/>
          <w:szCs w:val="22"/>
        </w:rPr>
      </w:pPr>
      <w:r>
        <w:rPr>
          <w:rFonts w:cs="Arial" w:ascii="Arial" w:hAnsi="Arial"/>
          <w:b/>
          <w:bCs/>
          <w:sz w:val="22"/>
          <w:szCs w:val="22"/>
        </w:rPr>
      </w:r>
    </w:p>
    <w:p>
      <w:pPr>
        <w:pStyle w:val="Normal"/>
        <w:spacing w:lineRule="auto" w:line="360"/>
        <w:ind w:right="-54" w:hanging="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hanging="0"/>
        <w:rPr>
          <w:rFonts w:ascii="Arial" w:hAnsi="Arial" w:cs="Arial"/>
          <w:b/>
          <w:bCs/>
          <w:sz w:val="22"/>
          <w:szCs w:val="22"/>
        </w:rPr>
      </w:pPr>
      <w:r>
        <w:rPr>
          <w:rFonts w:cs="Arial" w:ascii="Arial" w:hAnsi="Arial"/>
          <w:b/>
          <w:bCs/>
          <w:sz w:val="22"/>
          <w:szCs w:val="22"/>
        </w:rPr>
        <w:t>SECRETARIA DA SAÚDE</w:t>
      </w:r>
    </w:p>
    <w:p>
      <w:pPr>
        <w:pStyle w:val="Normal"/>
        <w:spacing w:lineRule="auto" w:line="360"/>
        <w:ind w:right="-54" w:hanging="0"/>
        <w:rPr>
          <w:rFonts w:ascii="Arial" w:hAnsi="Arial" w:cs="Arial"/>
          <w:b/>
          <w:bCs/>
          <w:sz w:val="22"/>
          <w:szCs w:val="22"/>
        </w:rPr>
      </w:pPr>
      <w:r>
        <w:rPr>
          <w:rFonts w:cs="Arial" w:ascii="Arial" w:hAnsi="Arial"/>
          <w:b/>
          <w:bCs/>
          <w:sz w:val="22"/>
          <w:szCs w:val="22"/>
        </w:rPr>
        <w:t>PROCESSO ADMINISTRATIVO Nº 7.609/2024</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117</w:t>
      </w:r>
      <w:r>
        <w:rPr>
          <w:rFonts w:cs="Arial" w:ascii="Arial" w:hAnsi="Arial"/>
          <w:b/>
          <w:sz w:val="22"/>
          <w:szCs w:val="22"/>
        </w:rPr>
        <w:t>/2024</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150</w:t>
      </w:r>
      <w:r>
        <w:rPr>
          <w:rFonts w:cs="Arial" w:ascii="Arial" w:hAnsi="Arial"/>
          <w:b/>
          <w:sz w:val="22"/>
          <w:szCs w:val="22"/>
        </w:rPr>
        <w:t>/2024</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napToGrid w:val="false"/>
        <w:spacing w:lineRule="auto" w:line="360" w:before="288" w:after="288"/>
        <w:ind w:firstLine="567"/>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SAÚDE,</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LinkdaInternet"/>
            <w:rFonts w:cs="Arial" w:ascii="Arial" w:hAnsi="Arial"/>
            <w:sz w:val="22"/>
            <w:szCs w:val="22"/>
          </w:rPr>
          <w:t>Lei nº 14.133/2021</w:t>
        </w:r>
      </w:hyperlink>
      <w:r>
        <w:rPr>
          <w:rFonts w:cs="Arial" w:ascii="Arial" w:hAnsi="Arial"/>
          <w:sz w:val="22"/>
          <w:szCs w:val="22"/>
        </w:rPr>
        <w:t xml:space="preserve"> e Decretos 11.462/2023 e 7.999/2024, e demais legislação aplicável e, ainda, de acordo com as condições estabelecidas neste Edital.</w:t>
      </w:r>
    </w:p>
    <w:p>
      <w:pPr>
        <w:pStyle w:val="Nivel01"/>
        <w:numPr>
          <w:ilvl w:val="0"/>
          <w:numId w:val="5"/>
        </w:numPr>
        <w:spacing w:lineRule="auto" w:line="360" w:before="0" w:after="0"/>
        <w:ind w:left="0" w:hanging="0"/>
        <w:rPr>
          <w:sz w:val="22"/>
          <w:szCs w:val="22"/>
          <w:lang w:eastAsia="en-US"/>
        </w:rPr>
      </w:pPr>
      <w:r>
        <w:rPr>
          <w:sz w:val="22"/>
          <w:szCs w:val="22"/>
          <w:lang w:eastAsia="en-US"/>
        </w:rPr>
        <w:t>DO OBJETO</w:t>
      </w:r>
    </w:p>
    <w:p>
      <w:pPr>
        <w:pStyle w:val="Nivel2"/>
        <w:tabs>
          <w:tab w:val="clear" w:pos="0"/>
        </w:tabs>
        <w:spacing w:lineRule="auto" w:line="360" w:before="0" w:after="0"/>
        <w:ind w:left="0" w:hanging="0"/>
        <w:rPr/>
      </w:pPr>
      <w:r>
        <w:rPr>
          <w:sz w:val="22"/>
          <w:szCs w:val="22"/>
        </w:rPr>
        <w:t>1.1 - O objeto da presente licitação é o Registro de Preço, pelo prazo de 12 (doze) meses, para eventual aquisição de medicamento e suplementos, conforme condições, quantidades e exigências estabelecidas neste Edital e seus anexos.</w:t>
      </w:r>
    </w:p>
    <w:p>
      <w:pPr>
        <w:pStyle w:val="Nivel2"/>
        <w:numPr>
          <w:ilvl w:val="1"/>
          <w:numId w:val="15"/>
        </w:numPr>
        <w:spacing w:lineRule="auto" w:line="360" w:before="0" w:after="0"/>
        <w:ind w:left="0" w:hanging="0"/>
        <w:rPr/>
      </w:pPr>
      <w:r>
        <w:rPr>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left="0" w:hanging="0"/>
        <w:rPr>
          <w:sz w:val="22"/>
          <w:szCs w:val="22"/>
        </w:rPr>
      </w:pPr>
      <w:r>
        <w:rPr>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left="0" w:hanging="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tabs>
          <w:tab w:val="clear" w:pos="0"/>
        </w:tabs>
        <w:spacing w:lineRule="auto" w:line="360" w:before="0" w:after="0"/>
        <w:ind w:left="0" w:hanging="0"/>
        <w:rPr>
          <w:sz w:val="22"/>
          <w:szCs w:val="22"/>
        </w:rPr>
      </w:pPr>
      <w:r>
        <w:rPr>
          <w:sz w:val="22"/>
          <w:szCs w:val="22"/>
        </w:rPr>
        <w:t>1.5 – O objeto desta licitação será subsidiado com Recursos Próprios da Administração.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 PARTICIPAÇÃO NA LICITAÇÃO</w:t>
      </w:r>
    </w:p>
    <w:p>
      <w:pPr>
        <w:pStyle w:val="Nivel2"/>
        <w:numPr>
          <w:ilvl w:val="1"/>
          <w:numId w:val="5"/>
        </w:numPr>
        <w:spacing w:lineRule="auto" w:line="360" w:before="0" w:after="0"/>
        <w:ind w:left="0" w:hanging="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5"/>
        </w:numPr>
        <w:spacing w:lineRule="auto" w:line="360" w:before="0" w:after="0"/>
        <w:ind w:left="0" w:hanging="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5"/>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5"/>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5"/>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5"/>
        </w:numPr>
        <w:spacing w:lineRule="auto" w:line="360" w:before="0" w:after="0"/>
        <w:ind w:left="0" w:hanging="0"/>
        <w:rPr>
          <w:rFonts w:eastAsia="Times New Roman"/>
          <w:sz w:val="22"/>
          <w:szCs w:val="22"/>
        </w:rPr>
      </w:pPr>
      <w:bookmarkStart w:id="0" w:name="_Ref117000692"/>
      <w:r>
        <w:rPr>
          <w:rFonts w:eastAsia="Times New Roman"/>
          <w:sz w:val="22"/>
          <w:szCs w:val="22"/>
        </w:rPr>
        <w:t>Não poderão disputar esta licitação:</w:t>
      </w:r>
      <w:bookmarkEnd w:id="0"/>
    </w:p>
    <w:p>
      <w:pPr>
        <w:pStyle w:val="Normal"/>
        <w:numPr>
          <w:ilvl w:val="2"/>
          <w:numId w:val="5"/>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5"/>
        </w:numPr>
        <w:spacing w:lineRule="auto" w:line="360" w:before="0" w:after="0"/>
        <w:ind w:left="567" w:hanging="0"/>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5"/>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5"/>
        </w:numPr>
        <w:spacing w:lineRule="auto" w:line="360" w:before="0" w:after="0"/>
        <w:ind w:left="567" w:hanging="0"/>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5"/>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5"/>
        </w:numPr>
        <w:spacing w:lineRule="auto" w:line="360" w:before="0" w:after="0"/>
        <w:ind w:left="567" w:hanging="0"/>
        <w:rPr>
          <w:sz w:val="22"/>
          <w:szCs w:val="22"/>
        </w:rPr>
      </w:pPr>
      <w:bookmarkStart w:id="4" w:name="_Ref113962336"/>
      <w:r>
        <w:rPr>
          <w:sz w:val="22"/>
          <w:szCs w:val="22"/>
        </w:rPr>
        <w:t>agente público do órgão ou entidade licitante;</w:t>
      </w:r>
      <w:bookmarkEnd w:id="4"/>
    </w:p>
    <w:p>
      <w:pPr>
        <w:pStyle w:val="Normal"/>
        <w:numPr>
          <w:ilvl w:val="2"/>
          <w:numId w:val="5"/>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5"/>
        </w:numPr>
        <w:spacing w:lineRule="auto" w:line="360" w:before="0" w:after="0"/>
        <w:ind w:left="567" w:hanging="0"/>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left="0" w:hanging="0"/>
        <w:rPr>
          <w:sz w:val="22"/>
          <w:szCs w:val="22"/>
        </w:rPr>
      </w:pPr>
      <w:r>
        <w:rPr>
          <w:sz w:val="22"/>
          <w:szCs w:val="22"/>
        </w:rPr>
      </w:r>
      <w:bookmarkStart w:id="5" w:name="art14§2"/>
      <w:bookmarkStart w:id="6" w:name="art14§2"/>
      <w:bookmarkEnd w:id="6"/>
    </w:p>
    <w:p>
      <w:pPr>
        <w:pStyle w:val="Nivel01"/>
        <w:numPr>
          <w:ilvl w:val="0"/>
          <w:numId w:val="5"/>
        </w:numPr>
        <w:spacing w:lineRule="auto" w:line="360" w:before="0" w:after="0"/>
        <w:ind w:left="0" w:hanging="0"/>
        <w:rPr>
          <w:sz w:val="22"/>
          <w:szCs w:val="22"/>
        </w:rPr>
      </w:pPr>
      <w:r>
        <w:rPr>
          <w:sz w:val="22"/>
          <w:szCs w:val="22"/>
        </w:rPr>
        <w:t>DA APRESENTAÇÃO DA PROPOSTA E DOS DOCUMENTOS DE HABILITAÇÃO</w:t>
      </w:r>
    </w:p>
    <w:p>
      <w:pPr>
        <w:pStyle w:val="Nivel2"/>
        <w:numPr>
          <w:ilvl w:val="1"/>
          <w:numId w:val="5"/>
        </w:numPr>
        <w:spacing w:lineRule="auto" w:line="360" w:before="0" w:after="0"/>
        <w:ind w:left="0" w:hanging="0"/>
        <w:rPr>
          <w:sz w:val="22"/>
          <w:szCs w:val="22"/>
        </w:rPr>
      </w:pPr>
      <w:r>
        <w:rPr>
          <w:sz w:val="22"/>
          <w:szCs w:val="22"/>
        </w:rPr>
        <w:t>Na presente licitação, a fase de habilitação sucederá as fases de apresentação de propostas, lances e julgamento.</w:t>
      </w:r>
    </w:p>
    <w:p>
      <w:pPr>
        <w:pStyle w:val="Nivel2"/>
        <w:numPr>
          <w:ilvl w:val="1"/>
          <w:numId w:val="5"/>
        </w:numPr>
        <w:spacing w:lineRule="auto" w:line="360" w:before="0" w:after="0"/>
        <w:ind w:left="0" w:hanging="0"/>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5"/>
        </w:numPr>
        <w:spacing w:lineRule="auto" w:line="360" w:before="0" w:after="0"/>
        <w:ind w:left="0" w:hanging="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5"/>
        </w:numPr>
        <w:spacing w:lineRule="auto" w:line="360" w:before="0" w:after="0"/>
        <w:ind w:left="0" w:hanging="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5"/>
        </w:numPr>
        <w:spacing w:lineRule="auto" w:line="360" w:before="0" w:after="0"/>
        <w:ind w:left="0" w:hanging="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5"/>
        </w:numPr>
        <w:spacing w:lineRule="auto" w:line="360" w:before="0" w:after="0"/>
        <w:ind w:left="0" w:hanging="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5"/>
        </w:numPr>
        <w:spacing w:lineRule="auto" w:line="360" w:before="0" w:after="0"/>
        <w:ind w:left="0" w:hanging="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5"/>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5"/>
        </w:numPr>
        <w:spacing w:lineRule="auto" w:line="360" w:before="0" w:after="0"/>
        <w:ind w:left="567" w:hanging="0"/>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5"/>
        </w:numPr>
        <w:spacing w:lineRule="auto" w:line="360" w:before="0" w:after="0"/>
        <w:ind w:left="567" w:hanging="0"/>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5"/>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5"/>
        </w:numPr>
        <w:spacing w:lineRule="auto" w:line="360" w:before="0" w:after="0"/>
        <w:ind w:left="0" w:hanging="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0"/>
      <w:r>
        <w:rPr>
          <w:sz w:val="22"/>
          <w:szCs w:val="22"/>
        </w:rPr>
        <w:t xml:space="preserve"> </w:t>
      </w:r>
    </w:p>
    <w:p>
      <w:pPr>
        <w:pStyle w:val="Nivel2"/>
        <w:numPr>
          <w:ilvl w:val="1"/>
          <w:numId w:val="5"/>
        </w:numPr>
        <w:spacing w:lineRule="auto" w:line="360" w:before="0" w:after="0"/>
        <w:ind w:left="0" w:hanging="0"/>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5"/>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5"/>
        </w:numPr>
        <w:spacing w:lineRule="auto" w:line="360" w:before="0" w:after="0"/>
        <w:ind w:left="0" w:hanging="0"/>
        <w:rPr>
          <w:sz w:val="22"/>
          <w:szCs w:val="22"/>
        </w:rPr>
      </w:pPr>
      <w:r>
        <w:rPr>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5"/>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5"/>
        </w:numPr>
        <w:spacing w:lineRule="auto" w:line="360" w:before="0" w:after="0"/>
        <w:ind w:left="0" w:hanging="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5"/>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5"/>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5"/>
        </w:numPr>
        <w:spacing w:lineRule="auto" w:line="360" w:before="0" w:after="0"/>
        <w:ind w:left="567" w:hanging="0"/>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5"/>
        </w:numPr>
        <w:spacing w:lineRule="auto" w:line="360" w:before="0" w:after="0"/>
        <w:ind w:left="0" w:hanging="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5"/>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5"/>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5"/>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5"/>
        </w:numPr>
        <w:spacing w:lineRule="auto" w:line="360" w:before="0" w:after="0"/>
        <w:ind w:left="0" w:hanging="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5"/>
        </w:numPr>
        <w:spacing w:lineRule="auto" w:line="360" w:before="0" w:after="0"/>
        <w:ind w:left="0" w:hanging="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5"/>
        </w:numPr>
        <w:spacing w:lineRule="auto" w:line="360" w:before="0" w:after="0"/>
        <w:ind w:left="0" w:hanging="0"/>
        <w:rPr>
          <w:sz w:val="22"/>
          <w:szCs w:val="22"/>
        </w:rPr>
      </w:pPr>
      <w:r>
        <w:rPr>
          <w:sz w:val="22"/>
          <w:szCs w:val="22"/>
        </w:rPr>
        <w:t>DO PREENCHIMENTO DA PROPOSTA</w:t>
      </w:r>
    </w:p>
    <w:p>
      <w:pPr>
        <w:pStyle w:val="Nivel2"/>
        <w:numPr>
          <w:ilvl w:val="1"/>
          <w:numId w:val="5"/>
        </w:numPr>
        <w:spacing w:lineRule="auto" w:line="360" w:before="0" w:after="0"/>
        <w:ind w:left="0" w:hanging="0"/>
        <w:rPr/>
      </w:pPr>
      <w:r>
        <w:rPr>
          <w:sz w:val="22"/>
          <w:szCs w:val="22"/>
        </w:rPr>
        <w:t>O licitante deverá enviar sua proposta mediante o preenchimento, no sistema eletrônico, do campo: VALOR UNITÁRIO DO ITEM.</w:t>
      </w:r>
      <w:r>
        <w:rPr>
          <w:i/>
          <w:sz w:val="22"/>
          <w:szCs w:val="22"/>
        </w:rPr>
        <w:t xml:space="preserve"> </w:t>
      </w:r>
    </w:p>
    <w:p>
      <w:pPr>
        <w:pStyle w:val="Nivel2"/>
        <w:numPr>
          <w:ilvl w:val="1"/>
          <w:numId w:val="5"/>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5"/>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5"/>
        </w:numPr>
        <w:spacing w:lineRule="auto" w:line="360" w:before="0" w:after="0"/>
        <w:ind w:left="0" w:hanging="0"/>
        <w:rPr>
          <w:b/>
          <w:bCs/>
          <w:sz w:val="22"/>
          <w:szCs w:val="22"/>
        </w:rPr>
      </w:pPr>
      <w:r>
        <w:rPr>
          <w:b/>
          <w:bCs/>
          <w:sz w:val="22"/>
          <w:szCs w:val="22"/>
        </w:rPr>
        <w:t>Será permitido o preço com até 03 (três) casas após a vírgula.</w:t>
      </w:r>
    </w:p>
    <w:p>
      <w:pPr>
        <w:pStyle w:val="Nivel2"/>
        <w:numPr>
          <w:ilvl w:val="1"/>
          <w:numId w:val="5"/>
        </w:numPr>
        <w:spacing w:lineRule="auto" w:line="360" w:before="0" w:after="0"/>
        <w:ind w:left="0" w:hanging="0"/>
        <w:rPr>
          <w:b/>
          <w:bCs/>
          <w:sz w:val="22"/>
          <w:szCs w:val="22"/>
        </w:rPr>
      </w:pPr>
      <w:r>
        <w:rPr>
          <w:b/>
          <w:bCs/>
          <w:sz w:val="22"/>
          <w:szCs w:val="22"/>
        </w:rPr>
        <w:t>A licitante deverá aplicar o CAP – Coeficiente de Adequação de Preço, determinado pelo CMED (Câmara de Regulação do Mercado de Medicamentos) e atualizado anualmente, nos itens 3, 4, 9, 12, 13, 39, 40, 41, 49, 50, 53, 54, 74, 75, 76, 77, 78, 79 e 80.</w:t>
      </w:r>
    </w:p>
    <w:p>
      <w:pPr>
        <w:pStyle w:val="Nivel2"/>
        <w:numPr>
          <w:ilvl w:val="1"/>
          <w:numId w:val="5"/>
        </w:numPr>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5"/>
        </w:numPr>
        <w:spacing w:lineRule="auto" w:line="360" w:before="0" w:after="0"/>
        <w:ind w:left="0" w:hanging="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5"/>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5"/>
        </w:numPr>
        <w:spacing w:lineRule="auto" w:line="360" w:before="0" w:after="0"/>
        <w:ind w:left="0" w:hanging="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5"/>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ivel01"/>
        <w:numPr>
          <w:ilvl w:val="0"/>
          <w:numId w:val="7"/>
        </w:numPr>
        <w:spacing w:lineRule="auto" w:line="360" w:before="0" w:after="0"/>
        <w:ind w:left="0" w:hanging="11"/>
        <w:rPr/>
      </w:pPr>
      <w:r>
        <w:rPr>
          <w:b w:val="false"/>
          <w:bCs w:val="false"/>
          <w:sz w:val="22"/>
          <w:szCs w:val="22"/>
          <w:u w:val="single"/>
        </w:rPr>
        <w:t>Empresário individual</w:t>
      </w:r>
      <w:r>
        <w:rPr>
          <w:b w:val="false"/>
          <w:bCs w:val="false"/>
          <w:sz w:val="22"/>
          <w:szCs w:val="22"/>
        </w:rPr>
        <w:t>: inscrição no Registro Público de Empresas Mercantis, a cargo da Junta Comercial da respectiva sede;</w:t>
      </w:r>
    </w:p>
    <w:p>
      <w:pPr>
        <w:pStyle w:val="Nivel01"/>
        <w:numPr>
          <w:ilvl w:val="0"/>
          <w:numId w:val="7"/>
        </w:numPr>
        <w:spacing w:lineRule="auto" w:line="360" w:before="0" w:after="0"/>
        <w:ind w:left="0" w:hanging="11"/>
        <w:rPr/>
      </w:pPr>
      <w:r>
        <w:rPr>
          <w:b w:val="false"/>
          <w:bCs w:val="false"/>
          <w:sz w:val="22"/>
          <w:szCs w:val="22"/>
          <w:u w:val="single"/>
        </w:rPr>
        <w:t>Microempreendedor Individual</w:t>
      </w:r>
      <w:r>
        <w:rPr>
          <w:b w:val="false"/>
          <w:bCs w:val="false"/>
          <w:sz w:val="22"/>
          <w:szCs w:val="22"/>
        </w:rPr>
        <w:t xml:space="preserve"> - MEI: Certificado da Condição de Microempreendedor Individual - CCMEI, cuja aceitação ficará condicionada à verificação da autenticidade no sítio https://www.gov.br/empresas-enegocios/pt-br/empreendedor;</w:t>
      </w:r>
    </w:p>
    <w:p>
      <w:pPr>
        <w:pStyle w:val="Nivel01"/>
        <w:numPr>
          <w:ilvl w:val="0"/>
          <w:numId w:val="7"/>
        </w:numPr>
        <w:spacing w:lineRule="auto" w:line="360" w:before="0" w:after="0"/>
        <w:ind w:left="0" w:hanging="11"/>
        <w:rPr/>
      </w:pPr>
      <w:r>
        <w:rPr>
          <w:b w:val="false"/>
          <w:bCs w:val="false"/>
          <w:sz w:val="22"/>
          <w:szCs w:val="22"/>
          <w:u w:val="single"/>
        </w:rPr>
        <w:t>Sociedade empresária, sociedade limitada unipessoal – SLU</w:t>
      </w:r>
      <w:r>
        <w:rPr>
          <w:b w:val="false"/>
          <w:bCs w:val="false"/>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7"/>
        </w:numPr>
        <w:spacing w:lineRule="auto" w:line="360" w:before="0" w:after="0"/>
        <w:ind w:left="0" w:hanging="11"/>
        <w:rPr/>
      </w:pP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7"/>
        </w:numPr>
        <w:spacing w:lineRule="auto" w:line="360" w:before="0" w:after="0"/>
        <w:ind w:left="0" w:hanging="11"/>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7"/>
        </w:numPr>
        <w:spacing w:lineRule="auto" w:line="360" w:before="0" w:after="0"/>
        <w:ind w:left="0" w:hanging="11"/>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7"/>
        </w:numPr>
        <w:spacing w:lineRule="auto" w:line="360" w:before="0" w:after="0"/>
        <w:ind w:left="0" w:hanging="11"/>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hanging="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pPr>
      <w:r>
        <w:rPr>
          <w:rFonts w:cs="Arial" w:ascii="Arial" w:hAnsi="Arial"/>
          <w:color w:val="000000"/>
          <w:sz w:val="22"/>
          <w:szCs w:val="22"/>
        </w:rPr>
        <w:t xml:space="preserve">b) </w:t>
      </w:r>
      <w:r>
        <w:rPr>
          <w:rFonts w:cs="Arial" w:ascii="Arial" w:hAnsi="Arial"/>
          <w:b/>
          <w:sz w:val="22"/>
          <w:szCs w:val="22"/>
        </w:rPr>
        <w:t>Comprovante de Autorização de Funcionamento da empresa participante conforme portaria 3765/98;</w:t>
      </w:r>
    </w:p>
    <w:p>
      <w:pPr>
        <w:pStyle w:val="Normal"/>
        <w:spacing w:lineRule="auto" w:line="360"/>
        <w:ind w:right="-57" w:hanging="0"/>
        <w:jc w:val="both"/>
        <w:rPr>
          <w:rFonts w:ascii="Arial" w:hAnsi="Arial" w:cs="Arial"/>
          <w:b/>
          <w:bCs/>
          <w:color w:val="000000"/>
          <w:sz w:val="22"/>
          <w:szCs w:val="22"/>
        </w:rPr>
      </w:pPr>
      <w:r>
        <w:rPr>
          <w:rFonts w:cs="Arial" w:ascii="Arial" w:hAnsi="Arial"/>
          <w:b/>
          <w:bCs/>
          <w:color w:val="000000"/>
          <w:sz w:val="22"/>
          <w:szCs w:val="22"/>
        </w:rPr>
        <w:t>c) Licença de funcionamento emitida pela Vigilância Sanitária do Estado e ou Município.</w:t>
      </w:r>
    </w:p>
    <w:p>
      <w:pPr>
        <w:pStyle w:val="Normal"/>
        <w:spacing w:lineRule="auto" w:line="360"/>
        <w:ind w:right="-57" w:hanging="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numPr>
          <w:ilvl w:val="0"/>
          <w:numId w:val="5"/>
        </w:numPr>
        <w:spacing w:lineRule="auto" w:line="360" w:before="0" w:after="0"/>
        <w:ind w:left="0" w:hanging="0"/>
        <w:rPr>
          <w:sz w:val="22"/>
          <w:szCs w:val="22"/>
        </w:rPr>
      </w:pPr>
      <w:r>
        <w:rPr>
          <w:sz w:val="22"/>
          <w:szCs w:val="22"/>
        </w:rPr>
        <w:t>DA ABERTURA DA SESSÃO, CLASSIFICAÇÃO DAS PROPOSTAS E FORMULAÇÃO DE LANCES</w:t>
      </w:r>
    </w:p>
    <w:p>
      <w:pPr>
        <w:pStyle w:val="Nivel2"/>
        <w:numPr>
          <w:ilvl w:val="1"/>
          <w:numId w:val="5"/>
        </w:numPr>
        <w:spacing w:lineRule="auto" w:line="360" w:before="0" w:after="0"/>
        <w:ind w:left="0" w:hanging="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5"/>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5"/>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5"/>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5"/>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5"/>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5"/>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5"/>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5"/>
        </w:numPr>
        <w:spacing w:lineRule="auto" w:line="360" w:before="0" w:after="0"/>
        <w:ind w:left="0" w:hanging="0"/>
        <w:rPr>
          <w:sz w:val="22"/>
          <w:szCs w:val="22"/>
        </w:rPr>
      </w:pPr>
      <w:r>
        <w:rPr>
          <w:sz w:val="22"/>
          <w:szCs w:val="22"/>
        </w:rPr>
        <w:t>O lance deverá ser ofertado pelo valor unitário do item.</w:t>
      </w:r>
    </w:p>
    <w:p>
      <w:pPr>
        <w:pStyle w:val="Nivel2"/>
        <w:numPr>
          <w:ilvl w:val="1"/>
          <w:numId w:val="5"/>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5"/>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5"/>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5"/>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5"/>
        </w:numPr>
        <w:spacing w:lineRule="auto" w:line="360" w:before="0" w:after="0"/>
        <w:ind w:left="0" w:hanging="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5"/>
        </w:numPr>
        <w:spacing w:lineRule="auto" w:line="360" w:before="0" w:after="0"/>
        <w:ind w:left="0"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5"/>
        </w:numPr>
        <w:spacing w:lineRule="auto" w:line="360" w:before="0" w:after="0"/>
        <w:ind w:left="0"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5"/>
        </w:numPr>
        <w:spacing w:lineRule="auto" w:line="360" w:before="0" w:after="0"/>
        <w:ind w:left="0" w:hanging="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5"/>
        </w:numPr>
        <w:spacing w:lineRule="auto" w:line="360" w:before="0" w:after="0"/>
        <w:ind w:left="0" w:hanging="0"/>
        <w:rPr/>
      </w:pPr>
      <w:bookmarkStart w:id="13" w:name="_Hlk113697816"/>
      <w:r>
        <w:rPr>
          <w:sz w:val="22"/>
          <w:szCs w:val="22"/>
        </w:rPr>
        <w:t>Após o reinício previsto no item supra, os licitantes serão convocados para apresentar lances intermediários.</w:t>
      </w:r>
      <w:bookmarkEnd w:id="13"/>
      <w:r>
        <w:rPr>
          <w:sz w:val="22"/>
          <w:szCs w:val="22"/>
        </w:rPr>
        <w:t xml:space="preserve"> </w:t>
      </w:r>
    </w:p>
    <w:p>
      <w:pPr>
        <w:pStyle w:val="Nivel2"/>
        <w:numPr>
          <w:ilvl w:val="1"/>
          <w:numId w:val="5"/>
        </w:numPr>
        <w:spacing w:lineRule="auto" w:line="360" w:before="0" w:after="0"/>
        <w:ind w:left="0" w:hanging="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5"/>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5"/>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5"/>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5"/>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5"/>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5"/>
        </w:numPr>
        <w:spacing w:lineRule="auto" w:line="360" w:before="0" w:after="0"/>
        <w:ind w:left="0" w:hanging="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000000"/>
        </w:rPr>
        <w:instrText xml:space="preserve"> HYPERLINK "https://www.planalto.gov.br/ccivil_03/leis/lcp/lcp123.htm" \l "art44"</w:instrText>
      </w:r>
      <w:r>
        <w:rPr>
          <w:rStyle w:val="LinkdaInternet"/>
          <w:sz w:val="22"/>
          <w:szCs w:val="22"/>
          <w:rFonts w:eastAsia="Zurich BT"/>
          <w:color w:val="000000"/>
        </w:rPr>
        <w:fldChar w:fldCharType="separate"/>
      </w:r>
      <w:r>
        <w:rPr>
          <w:rStyle w:val="LinkdaInternet"/>
          <w:rFonts w:eastAsia="Zurich BT"/>
          <w:color w:val="000000"/>
          <w:sz w:val="22"/>
          <w:szCs w:val="22"/>
        </w:rPr>
        <w:t>arts. 44 e 45 da Lei Complementar nº 123, de 2006</w:t>
      </w:r>
      <w:r>
        <w:rPr>
          <w:rStyle w:val="LinkdaInternet"/>
          <w:sz w:val="22"/>
          <w:szCs w:val="22"/>
          <w:rFonts w:eastAsia="Zurich BT"/>
          <w:color w:val="000000"/>
        </w:rPr>
        <w:fldChar w:fldCharType="end"/>
      </w:r>
      <w:r>
        <w:rPr>
          <w:rFonts w:eastAsia="Zurich BT"/>
          <w:sz w:val="22"/>
          <w:szCs w:val="22"/>
        </w:rPr>
        <w:t xml:space="preserve">, regulamentada pelo </w:t>
      </w:r>
      <w:hyperlink r:id="rId9">
        <w:r>
          <w:rPr>
            <w:rStyle w:val="LinkdaInternet"/>
            <w:rFonts w:eastAsia="Zurich BT"/>
            <w:color w:val="000000"/>
            <w:sz w:val="22"/>
            <w:szCs w:val="22"/>
          </w:rPr>
          <w:t>Decreto nº 8.538, de 2015</w:t>
        </w:r>
      </w:hyperlink>
      <w:r>
        <w:rPr>
          <w:rFonts w:eastAsia="Zurich BT"/>
          <w:sz w:val="22"/>
          <w:szCs w:val="22"/>
        </w:rPr>
        <w:t>.</w:t>
      </w:r>
    </w:p>
    <w:p>
      <w:pPr>
        <w:pStyle w:val="Nivel3"/>
        <w:numPr>
          <w:ilvl w:val="2"/>
          <w:numId w:val="5"/>
        </w:numPr>
        <w:spacing w:lineRule="auto" w:line="360" w:before="0" w:after="0"/>
        <w:ind w:left="0" w:hanging="0"/>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5"/>
        </w:numPr>
        <w:spacing w:lineRule="auto" w:line="360" w:before="0" w:after="0"/>
        <w:ind w:left="0" w:hanging="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5"/>
        </w:numPr>
        <w:spacing w:lineRule="auto" w:line="360" w:before="0" w:after="0"/>
        <w:ind w:left="0" w:hanging="0"/>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5"/>
        </w:numPr>
        <w:spacing w:lineRule="auto" w:line="360" w:before="0" w:after="0"/>
        <w:ind w:left="0" w:hanging="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5"/>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5"/>
        </w:numPr>
        <w:spacing w:lineRule="auto" w:line="360" w:before="0" w:after="0"/>
        <w:ind w:left="0"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5"/>
        </w:numPr>
        <w:spacing w:lineRule="auto" w:line="360" w:before="0" w:after="0"/>
        <w:ind w:left="0" w:hanging="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5"/>
        </w:numPr>
        <w:spacing w:lineRule="auto" w:line="360" w:before="0" w:after="0"/>
        <w:ind w:left="0"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5"/>
        </w:numPr>
        <w:spacing w:lineRule="auto" w:line="360" w:before="0" w:after="0"/>
        <w:ind w:left="0" w:hanging="0"/>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tabs>
          <w:tab w:val="clear" w:pos="0"/>
        </w:tabs>
        <w:spacing w:lineRule="auto" w:line="360" w:before="0" w:after="0"/>
        <w:ind w:left="0" w:hanging="0"/>
        <w:rPr/>
      </w:pPr>
      <w:r>
        <w:rPr/>
      </w:r>
    </w:p>
    <w:p>
      <w:pPr>
        <w:pStyle w:val="Nivel01"/>
        <w:numPr>
          <w:ilvl w:val="0"/>
          <w:numId w:val="5"/>
        </w:numPr>
        <w:spacing w:lineRule="auto" w:line="360" w:before="0" w:after="0"/>
        <w:ind w:left="0" w:hanging="0"/>
        <w:rPr>
          <w:sz w:val="22"/>
          <w:szCs w:val="22"/>
        </w:rPr>
      </w:pPr>
      <w:r>
        <w:rPr>
          <w:sz w:val="22"/>
          <w:szCs w:val="22"/>
        </w:rPr>
        <w:t>DA FASE DE JULGAMENTO</w:t>
      </w:r>
    </w:p>
    <w:p>
      <w:pPr>
        <w:pStyle w:val="Nivel2"/>
        <w:numPr>
          <w:ilvl w:val="1"/>
          <w:numId w:val="5"/>
        </w:numPr>
        <w:spacing w:lineRule="auto" w:line="360" w:before="0" w:after="0"/>
        <w:ind w:left="0" w:hanging="0"/>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000000"/>
        </w:rPr>
        <w:instrText xml:space="preserve"> HYPERLINK "http://www.planalto.gov.br/ccivil_03/_ato2019-2022/2021/lei/L14133.htm" \l "art14"</w:instrText>
      </w:r>
      <w:r>
        <w:rPr>
          <w:rStyle w:val="LinkdaInternet"/>
          <w:sz w:val="22"/>
          <w:szCs w:val="22"/>
          <w:color w:val="000000"/>
        </w:rPr>
        <w:fldChar w:fldCharType="separate"/>
      </w:r>
      <w:r>
        <w:rPr>
          <w:rStyle w:val="LinkdaInternet"/>
          <w:color w:val="000000"/>
          <w:sz w:val="22"/>
          <w:szCs w:val="22"/>
        </w:rPr>
        <w:t>art. 14 da Lei nº 14.133/2021</w:t>
      </w:r>
      <w:r>
        <w:rPr>
          <w:rStyle w:val="LinkdaInternet"/>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5"/>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5"/>
        </w:numPr>
        <w:spacing w:lineRule="auto" w:line="360" w:before="0" w:after="0"/>
        <w:ind w:left="0" w:hanging="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5"/>
        </w:numPr>
        <w:spacing w:lineRule="auto" w:line="360" w:before="0" w:after="0"/>
        <w:ind w:left="0" w:hanging="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5"/>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5"/>
        </w:numPr>
        <w:spacing w:lineRule="auto" w:line="360" w:before="0" w:after="0"/>
        <w:ind w:left="0" w:hanging="0"/>
        <w:rPr>
          <w:sz w:val="22"/>
          <w:szCs w:val="22"/>
        </w:rPr>
      </w:pPr>
      <w:r>
        <w:rPr>
          <w:sz w:val="22"/>
          <w:szCs w:val="22"/>
        </w:rPr>
        <w:t>contiver vícios insanáveis;</w:t>
      </w:r>
    </w:p>
    <w:p>
      <w:pPr>
        <w:pStyle w:val="Nivel3"/>
        <w:numPr>
          <w:ilvl w:val="2"/>
          <w:numId w:val="5"/>
        </w:numPr>
        <w:spacing w:lineRule="auto" w:line="360" w:before="0" w:after="0"/>
        <w:ind w:left="0" w:hanging="0"/>
        <w:rPr>
          <w:sz w:val="22"/>
          <w:szCs w:val="22"/>
        </w:rPr>
      </w:pPr>
      <w:r>
        <w:rPr>
          <w:sz w:val="22"/>
          <w:szCs w:val="22"/>
        </w:rPr>
        <w:t>não obedecer às especificações técnicas contidas no Termo de Referência;</w:t>
      </w:r>
    </w:p>
    <w:p>
      <w:pPr>
        <w:pStyle w:val="Nivel3"/>
        <w:numPr>
          <w:ilvl w:val="2"/>
          <w:numId w:val="5"/>
        </w:numPr>
        <w:spacing w:lineRule="auto" w:line="360" w:before="0" w:after="0"/>
        <w:ind w:left="0" w:hanging="0"/>
        <w:rPr>
          <w:sz w:val="22"/>
          <w:szCs w:val="22"/>
        </w:rPr>
      </w:pPr>
      <w:r>
        <w:rPr>
          <w:sz w:val="22"/>
          <w:szCs w:val="22"/>
        </w:rPr>
        <w:t>apresentar preços inexequíveis ou permanecerem acima do preço máximo definido para a contratação;</w:t>
      </w:r>
    </w:p>
    <w:p>
      <w:pPr>
        <w:pStyle w:val="Nivel3"/>
        <w:numPr>
          <w:ilvl w:val="2"/>
          <w:numId w:val="5"/>
        </w:numPr>
        <w:spacing w:lineRule="auto" w:line="360" w:before="0" w:after="0"/>
        <w:ind w:left="0" w:hanging="0"/>
        <w:rPr>
          <w:sz w:val="22"/>
          <w:szCs w:val="22"/>
        </w:rPr>
      </w:pPr>
      <w:r>
        <w:rPr>
          <w:sz w:val="22"/>
          <w:szCs w:val="22"/>
        </w:rPr>
        <w:t>não tiverem sua exequibilidade demonstrada, quando exigido pela Administração;</w:t>
      </w:r>
    </w:p>
    <w:p>
      <w:pPr>
        <w:pStyle w:val="Nivel3"/>
        <w:numPr>
          <w:ilvl w:val="2"/>
          <w:numId w:val="5"/>
        </w:numPr>
        <w:spacing w:lineRule="auto" w:line="360" w:before="0" w:after="0"/>
        <w:ind w:left="0" w:hanging="0"/>
        <w:rPr>
          <w:sz w:val="22"/>
          <w:szCs w:val="22"/>
        </w:rPr>
      </w:pPr>
      <w:r>
        <w:rPr>
          <w:sz w:val="22"/>
          <w:szCs w:val="22"/>
        </w:rPr>
        <w:t>apresentar desconformidade com quaisquer outras exigências deste Edital ou seus anexos, desde que insanável.</w:t>
      </w:r>
    </w:p>
    <w:p>
      <w:pPr>
        <w:pStyle w:val="Nivel2"/>
        <w:numPr>
          <w:ilvl w:val="1"/>
          <w:numId w:val="5"/>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5"/>
        </w:numPr>
        <w:spacing w:lineRule="auto" w:line="360" w:before="0" w:after="0"/>
        <w:ind w:left="0" w:hanging="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5"/>
        </w:numPr>
        <w:spacing w:lineRule="auto" w:line="360" w:before="0" w:after="0"/>
        <w:ind w:left="0" w:hanging="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5"/>
        </w:numPr>
        <w:spacing w:lineRule="auto" w:line="360" w:before="0" w:after="0"/>
        <w:ind w:left="0" w:hanging="0"/>
        <w:rPr/>
      </w:pPr>
      <w:r>
        <w:rPr>
          <w:bCs/>
          <w:sz w:val="22"/>
          <w:szCs w:val="22"/>
        </w:rPr>
        <w:t xml:space="preserve">O licitante classificado em primeiro lugar, terá o prazo de até 02 (dois) dias úteis, contados da sessão de processamento da licitação, para apresentar mediante protocolo na </w:t>
      </w:r>
      <w:r>
        <w:rPr>
          <w:bCs/>
          <w:sz w:val="22"/>
          <w:szCs w:val="22"/>
          <w:u w:val="single"/>
        </w:rPr>
        <w:t>Secretaria da Saúde, situada na Rua Marcos Dian, 365 – Jd de Lucca</w:t>
      </w:r>
      <w:r>
        <w:rPr>
          <w:bCs/>
          <w:sz w:val="22"/>
          <w:szCs w:val="22"/>
        </w:rPr>
        <w:t>, aos cuidados do pregoeiro, os seguintes documentos dos produtos ofertados:</w:t>
      </w:r>
    </w:p>
    <w:p>
      <w:pPr>
        <w:pStyle w:val="Normal"/>
        <w:numPr>
          <w:ilvl w:val="0"/>
          <w:numId w:val="6"/>
        </w:numPr>
        <w:tabs>
          <w:tab w:val="clear" w:pos="709"/>
          <w:tab w:val="left" w:pos="993" w:leader="none"/>
        </w:tabs>
        <w:spacing w:lineRule="auto" w:line="360"/>
        <w:ind w:left="567" w:hanging="0"/>
        <w:jc w:val="both"/>
        <w:rPr>
          <w:rFonts w:ascii="Arial" w:hAnsi="Arial" w:cs="Arial"/>
          <w:b/>
          <w:bCs/>
          <w:sz w:val="22"/>
          <w:szCs w:val="22"/>
        </w:rPr>
      </w:pPr>
      <w:r>
        <w:rPr>
          <w:rFonts w:cs="Arial" w:ascii="Arial" w:hAnsi="Arial"/>
          <w:b/>
          <w:bCs/>
          <w:sz w:val="22"/>
          <w:szCs w:val="22"/>
        </w:rPr>
        <w:t>Registro do Produto na ANVISA, atualizado e vigente;</w:t>
      </w:r>
    </w:p>
    <w:p>
      <w:pPr>
        <w:pStyle w:val="Normal"/>
        <w:numPr>
          <w:ilvl w:val="0"/>
          <w:numId w:val="6"/>
        </w:numPr>
        <w:tabs>
          <w:tab w:val="clear" w:pos="709"/>
          <w:tab w:val="left" w:pos="993" w:leader="none"/>
        </w:tabs>
        <w:spacing w:lineRule="auto" w:line="360"/>
        <w:ind w:left="567" w:hanging="0"/>
        <w:jc w:val="both"/>
        <w:rPr>
          <w:rFonts w:ascii="Arial" w:hAnsi="Arial" w:cs="Arial"/>
          <w:b/>
          <w:bCs/>
          <w:sz w:val="22"/>
          <w:szCs w:val="22"/>
        </w:rPr>
      </w:pPr>
      <w:r>
        <w:rPr>
          <w:rFonts w:cs="Arial" w:ascii="Arial" w:hAnsi="Arial"/>
          <w:b/>
          <w:bCs/>
          <w:sz w:val="22"/>
          <w:szCs w:val="22"/>
        </w:rPr>
        <w:t>Especificação técnica do produto ofertado que pode ser bula ou informação via internet.</w:t>
      </w:r>
    </w:p>
    <w:p>
      <w:pPr>
        <w:pStyle w:val="Normal"/>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tabs>
          <w:tab w:val="clear" w:pos="0"/>
        </w:tabs>
        <w:spacing w:lineRule="auto" w:line="360" w:before="0" w:after="0"/>
        <w:ind w:left="0" w:hanging="0"/>
        <w:rPr>
          <w:b/>
          <w:sz w:val="22"/>
          <w:szCs w:val="22"/>
          <w:highlight w:val="yellow"/>
        </w:rPr>
      </w:pPr>
      <w:r>
        <w:rPr>
          <w:b/>
          <w:sz w:val="22"/>
          <w:szCs w:val="22"/>
          <w:highlight w:val="yellow"/>
        </w:rPr>
      </w:r>
    </w:p>
    <w:p>
      <w:pPr>
        <w:pStyle w:val="Nivel01"/>
        <w:numPr>
          <w:ilvl w:val="0"/>
          <w:numId w:val="5"/>
        </w:numPr>
        <w:spacing w:lineRule="auto" w:line="360" w:before="0" w:after="0"/>
        <w:ind w:left="0" w:hanging="0"/>
        <w:rPr>
          <w:sz w:val="22"/>
          <w:szCs w:val="22"/>
        </w:rPr>
      </w:pPr>
      <w:r>
        <w:rPr>
          <w:sz w:val="22"/>
          <w:szCs w:val="22"/>
        </w:rPr>
        <w:t>DA FASE DE HABILITAÇÃO</w:t>
      </w:r>
    </w:p>
    <w:p>
      <w:pPr>
        <w:pStyle w:val="Nivel2"/>
        <w:numPr>
          <w:ilvl w:val="1"/>
          <w:numId w:val="5"/>
        </w:numPr>
        <w:spacing w:lineRule="auto" w:line="360" w:before="0" w:after="0"/>
        <w:ind w:left="0" w:hanging="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000000"/>
        </w:rPr>
        <w:instrText xml:space="preserve"> HYPERLINK "http://www.planalto.gov.br/ccivil_03/_ato2019-2022/2021/lei/L14133.htm" \l "art62"</w:instrText>
      </w:r>
      <w:r>
        <w:rPr>
          <w:rStyle w:val="LinkdaInternet"/>
          <w:sz w:val="22"/>
          <w:szCs w:val="22"/>
          <w:color w:val="000000"/>
        </w:rPr>
        <w:fldChar w:fldCharType="separate"/>
      </w:r>
      <w:r>
        <w:rPr>
          <w:rStyle w:val="LinkdaInternet"/>
          <w:color w:val="000000"/>
          <w:sz w:val="22"/>
          <w:szCs w:val="22"/>
        </w:rPr>
        <w:t>arts. 62 a 70 da Lei nº 14.133, de 2021</w:t>
      </w:r>
      <w:r>
        <w:rPr>
          <w:rStyle w:val="LinkdaInternet"/>
          <w:sz w:val="22"/>
          <w:szCs w:val="22"/>
          <w:color w:val="000000"/>
        </w:rPr>
        <w:fldChar w:fldCharType="end"/>
      </w:r>
      <w:r>
        <w:rPr>
          <w:rStyle w:val="LinkdaInternet"/>
          <w:color w:val="000000"/>
          <w:sz w:val="22"/>
          <w:szCs w:val="22"/>
        </w:rPr>
        <w:t>.</w:t>
      </w:r>
    </w:p>
    <w:p>
      <w:pPr>
        <w:pStyle w:val="Nivel2"/>
        <w:numPr>
          <w:ilvl w:val="1"/>
          <w:numId w:val="5"/>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5"/>
        </w:numPr>
        <w:spacing w:lineRule="auto" w:line="360" w:before="0" w:after="0"/>
        <w:ind w:left="567" w:hanging="0"/>
        <w:rPr/>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0">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5"/>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5"/>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5"/>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5"/>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5"/>
        </w:numPr>
        <w:spacing w:lineRule="auto" w:line="360" w:before="0" w:after="0"/>
        <w:ind w:left="567" w:hanging="0"/>
        <w:rPr/>
      </w:pPr>
      <w:bookmarkStart w:id="16" w:name="_Ref114663151"/>
      <w:r>
        <w:rPr>
          <w:sz w:val="22"/>
          <w:szCs w:val="22"/>
        </w:rPr>
        <w:t xml:space="preserve">Os documentos exigidos para habilitação deverão ser enviados por meio do sistema, em formato digital, no prazo máximo de 02 (duas) horas, </w:t>
      </w:r>
      <w:bookmarkEnd w:id="16"/>
      <w:r>
        <w:rPr>
          <w:sz w:val="22"/>
          <w:szCs w:val="22"/>
        </w:rPr>
        <w:t>contado da solicitação do Agente de Contratação.</w:t>
      </w:r>
    </w:p>
    <w:p>
      <w:pPr>
        <w:pStyle w:val="Nivel2"/>
        <w:numPr>
          <w:ilvl w:val="1"/>
          <w:numId w:val="5"/>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5"/>
        </w:numPr>
        <w:spacing w:lineRule="auto" w:line="360" w:before="0" w:after="0"/>
        <w:ind w:left="0" w:hanging="0"/>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5"/>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5"/>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5"/>
        </w:numPr>
        <w:spacing w:lineRule="auto" w:line="360" w:before="0" w:after="0"/>
        <w:ind w:left="0" w:hanging="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5"/>
        </w:numPr>
        <w:spacing w:lineRule="auto" w:line="360" w:before="0" w:after="0"/>
        <w:ind w:left="0" w:hanging="0"/>
        <w:rPr/>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8.5.1</w:t>
      </w:r>
      <w:r>
        <w:rPr>
          <w:sz w:val="22"/>
          <w:szCs w:val="22"/>
        </w:rPr>
        <w:fldChar w:fldCharType="end"/>
      </w:r>
      <w:r>
        <w:rPr>
          <w:sz w:val="22"/>
          <w:szCs w:val="22"/>
        </w:rPr>
        <w:t>.</w:t>
      </w:r>
      <w:bookmarkEnd w:id="18"/>
    </w:p>
    <w:p>
      <w:pPr>
        <w:pStyle w:val="Nivel2"/>
        <w:numPr>
          <w:ilvl w:val="1"/>
          <w:numId w:val="5"/>
        </w:numPr>
        <w:spacing w:lineRule="auto" w:line="360" w:before="0" w:after="0"/>
        <w:ind w:left="0" w:hanging="0"/>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1"/>
          <w:numId w:val="5"/>
        </w:numPr>
        <w:spacing w:lineRule="auto" w:line="360" w:before="0" w:after="0"/>
        <w:ind w:left="0" w:hanging="0"/>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spacing w:lineRule="auto" w:line="360" w:before="0" w:after="0"/>
        <w:ind w:left="0" w:hanging="0"/>
        <w:rPr>
          <w:sz w:val="22"/>
          <w:szCs w:val="22"/>
        </w:rPr>
      </w:pPr>
      <w:r>
        <w:rPr>
          <w:b/>
          <w:bCs/>
          <w:sz w:val="22"/>
          <w:szCs w:val="22"/>
          <w:u w:val="single"/>
        </w:rPr>
        <w:t>8.11.1 -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spacing w:lineRule="auto" w:line="360" w:before="0" w:after="0"/>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spacing w:lineRule="auto" w:line="360" w:before="0" w:after="0"/>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spacing w:lineRule="auto" w:line="360" w:before="0" w:after="0"/>
        <w:ind w:left="0" w:firstLine="709"/>
        <w:rPr>
          <w:sz w:val="22"/>
          <w:szCs w:val="22"/>
        </w:rPr>
      </w:pPr>
      <w:r>
        <w:rPr>
          <w:sz w:val="22"/>
          <w:szCs w:val="22"/>
        </w:rPr>
        <w:t>c) O prazo de validade que não poderá ser inferior a 60 (sessenta) dias, contados da abertura das propostas virtuais;</w:t>
      </w:r>
    </w:p>
    <w:p>
      <w:pPr>
        <w:pStyle w:val="Nivel2"/>
        <w:spacing w:lineRule="auto" w:line="360" w:before="0" w:after="0"/>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spacing w:lineRule="auto" w:line="360" w:before="0" w:after="0"/>
        <w:ind w:left="0" w:hanging="0"/>
        <w:rPr>
          <w:sz w:val="22"/>
          <w:szCs w:val="22"/>
        </w:rPr>
      </w:pPr>
      <w:r>
        <w:rPr>
          <w:b/>
          <w:bCs/>
          <w:sz w:val="22"/>
          <w:szCs w:val="22"/>
          <w:u w:val="single"/>
        </w:rPr>
        <w:t>8.11.2 -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9"/>
        </w:numPr>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9"/>
        </w:numPr>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1"/>
          <w:numId w:val="10"/>
        </w:numPr>
        <w:spacing w:lineRule="auto" w:line="360" w:before="0" w:after="0"/>
        <w:ind w:left="0" w:hanging="0"/>
        <w:jc w:val="both"/>
        <w:rPr>
          <w:rFonts w:ascii="Arial" w:hAnsi="Arial" w:cs="Arial"/>
        </w:rPr>
      </w:pPr>
      <w:r>
        <w:rPr>
          <w:rFonts w:cs="Arial" w:ascii="Arial" w:hAnsi="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left="0" w:hanging="0"/>
        <w:rPr>
          <w:i/>
          <w:i/>
          <w:sz w:val="22"/>
          <w:szCs w:val="22"/>
        </w:rPr>
      </w:pPr>
      <w:r>
        <w:rPr>
          <w:i/>
          <w:sz w:val="22"/>
          <w:szCs w:val="22"/>
        </w:rPr>
      </w:r>
    </w:p>
    <w:p>
      <w:pPr>
        <w:pStyle w:val="Nivel01"/>
        <w:numPr>
          <w:ilvl w:val="0"/>
          <w:numId w:val="5"/>
        </w:numPr>
        <w:spacing w:lineRule="auto" w:line="360" w:before="0" w:after="0"/>
        <w:ind w:left="0" w:hanging="0"/>
        <w:rPr>
          <w:sz w:val="22"/>
          <w:szCs w:val="22"/>
        </w:rPr>
      </w:pPr>
      <w:r>
        <w:rPr>
          <w:sz w:val="22"/>
          <w:szCs w:val="22"/>
        </w:rPr>
        <w:t>DA ATA DE REGISTRO DE PREÇOS</w:t>
      </w:r>
    </w:p>
    <w:p>
      <w:pPr>
        <w:pStyle w:val="Nivel2"/>
        <w:numPr>
          <w:ilvl w:val="1"/>
          <w:numId w:val="5"/>
        </w:numPr>
        <w:spacing w:lineRule="auto" w:line="360" w:before="0" w:after="0"/>
        <w:ind w:left="0" w:hanging="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5"/>
        </w:numPr>
        <w:spacing w:lineRule="auto" w:line="360" w:before="0" w:after="0"/>
        <w:ind w:left="0" w:hanging="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left="0" w:hanging="0"/>
        <w:rPr>
          <w:iCs/>
          <w:sz w:val="22"/>
          <w:szCs w:val="22"/>
        </w:rPr>
      </w:pPr>
      <w:r>
        <w:rPr>
          <w:iCs/>
          <w:sz w:val="22"/>
          <w:szCs w:val="22"/>
        </w:rPr>
        <w:t>(a) a solicitação seja devidamente justificada e apresentada dentro do prazo; e</w:t>
      </w:r>
    </w:p>
    <w:p>
      <w:pPr>
        <w:pStyle w:val="Nivel2"/>
        <w:tabs>
          <w:tab w:val="clear" w:pos="0"/>
        </w:tabs>
        <w:spacing w:lineRule="auto" w:line="360" w:before="0" w:after="0"/>
        <w:ind w:left="0" w:hanging="0"/>
        <w:rPr>
          <w:iCs/>
          <w:sz w:val="22"/>
          <w:szCs w:val="22"/>
        </w:rPr>
      </w:pPr>
      <w:r>
        <w:rPr>
          <w:iCs/>
          <w:sz w:val="22"/>
          <w:szCs w:val="22"/>
        </w:rPr>
        <w:t>(b) a justificativa apresentada seja aceita pela Administração.</w:t>
      </w:r>
    </w:p>
    <w:p>
      <w:pPr>
        <w:pStyle w:val="Nivel2"/>
        <w:numPr>
          <w:ilvl w:val="1"/>
          <w:numId w:val="5"/>
        </w:numPr>
        <w:spacing w:lineRule="auto" w:line="360" w:before="0" w:after="0"/>
        <w:ind w:left="0" w:hanging="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5"/>
        </w:numPr>
        <w:spacing w:lineRule="auto" w:line="360" w:before="0" w:after="0"/>
        <w:ind w:left="0" w:hanging="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5"/>
        </w:numPr>
        <w:spacing w:lineRule="auto" w:line="360" w:before="0" w:after="0"/>
        <w:ind w:left="0" w:hanging="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5"/>
        </w:numPr>
        <w:spacing w:lineRule="auto" w:line="360" w:before="0" w:after="0"/>
        <w:ind w:left="0" w:hanging="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 xml:space="preserve">DA FORMAÇÃO DO CADASTRO DE RESERVA </w:t>
      </w:r>
    </w:p>
    <w:p>
      <w:pPr>
        <w:pStyle w:val="Nivel2"/>
        <w:numPr>
          <w:ilvl w:val="1"/>
          <w:numId w:val="5"/>
        </w:numPr>
        <w:spacing w:lineRule="auto" w:line="360" w:before="0" w:after="0"/>
        <w:ind w:left="0" w:hanging="0"/>
        <w:rPr>
          <w:sz w:val="22"/>
          <w:szCs w:val="22"/>
        </w:rPr>
      </w:pPr>
      <w:r>
        <w:rPr>
          <w:sz w:val="22"/>
          <w:szCs w:val="22"/>
        </w:rPr>
        <w:t>Após a homologação da licitação, será incluído na ata, na forma de anexo, o registro:</w:t>
      </w:r>
    </w:p>
    <w:p>
      <w:pPr>
        <w:pStyle w:val="Nivel3"/>
        <w:numPr>
          <w:ilvl w:val="2"/>
          <w:numId w:val="5"/>
        </w:numPr>
        <w:spacing w:lineRule="auto" w:line="360" w:before="0" w:after="0"/>
        <w:ind w:left="567" w:hanging="0"/>
        <w:rPr/>
      </w:pPr>
      <w:r>
        <w:rPr>
          <w:sz w:val="22"/>
          <w:szCs w:val="22"/>
        </w:rPr>
        <w:t xml:space="preserve">dos licitantes </w:t>
      </w:r>
      <w:bookmarkStart w:id="20" w:name="_Hlk132991372"/>
      <w:r>
        <w:rPr>
          <w:sz w:val="22"/>
          <w:szCs w:val="22"/>
        </w:rPr>
        <w:t xml:space="preserve">que </w:t>
      </w:r>
      <w:bookmarkStart w:id="21" w:name="_Hlk132989696"/>
      <w:r>
        <w:rPr>
          <w:sz w:val="22"/>
          <w:szCs w:val="22"/>
        </w:rPr>
        <w:t>aceitarem cotar o objeto com preço igual ao do adjudicatári</w:t>
      </w:r>
      <w:bookmarkEnd w:id="20"/>
      <w:r>
        <w:rPr>
          <w:sz w:val="22"/>
          <w:szCs w:val="22"/>
        </w:rPr>
        <w:t>o</w:t>
      </w:r>
      <w:bookmarkEnd w:id="21"/>
      <w:r>
        <w:rPr>
          <w:sz w:val="22"/>
          <w:szCs w:val="22"/>
        </w:rPr>
        <w:t xml:space="preserve">, observada a classificação na licitação; e </w:t>
      </w:r>
    </w:p>
    <w:p>
      <w:pPr>
        <w:pStyle w:val="Nivel3"/>
        <w:numPr>
          <w:ilvl w:val="2"/>
          <w:numId w:val="5"/>
        </w:numPr>
        <w:spacing w:lineRule="auto" w:line="360" w:before="0" w:after="0"/>
        <w:ind w:left="567" w:hanging="0"/>
        <w:rPr>
          <w:sz w:val="22"/>
          <w:szCs w:val="22"/>
        </w:rPr>
      </w:pPr>
      <w:r>
        <w:rPr>
          <w:sz w:val="22"/>
          <w:szCs w:val="22"/>
        </w:rPr>
        <w:t>dos licitantes que mantiverem sua proposta original</w:t>
      </w:r>
    </w:p>
    <w:p>
      <w:pPr>
        <w:pStyle w:val="Nivel2"/>
        <w:numPr>
          <w:ilvl w:val="1"/>
          <w:numId w:val="5"/>
        </w:numPr>
        <w:spacing w:lineRule="auto" w:line="360" w:before="0" w:after="0"/>
        <w:ind w:left="0" w:hanging="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3"/>
        <w:numPr>
          <w:ilvl w:val="2"/>
          <w:numId w:val="5"/>
        </w:numPr>
        <w:spacing w:lineRule="auto" w:line="360" w:before="0" w:after="0"/>
        <w:ind w:left="0" w:hanging="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left="0" w:hanging="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left="0" w:hanging="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left="0" w:hanging="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left="0" w:hanging="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left="0" w:hanging="0"/>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left="0" w:hanging="0"/>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left="0" w:hanging="0"/>
        <w:rPr>
          <w:i/>
          <w:i/>
          <w:sz w:val="22"/>
          <w:szCs w:val="22"/>
        </w:rPr>
      </w:pPr>
      <w:r>
        <w:rPr>
          <w:i/>
          <w:sz w:val="22"/>
          <w:szCs w:val="22"/>
        </w:rPr>
      </w:r>
    </w:p>
    <w:p>
      <w:pPr>
        <w:pStyle w:val="Nivel01"/>
        <w:numPr>
          <w:ilvl w:val="0"/>
          <w:numId w:val="5"/>
        </w:numPr>
        <w:spacing w:lineRule="auto" w:line="360" w:before="0" w:after="0"/>
        <w:ind w:left="0" w:hanging="0"/>
        <w:rPr>
          <w:sz w:val="22"/>
          <w:szCs w:val="22"/>
        </w:rPr>
      </w:pPr>
      <w:r>
        <w:rPr>
          <w:sz w:val="22"/>
          <w:szCs w:val="22"/>
        </w:rPr>
        <w:t>DOS RECURSOS</w:t>
      </w:r>
    </w:p>
    <w:p>
      <w:pPr>
        <w:pStyle w:val="Nivel2"/>
        <w:numPr>
          <w:ilvl w:val="1"/>
          <w:numId w:val="5"/>
        </w:numPr>
        <w:spacing w:lineRule="auto" w:line="360" w:before="0" w:after="0"/>
        <w:ind w:left="0" w:hanging="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left="567" w:hanging="0"/>
        <w:rPr>
          <w:sz w:val="22"/>
          <w:szCs w:val="22"/>
        </w:rPr>
      </w:pPr>
      <w:r>
        <w:rPr>
          <w:sz w:val="22"/>
          <w:szCs w:val="22"/>
        </w:rPr>
        <w:t>O prazo para a manifestação da intenção de recorrer será de 30 (trinta) minutos;</w:t>
      </w:r>
    </w:p>
    <w:p>
      <w:pPr>
        <w:pStyle w:val="Nivel3"/>
        <w:numPr>
          <w:ilvl w:val="2"/>
          <w:numId w:val="5"/>
        </w:numPr>
        <w:spacing w:lineRule="auto" w:line="360" w:before="0" w:after="0"/>
        <w:ind w:left="567" w:hanging="0"/>
        <w:rPr>
          <w:sz w:val="22"/>
          <w:szCs w:val="22"/>
        </w:rPr>
      </w:pPr>
      <w:bookmarkStart w:id="22" w:name="_Hlk156913398"/>
      <w:bookmarkEnd w:id="22"/>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5"/>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DAS INFRAÇÕES ADMINISTRATIVAS E SANÇÕES</w:t>
      </w:r>
    </w:p>
    <w:p>
      <w:pPr>
        <w:pStyle w:val="Nivel2"/>
        <w:numPr>
          <w:ilvl w:val="1"/>
          <w:numId w:val="5"/>
        </w:numPr>
        <w:spacing w:lineRule="auto" w:line="360" w:before="0" w:after="0"/>
        <w:ind w:left="0" w:hanging="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left="567" w:hanging="0"/>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5"/>
        </w:numPr>
        <w:spacing w:lineRule="auto" w:line="360" w:before="0" w:after="0"/>
        <w:ind w:left="567" w:hanging="0"/>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5"/>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left="1134" w:hanging="0"/>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5"/>
        </w:numPr>
        <w:spacing w:lineRule="auto" w:line="360" w:before="0" w:after="0"/>
        <w:ind w:left="1134" w:hanging="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left="1134" w:hanging="0"/>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5"/>
        </w:numPr>
        <w:spacing w:lineRule="auto" w:line="360" w:before="0" w:after="0"/>
        <w:ind w:left="1134" w:hanging="0"/>
        <w:rPr>
          <w:sz w:val="22"/>
          <w:szCs w:val="22"/>
        </w:rPr>
      </w:pPr>
      <w:bookmarkStart w:id="27" w:name="_Ref114668245"/>
      <w:r>
        <w:rPr>
          <w:sz w:val="22"/>
          <w:szCs w:val="22"/>
        </w:rPr>
        <w:t>fraudar a licitação</w:t>
      </w:r>
      <w:bookmarkEnd w:id="27"/>
    </w:p>
    <w:p>
      <w:pPr>
        <w:pStyle w:val="Nivel3"/>
        <w:numPr>
          <w:ilvl w:val="2"/>
          <w:numId w:val="5"/>
        </w:numPr>
        <w:spacing w:lineRule="auto" w:line="360" w:before="0" w:after="0"/>
        <w:ind w:left="1134" w:hanging="0"/>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5"/>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5"/>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5"/>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5"/>
        </w:numPr>
        <w:spacing w:lineRule="auto" w:line="360" w:before="0" w:after="0"/>
        <w:ind w:left="1134" w:hanging="0"/>
        <w:rPr>
          <w:sz w:val="22"/>
          <w:szCs w:val="22"/>
        </w:rPr>
      </w:pPr>
      <w:bookmarkStart w:id="29" w:name="_Ref114668251"/>
      <w:r>
        <w:rPr>
          <w:sz w:val="22"/>
          <w:szCs w:val="22"/>
        </w:rPr>
        <w:t>praticar atos ilícitos com vistas a frustrar os objetivos da licitação</w:t>
      </w:r>
      <w:bookmarkEnd w:id="29"/>
    </w:p>
    <w:p>
      <w:pPr>
        <w:pStyle w:val="Nivel3"/>
        <w:numPr>
          <w:ilvl w:val="2"/>
          <w:numId w:val="5"/>
        </w:numPr>
        <w:spacing w:lineRule="auto" w:line="360" w:before="0" w:after="0"/>
        <w:ind w:left="1134" w:hanging="0"/>
        <w:rPr/>
      </w:pPr>
      <w:bookmarkStart w:id="30"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30"/>
    </w:p>
    <w:p>
      <w:pPr>
        <w:pStyle w:val="Nivel2"/>
        <w:numPr>
          <w:ilvl w:val="1"/>
          <w:numId w:val="5"/>
        </w:numPr>
        <w:spacing w:lineRule="auto" w:line="360" w:before="0" w:after="0"/>
        <w:ind w:left="0" w:hanging="0"/>
        <w:rPr/>
      </w:pPr>
      <w:bookmarkStart w:id="31" w:name="_Hlk114652595"/>
      <w:bookmarkEnd w:id="31"/>
      <w:r>
        <w:rPr>
          <w:sz w:val="22"/>
          <w:szCs w:val="22"/>
        </w:rPr>
        <w:t xml:space="preserve">Com fulcro na </w:t>
      </w:r>
      <w:hyperlink r:id="rId11">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left="567" w:hanging="0"/>
        <w:rPr>
          <w:sz w:val="22"/>
          <w:szCs w:val="22"/>
        </w:rPr>
      </w:pPr>
      <w:r>
        <w:rPr>
          <w:sz w:val="22"/>
          <w:szCs w:val="22"/>
        </w:rPr>
        <w:t xml:space="preserve">advertência; </w:t>
      </w:r>
    </w:p>
    <w:p>
      <w:pPr>
        <w:pStyle w:val="Nivel3"/>
        <w:numPr>
          <w:ilvl w:val="2"/>
          <w:numId w:val="5"/>
        </w:numPr>
        <w:spacing w:lineRule="auto" w:line="360" w:before="0" w:after="0"/>
        <w:ind w:left="567" w:hanging="0"/>
        <w:rPr>
          <w:sz w:val="22"/>
          <w:szCs w:val="22"/>
        </w:rPr>
      </w:pPr>
      <w:r>
        <w:rPr>
          <w:sz w:val="22"/>
          <w:szCs w:val="22"/>
        </w:rPr>
        <w:t>multa;</w:t>
      </w:r>
    </w:p>
    <w:p>
      <w:pPr>
        <w:pStyle w:val="Nivel3"/>
        <w:numPr>
          <w:ilvl w:val="2"/>
          <w:numId w:val="5"/>
        </w:numPr>
        <w:spacing w:lineRule="auto" w:line="360" w:before="0" w:after="0"/>
        <w:ind w:left="567" w:hanging="0"/>
        <w:rPr>
          <w:sz w:val="22"/>
          <w:szCs w:val="22"/>
        </w:rPr>
      </w:pPr>
      <w:r>
        <w:rPr>
          <w:sz w:val="22"/>
          <w:szCs w:val="22"/>
        </w:rPr>
        <w:t>impedimento de licitar e contratar e</w:t>
      </w:r>
    </w:p>
    <w:p>
      <w:pPr>
        <w:pStyle w:val="Nivel3"/>
        <w:numPr>
          <w:ilvl w:val="2"/>
          <w:numId w:val="5"/>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left="0" w:hanging="0"/>
        <w:rPr>
          <w:sz w:val="22"/>
          <w:szCs w:val="22"/>
        </w:rPr>
      </w:pPr>
      <w:r>
        <w:rPr>
          <w:sz w:val="22"/>
          <w:szCs w:val="22"/>
        </w:rPr>
        <w:t>Na aplicação das sanções serão considerados:</w:t>
      </w:r>
    </w:p>
    <w:p>
      <w:pPr>
        <w:pStyle w:val="Nivel3"/>
        <w:numPr>
          <w:ilvl w:val="2"/>
          <w:numId w:val="5"/>
        </w:numPr>
        <w:spacing w:lineRule="auto" w:line="360" w:before="0" w:after="0"/>
        <w:ind w:left="567" w:hanging="0"/>
        <w:rPr>
          <w:sz w:val="22"/>
          <w:szCs w:val="22"/>
        </w:rPr>
      </w:pPr>
      <w:r>
        <w:rPr>
          <w:sz w:val="22"/>
          <w:szCs w:val="22"/>
        </w:rPr>
        <w:t>a natureza e a gravidade da infração cometida.</w:t>
      </w:r>
    </w:p>
    <w:p>
      <w:pPr>
        <w:pStyle w:val="Nivel3"/>
        <w:numPr>
          <w:ilvl w:val="2"/>
          <w:numId w:val="5"/>
        </w:numPr>
        <w:spacing w:lineRule="auto" w:line="360" w:before="0" w:after="0"/>
        <w:ind w:left="567" w:hanging="0"/>
        <w:rPr>
          <w:sz w:val="22"/>
          <w:szCs w:val="22"/>
        </w:rPr>
      </w:pPr>
      <w:r>
        <w:rPr>
          <w:sz w:val="22"/>
          <w:szCs w:val="22"/>
        </w:rPr>
        <w:t>as peculiaridades do caso concreto</w:t>
      </w:r>
    </w:p>
    <w:p>
      <w:pPr>
        <w:pStyle w:val="Nivel3"/>
        <w:numPr>
          <w:ilvl w:val="2"/>
          <w:numId w:val="5"/>
        </w:numPr>
        <w:spacing w:lineRule="auto" w:line="360" w:before="0" w:after="0"/>
        <w:ind w:left="567" w:hanging="0"/>
        <w:rPr>
          <w:sz w:val="22"/>
          <w:szCs w:val="22"/>
        </w:rPr>
      </w:pPr>
      <w:r>
        <w:rPr>
          <w:sz w:val="22"/>
          <w:szCs w:val="22"/>
        </w:rPr>
        <w:t>as circunstâncias agravantes ou atenuantes</w:t>
      </w:r>
    </w:p>
    <w:p>
      <w:pPr>
        <w:pStyle w:val="Nivel3"/>
        <w:numPr>
          <w:ilvl w:val="2"/>
          <w:numId w:val="5"/>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5"/>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left="0" w:hanging="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5"/>
        </w:numPr>
        <w:spacing w:lineRule="auto" w:line="360" w:before="0" w:after="0"/>
        <w:ind w:left="0" w:hanging="0"/>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left="0" w:hanging="0"/>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left="0" w:hanging="0"/>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left="0" w:hanging="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LinkdaInternet"/>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 IMPUGNAÇÃO AO EDITAL E DO PEDIDO DE ESCLARECIMENTO</w:t>
      </w:r>
    </w:p>
    <w:p>
      <w:pPr>
        <w:pStyle w:val="Nivel2"/>
        <w:numPr>
          <w:ilvl w:val="1"/>
          <w:numId w:val="5"/>
        </w:numPr>
        <w:spacing w:lineRule="auto" w:line="360" w:before="0" w:after="0"/>
        <w:ind w:left="0" w:hanging="0"/>
        <w:rPr/>
      </w:pPr>
      <w:r>
        <w:rPr>
          <w:sz w:val="22"/>
          <w:szCs w:val="22"/>
        </w:rPr>
        <w:t xml:space="preserve">Qualquer pessoa é parte legítima para impugnar este Edital por irregularidade na aplicação da </w:t>
      </w:r>
      <w:hyperlink r:id="rId13">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5"/>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DAS DISPOSIÇÕES GERAIS</w:t>
      </w:r>
    </w:p>
    <w:p>
      <w:pPr>
        <w:pStyle w:val="Nivel2"/>
        <w:numPr>
          <w:ilvl w:val="1"/>
          <w:numId w:val="5"/>
        </w:numPr>
        <w:spacing w:lineRule="auto" w:line="360" w:before="0" w:after="0"/>
        <w:ind w:left="0" w:hanging="0"/>
        <w:rPr>
          <w:sz w:val="22"/>
          <w:szCs w:val="22"/>
        </w:rPr>
      </w:pPr>
      <w:r>
        <w:rPr>
          <w:sz w:val="22"/>
          <w:szCs w:val="22"/>
        </w:rPr>
        <w:t>Será divulgada ata da sessão pública no sistema eletrônico.</w:t>
      </w:r>
    </w:p>
    <w:p>
      <w:pPr>
        <w:pStyle w:val="Nivel2"/>
        <w:numPr>
          <w:ilvl w:val="1"/>
          <w:numId w:val="5"/>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5"/>
        </w:numPr>
        <w:spacing w:lineRule="auto" w:line="360" w:before="0" w:after="0"/>
        <w:ind w:left="567" w:hanging="0"/>
        <w:rPr>
          <w:sz w:val="22"/>
          <w:szCs w:val="22"/>
        </w:rPr>
      </w:pPr>
      <w:r>
        <w:rPr>
          <w:sz w:val="22"/>
          <w:szCs w:val="22"/>
        </w:rPr>
        <w:t>ANEXO I - Termo de Referência</w:t>
      </w:r>
    </w:p>
    <w:p>
      <w:pPr>
        <w:pStyle w:val="Nivel3"/>
        <w:numPr>
          <w:ilvl w:val="2"/>
          <w:numId w:val="5"/>
        </w:numPr>
        <w:spacing w:lineRule="auto" w:line="360" w:before="0" w:after="0"/>
        <w:ind w:left="567" w:right="-54" w:hanging="0"/>
        <w:rPr>
          <w:sz w:val="22"/>
          <w:szCs w:val="22"/>
        </w:rPr>
      </w:pPr>
      <w:r>
        <w:rPr>
          <w:sz w:val="22"/>
          <w:szCs w:val="22"/>
        </w:rPr>
        <w:t>ANEXO II – Modelo de Procuração</w:t>
      </w:r>
    </w:p>
    <w:p>
      <w:pPr>
        <w:pStyle w:val="Nivel3"/>
        <w:numPr>
          <w:ilvl w:val="2"/>
          <w:numId w:val="5"/>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left="567" w:hanging="0"/>
        <w:rPr>
          <w:sz w:val="22"/>
          <w:szCs w:val="22"/>
        </w:rPr>
      </w:pPr>
      <w:r>
        <w:rPr>
          <w:sz w:val="22"/>
          <w:szCs w:val="22"/>
        </w:rPr>
        <w:t>ANEXO V – Modelo de Proposta</w:t>
      </w:r>
    </w:p>
    <w:p>
      <w:pPr>
        <w:pStyle w:val="Nivel3"/>
        <w:numPr>
          <w:ilvl w:val="2"/>
          <w:numId w:val="5"/>
        </w:numPr>
        <w:spacing w:lineRule="auto" w:line="360" w:before="0" w:after="0"/>
        <w:ind w:left="567" w:hanging="0"/>
        <w:rPr>
          <w:sz w:val="22"/>
          <w:szCs w:val="22"/>
        </w:rPr>
      </w:pPr>
      <w:r>
        <w:rPr>
          <w:sz w:val="22"/>
          <w:szCs w:val="22"/>
        </w:rPr>
        <w:t>ANEXO VI - Minuta de Ata de Registro de Preços</w:t>
      </w:r>
    </w:p>
    <w:p>
      <w:pPr>
        <w:pStyle w:val="Nivel3"/>
        <w:numPr>
          <w:ilvl w:val="2"/>
          <w:numId w:val="5"/>
        </w:numPr>
        <w:spacing w:lineRule="auto" w:line="360" w:before="0" w:after="0"/>
        <w:ind w:left="567" w:hanging="0"/>
        <w:rPr>
          <w:sz w:val="22"/>
          <w:szCs w:val="22"/>
        </w:rPr>
      </w:pPr>
      <w:r>
        <w:rPr>
          <w:sz w:val="22"/>
          <w:szCs w:val="22"/>
        </w:rPr>
        <w:t>ANEXO VII – Minuta de Autorização de Fornecimento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pPr>
      <w:bookmarkStart w:id="34" w:name="_Hlk82473550"/>
      <w:r>
        <w:rPr>
          <w:rFonts w:eastAsia="MS Mincho;ＭＳ 明朝" w:cs="Arial" w:ascii="Arial" w:hAnsi="Arial"/>
          <w:sz w:val="22"/>
          <w:szCs w:val="22"/>
        </w:rPr>
        <w:t xml:space="preserve">Itatiba, </w:t>
      </w:r>
      <w:r>
        <w:rPr>
          <w:rFonts w:eastAsia="MS Mincho;ＭＳ 明朝" w:cs="Arial" w:ascii="Arial" w:hAnsi="Arial"/>
          <w:sz w:val="22"/>
          <w:szCs w:val="22"/>
        </w:rPr>
        <w:t>13</w:t>
      </w:r>
      <w:r>
        <w:rPr>
          <w:rFonts w:eastAsia="MS Mincho;ＭＳ 明朝" w:cs="Arial" w:ascii="Arial" w:hAnsi="Arial"/>
          <w:sz w:val="22"/>
          <w:szCs w:val="22"/>
        </w:rPr>
        <w:t xml:space="preserve"> de </w:t>
      </w:r>
      <w:r>
        <w:rPr>
          <w:rFonts w:eastAsia="MS Mincho;ＭＳ 明朝" w:cs="Arial" w:ascii="Arial" w:hAnsi="Arial"/>
          <w:sz w:val="22"/>
          <w:szCs w:val="22"/>
        </w:rPr>
        <w:t>novembro</w:t>
      </w:r>
      <w:r>
        <w:rPr>
          <w:rFonts w:eastAsia="MS Mincho;ＭＳ 明朝" w:cs="Arial" w:ascii="Arial" w:hAnsi="Arial"/>
          <w:sz w:val="22"/>
          <w:szCs w:val="22"/>
        </w:rPr>
        <w:t xml:space="preserve"> de 2024</w:t>
      </w:r>
      <w:bookmarkEnd w:id="34"/>
    </w:p>
    <w:p>
      <w:pPr>
        <w:pStyle w:val="Normal"/>
        <w:spacing w:lineRule="auto" w:line="276"/>
        <w:jc w:val="center"/>
        <w:rPr>
          <w:rFonts w:ascii="Arial" w:hAnsi="Arial" w:eastAsia="MS Mincho;ＭＳ 明朝" w:cs="Arial"/>
          <w:b/>
          <w:bCs/>
          <w:sz w:val="22"/>
          <w:szCs w:val="22"/>
        </w:rPr>
      </w:pPr>
      <w:r>
        <w:rPr>
          <w:rFonts w:eastAsia="MS Mincho;ＭＳ 明朝"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DR. RENAN DIAS IRABI</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Saúde</w:t>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117</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150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7.609/2024</w:t>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t>TERMO DE REFERÊNCIA</w:t>
      </w:r>
    </w:p>
    <w:p>
      <w:pPr>
        <w:pStyle w:val="Nivel01"/>
        <w:numPr>
          <w:ilvl w:val="0"/>
          <w:numId w:val="8"/>
        </w:numPr>
        <w:spacing w:lineRule="auto" w:line="360" w:before="120" w:after="288"/>
        <w:rPr>
          <w:sz w:val="22"/>
          <w:szCs w:val="22"/>
        </w:rPr>
      </w:pPr>
      <w:r>
        <w:rPr>
          <w:sz w:val="22"/>
          <w:szCs w:val="22"/>
        </w:rPr>
        <w:t>OBJETO</w:t>
      </w:r>
    </w:p>
    <w:p>
      <w:pPr>
        <w:pStyle w:val="Nivel2"/>
        <w:tabs>
          <w:tab w:val="clear" w:pos="0"/>
        </w:tabs>
        <w:spacing w:lineRule="auto" w:line="360" w:before="120" w:after="288"/>
        <w:ind w:left="0" w:hanging="0"/>
        <w:rPr>
          <w:bCs/>
          <w:sz w:val="22"/>
          <w:szCs w:val="22"/>
        </w:rPr>
      </w:pPr>
      <w:r>
        <w:rPr>
          <w:bCs/>
          <w:sz w:val="22"/>
          <w:szCs w:val="22"/>
        </w:rPr>
        <w:t>Constitui objeto deste Termo de Referência o Registro de Preços com vistas à eventual aquisição de medicamento e suplementos de acordo com as especificações, quantitativos máximos e condições mínimas abaixo apresentadas:</w:t>
      </w:r>
    </w:p>
    <w:tbl>
      <w:tblPr>
        <w:tblW w:w="9541" w:type="dxa"/>
        <w:jc w:val="left"/>
        <w:tblInd w:w="-48" w:type="dxa"/>
        <w:tblLayout w:type="fixed"/>
        <w:tblCellMar>
          <w:top w:w="60" w:type="dxa"/>
          <w:left w:w="60" w:type="dxa"/>
          <w:bottom w:w="60" w:type="dxa"/>
          <w:right w:w="60" w:type="dxa"/>
        </w:tblCellMar>
        <w:tblLook w:firstRow="0" w:noVBand="1" w:lastRow="0" w:firstColumn="0" w:lastColumn="0" w:noHBand="1" w:val="0600"/>
      </w:tblPr>
      <w:tblGrid>
        <w:gridCol w:w="609"/>
        <w:gridCol w:w="4254"/>
        <w:gridCol w:w="850"/>
        <w:gridCol w:w="1126"/>
        <w:gridCol w:w="149"/>
        <w:gridCol w:w="1418"/>
        <w:gridCol w:w="1134"/>
      </w:tblGrid>
      <w:tr>
        <w:trPr>
          <w:cantSplit w:val="true"/>
        </w:trPr>
        <w:tc>
          <w:tcPr>
            <w:tcW w:w="6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25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26"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149"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1.05.01.0017-1 - ESCOPOLAMINA BUTILBROMETO, 20 MG/ML, SOLUÇÃO INJETÁVEL AMPOL A 1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1.048,00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ESCOPOLAMINA BUTILBROMETO, 20 MG/ML, SOLUÇÃO INJETÁVEL AMPOLA 1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1.05.01.0029-5 - INSULINA, HUMANA, (N + R) EM PRÉ-MISTURA, 70% + 30% , 100 UI /ML, SOLUÇÃO INJETÁVEL, FRASCO 10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63,56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158.900,00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(N + R) EM PRÉ-MISTURA, 70% + 30% , 100 UI/ML, SOLUÇÃO INJETÁVEL, FRASCO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1.05.01.0043-0 - INSULINA, LISPRO, 100U/ML, INJETÁVEL FRASCO 10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117,07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8.780,25</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100U/ML, INJETÁVEL FRASCO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1.05.01.0053-8 - INSULINA,  LISPRO  ASSOCIADA  À  LISPRO  PROTAMINA,  25%  + 75%, INJETÁVEL TUBETE 3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269,08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4.036,20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ASSOCIADA  À  LISPRO  PROTAMINA,  25%  +  75%, INJETÁVEL TUBETE 3 ML</w:t>
            </w:r>
          </w:p>
          <w:p>
            <w:pPr>
              <w:pStyle w:val="Normal"/>
              <w:widowControl w:val="false"/>
              <w:rPr>
                <w:rFonts w:ascii="Arial" w:hAnsi="Arial" w:cs="Arial"/>
                <w:sz w:val="18"/>
                <w:szCs w:val="18"/>
              </w:rPr>
            </w:pPr>
            <w:r>
              <w:rPr>
                <w:rFonts w:cs="Arial" w:ascii="Arial" w:hAnsi="Arial"/>
                <w:sz w:val="18"/>
                <w:szCs w:val="18"/>
              </w:rPr>
              <w:t>EMBALADO EM CAIXA COM 05 TUBETES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1.05.01.0054-6 - AMINOFILINA, 24 MG/ML, SOLUÇÃO INJETÁVEL, AMPOLA 10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1.868,00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AMINOFILINA, 24 MG/ML, SOLUÇÃO INJETÁVEL, AMPOLA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1.05.01.0107-0 - HALOPERIDOL, 5 MG/ML, SOLUÇÃO INJETÁVEL AMPOLA 1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2.075,00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5 MG/ML, SOLUÇÃO INJETÁVEL AMPOLA 1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1.05.01.0110-0 - AMIODARONA, 50MG/ML, INJETÁVEL AMPOLA 3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1.356,00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AMIODARONA, 50MG/ML, INJETÁVEL AMPOLA 3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1.05.01.0128-3 - DICLOFENACO, SAL SÓDICO, 25MG/ML, SOLUÇÃO INJETÁVEL AMPOLA 3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0,99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DICLOFENACO, SAL SÓDICO, 25MG/ML, SOLUÇÃO INJETÁVEL AMPOLA 3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1.05.01.0201-8 - INSULINA DEGLUDECA 100U/ML REFIL 3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123,53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9.264,75</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DEGLUDECA 100U/ML REFIL 3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1.05.01.0215-8 - CITRATO DE FENTANILA 50 MCG/ML, SOLUÇÃO INJETÁVEL, AMPOLA 2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1.216,00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CITRATO DE FENTANILA 50 MCG/ML, SOLUÇÃO INJETÁVEL, AMPOLA 2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1.05.01.0217-4 - INSULINA, HUMANA, REGULAR, 100U/ML, INJETÁVEL, FRASCO 10 ML - USO ADULTO E PEDIÁTRICO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27,86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27.860,00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REGULAR, 100U/ML, INJETÁVEL, FRASCO 10 ML - USO ADULTO E PEDIÁTRICO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1.05.01.0223-9 - DUPILUMABE 175MG/ML - SERINGA PREENCHIDA COM 1,14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4.051,06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97.225,44</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DUPILUMABE 175MG/ML - SERINGA PREENCHIDA COM 1,14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1.05.01.0224-7 - INSULINA, ASPART, 100U/ML, INJETÁVEL FRASCO 10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184,57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8.305,65</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ASPART, 100U/ML, INJETÁVEL FRASCO 10 ML</w:t>
            </w:r>
          </w:p>
          <w:p>
            <w:pPr>
              <w:pStyle w:val="Normal"/>
              <w:widowControl w:val="false"/>
              <w:rPr>
                <w:rFonts w:ascii="Arial" w:hAnsi="Arial" w:cs="Arial"/>
                <w:sz w:val="18"/>
                <w:szCs w:val="18"/>
              </w:rPr>
            </w:pPr>
            <w:r>
              <w:rPr>
                <w:rFonts w:cs="Arial" w:ascii="Arial" w:hAnsi="Arial"/>
                <w:sz w:val="18"/>
                <w:szCs w:val="18"/>
              </w:rPr>
              <w:t>Marca FIASP - ação judicial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1.05.02.0001-0 - ÁCIDO VALPROICO, 50 MG/ML, XAROPE, FRASCO 100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15.930,00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VALPROICO, 50 MG/ML, XAROPE,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1.05.02.0004-4 - AZITROMICINA, PÓ P/ SUSPENSÃO ORAL, 200 MG/5ML  FRASCO COM 1 5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1.173,00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AZITROMICINA, PÓ P/ SUSPENSÃO ORAL, 200 MG/5ML  FRASCO COM 15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1.05.02.0014-1 - DEXCLORFENIRAMINA MALEATO, 0,4 MG/ML, SOLUÇÃO ORAL, FRASCO 1 00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4.940,00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DEXCLORFENIRAMINA MALEATO, 0,4 MG/ML, SOLUÇÃO ORAL,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1.05.02.0017-6 - DIMENIDRINATO, ASSOCIADO COM PIRIDOXINA CLORIDRATO, 25MG + 5 MG/ML, SOLUÇÃO ORAL, GOTAS, FRASCO 20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24.360,00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DIMENIDRINATO, ASSOCIADO COM PIRIDOXINA CLORIDRATO, 25MG + 5MG/ML, SOLUÇÃO ORAL, GOTAS, FRASCO 20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1.05.02.0020-6 - HALOPERIDOL, 2 MG/ML, SOLUÇÃO ORAL-GOTAS, FRASCO 20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4.510,00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2 MG/ML, SOLUÇÃO ORAL-GOTAS, FRASCO 20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1.05.02.0027-3 - NISTATINA, 100.000 UI/ML, SUSPENSÃO ORAL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6.732,00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NISTATINA, 100.000 UI/ML, SUSPENSÃO ORAL, FRASCO COM NO MÍNIMO 40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1.05.02.0031-1 - TROPICAMIDA, 1%, SOLUÇÃO OFTÁLMICA FRASCO 5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2.107,00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TROPICAMIDA, 1%, SOLUÇÃO OFTÁLMICA FRASCO 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1.05.02.0094-0 - CLORETO DE POTÁSSIO, 6%, SOLUÇÃO ORAL FRASCO 100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CLORETO DE POTÁSSIO, 6%, SOLUÇÃO ORAL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1.05.02.0134-2 - PREDNISOLONA, 3 MG/ML, SOLUÇÃO ORAL FRASCO 60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20.120,00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PREDNISOLONA, 3 MG/ML, SOLUÇÃO ORAL FRASCO 60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1.05.02.0190-3 - SOLUÇÃO CONCENTRADA DE 360 MG/G DE POLICRESULENO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32,53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390,36</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CONCENTRADA DE 360 MG/G DE POLICRESULENO - FRASCO 12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1.05.02.0205-5 - PROXIMETACAINA 5MG/ML SOLUÇÃO OFTÁLMICA FRASCO 5ML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1.203,00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PROXIMETACAINA 5MG/ML SOLUÇÃO OFTÁLMICA FRASCO 5ML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1.05.02.0210-1 - OXIBUPROCAINA CLORIDRATO 4MG/ML SOLUÇÃO OFTALMICA - FRASCO 5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24,57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2.457,00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OXIBUPROCAINA CLORIDRATO 4MG/ML SOLUÇÃO OFTALMICA - FRASCO 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1.05.02.0211-0 - CANABIDIOL 100 MG/ ML - SOLUÇÃO ORAL 30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906,49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5.438,94</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CANABIDIOL 100 MG/ ML - SOLUÇÃO ORAL 30 ML</w:t>
            </w:r>
          </w:p>
          <w:p>
            <w:pPr>
              <w:pStyle w:val="Normal"/>
              <w:widowControl w:val="false"/>
              <w:rPr>
                <w:rFonts w:ascii="Arial" w:hAnsi="Arial" w:cs="Arial"/>
                <w:sz w:val="18"/>
                <w:szCs w:val="18"/>
              </w:rPr>
            </w:pPr>
            <w:r>
              <w:rPr>
                <w:rFonts w:cs="Arial" w:ascii="Arial" w:hAnsi="Arial"/>
                <w:sz w:val="18"/>
                <w:szCs w:val="18"/>
              </w:rPr>
              <w:t>Canabidiol 100 mg/mL solução oral frasco 30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1.05.02.0213-6 - SOMATROPINA 12 UI</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249,13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5.979,12</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SOMATROPINA 12 UI</w:t>
            </w:r>
          </w:p>
          <w:p>
            <w:pPr>
              <w:pStyle w:val="Normal"/>
              <w:widowControl w:val="false"/>
              <w:rPr>
                <w:rFonts w:ascii="Arial" w:hAnsi="Arial" w:cs="Arial"/>
                <w:sz w:val="18"/>
                <w:szCs w:val="18"/>
              </w:rPr>
            </w:pPr>
            <w:r>
              <w:rPr>
                <w:rFonts w:cs="Arial" w:ascii="Arial" w:hAnsi="Arial"/>
                <w:sz w:val="18"/>
                <w:szCs w:val="18"/>
              </w:rPr>
              <w:t>Somatropina 12UI, contendo 01 frasco/ ampola com pó liofilizado para solução injetável + 1 frasco de solução diluente.</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1.05.02.0214-4 - GOLIMUMABE 100 MG/ML SOLUÇÃO INJETAVEL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14.978,10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89.868,60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GOLIMUMABE 100 MG/ML SOLUÇÃO INJETAVEL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1.05.02.0215-2 - UPADACITINIBE 15 MG</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5.643,63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33.861,78</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UPADACITINIBE 15 MG</w:t>
            </w:r>
          </w:p>
          <w:p>
            <w:pPr>
              <w:pStyle w:val="Normal"/>
              <w:widowControl w:val="false"/>
              <w:rPr>
                <w:rFonts w:ascii="Arial" w:hAnsi="Arial" w:cs="Arial"/>
                <w:sz w:val="18"/>
                <w:szCs w:val="18"/>
              </w:rPr>
            </w:pPr>
            <w:r>
              <w:rPr>
                <w:rFonts w:cs="Arial" w:ascii="Arial" w:hAnsi="Arial"/>
                <w:sz w:val="18"/>
                <w:szCs w:val="18"/>
              </w:rPr>
              <w:t>comprimidos revestidos de liberação controlada.</w:t>
            </w:r>
          </w:p>
          <w:p>
            <w:pPr>
              <w:pStyle w:val="Normal"/>
              <w:widowControl w:val="false"/>
              <w:rPr>
                <w:rFonts w:ascii="Arial" w:hAnsi="Arial" w:cs="Arial"/>
                <w:sz w:val="18"/>
                <w:szCs w:val="18"/>
              </w:rPr>
            </w:pPr>
            <w:r>
              <w:rPr>
                <w:rFonts w:cs="Arial" w:ascii="Arial" w:hAnsi="Arial"/>
                <w:sz w:val="18"/>
                <w:szCs w:val="18"/>
              </w:rPr>
              <w:t>embalagem com 30 unidades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1.05.03.0004-9 - BIPERIDENO, 2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34.800,00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BIPERIDENO, 2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1.05.03.0007-3 - CARBONATO DE LÍTIO, 300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CARBONATO DE LÍTIO, 300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1.05.03.0008-1 - CIPROFLOXACINO CLORIDRATO, 500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21.700,00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CIPROFLOXACINO CLORIDRATO, 500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1.05.03.0015-4 - ESTROGÊNIOS CONJUGADOS, 0,625 MG, DRÁGEA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DR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11.360,00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ESTROGÊNIOS CONJUGADOS, 0,625 MG, DRÁGEA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1.05.03.0022-7 - IVERMECTINA, 6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3.150,00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IVERMECTINA, 6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1.05.03.0024-3 - LEVODOPA, ASSOCIADO À CARBIDOPA, 250MG + 25MG,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LEVODOPA, ASSOCIADO À CARBIDOPA, 250MG + 25MG,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1.05.03.0040-5 - TRAMADOL CLORIDRATO, 50 MG CÁPSULA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21.600,00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TRAMADOL CLORIDRATO, 50 MG CÁPSULA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1.05.03.0042-1 - VERAPAMIL CLORIDRATO, 80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40.500,00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VERAPAMIL CLORIDRATO, 80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1.05.03.0099-5 - SECNIDAZOL, 1.000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2.220,00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SECNIDAZOL, 1.000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1.05.03.0164-9 - INSULINA, ASPART, 100U/ML, INJETÁVEL TUBETE 3 ML  - REFIL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31,78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25.424,00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ASPART, 100U/ML, INJETÁVEL TUBETE 3 ML - REFIL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1.05.03.0190-8 - CLORIDRATO DE METILFENIDATO 20 MG LA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13.590,00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CLORIDRATO DE METILFENIDATO 20 MG LA - comprimidos de liberação lenta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1.05.03.0193-2 - CARBAMAZEPINA, 400 MG, LIBERAÇÃO CONTROLADA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2.160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5.616,00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CARBAMAZEPINA, 400 MG, LIBERAÇÃO CONTROLADA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1.05.03.0198-3 - OMEPRAZOL, 20 MG, CÁPSULA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OMEPRAZOL, 20 MG, CÁPSULA, em blister</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1.05.03.0200-9 - CINARIZINA, 25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CINARIZINA, 25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1.05.03.0201-7 - CINARIZINA, 75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56.400,00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CINARIZINA, 75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1.05.03.0212-2 - FLUCONAZOL, 150 MG, CÁPSULA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6.120,00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FLUCONAZOL, 150 MG, CÁPSULA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1.05.03.0270-0 - ESPIRONOLACTONA, 25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130.500,00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ESPIRONOLACTONA, 25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1.05.03.0376-5 - LEVODOPA, ASSOCIADO À BENSERAZIDA, 200MG + 50MG,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162.000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348.300,00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LEVODOPA, ASSOCIADO À BENSERAZIDA, 200MG + 50MG,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1.05.03.0442-7 - VASELINA SOLIDA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10,27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123,24</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VASELINA SOLIDA</w:t>
            </w:r>
          </w:p>
          <w:p>
            <w:pPr>
              <w:pStyle w:val="Normal"/>
              <w:widowControl w:val="false"/>
              <w:rPr>
                <w:rFonts w:ascii="Arial" w:hAnsi="Arial" w:cs="Arial"/>
                <w:sz w:val="18"/>
                <w:szCs w:val="18"/>
              </w:rPr>
            </w:pPr>
            <w:r>
              <w:rPr>
                <w:rFonts w:cs="Arial" w:ascii="Arial" w:hAnsi="Arial"/>
                <w:sz w:val="18"/>
                <w:szCs w:val="18"/>
              </w:rPr>
              <w:t>Vaselina Solida, embalagem com 90 gramas.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1.05.03.0498-2 - METILFENIDATO CLORIDRATO, 36 MG, LIBERAÇÃO CONTROLADA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4.266,00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METILFENIDATO CLORIDRATO, 36 MG, LIBERAÇÃO CONTROLADA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1.05.03.0522-9 - AMINOÁCIDOS ASSOCIADOS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71.955,00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AMINOÁCIDOS ASSOCIADOS COMPRIMIDO</w:t>
            </w:r>
          </w:p>
          <w:p>
            <w:pPr>
              <w:pStyle w:val="Normal"/>
              <w:widowControl w:val="false"/>
              <w:rPr>
                <w:rFonts w:ascii="Arial" w:hAnsi="Arial" w:cs="Arial"/>
                <w:sz w:val="18"/>
                <w:szCs w:val="18"/>
              </w:rPr>
            </w:pPr>
            <w:r>
              <w:rPr>
                <w:rFonts w:cs="Arial" w:ascii="Arial" w:hAnsi="Arial"/>
                <w:sz w:val="18"/>
                <w:szCs w:val="18"/>
              </w:rPr>
              <w:t>3-metil-2-oxo-valerato de cálcio (alfa-ceto-análogo da isoleucina) 67 mg , 4-metil-2-oxo-valerato de cálcio(alfa-ceto-análogo da leucina) 101 mg, 2-oxo-3-fenil-propionato de cálcio (alfa-ceto-análogo da fenilalanina) 68 mg, 3-metil-2-oxo-butirato de cálcio (alfa-ceto-análogo da valina) 86 mg, 2-hidróxi-4-metil-tio-butirato de cálcio (alfa-hidróxi-análogo da metionina) 59 mg, monoacetato de lisina (lisina 75 mg) 105 mg, treonina 53 mg,</w:t>
            </w:r>
          </w:p>
          <w:p>
            <w:pPr>
              <w:pStyle w:val="Normal"/>
              <w:widowControl w:val="false"/>
              <w:rPr>
                <w:rFonts w:ascii="Arial" w:hAnsi="Arial" w:cs="Arial"/>
                <w:sz w:val="18"/>
                <w:szCs w:val="18"/>
              </w:rPr>
            </w:pPr>
            <w:r>
              <w:rPr>
                <w:rFonts w:cs="Arial" w:ascii="Arial" w:hAnsi="Arial"/>
                <w:sz w:val="18"/>
                <w:szCs w:val="18"/>
              </w:rPr>
              <w:t>triptofana 23 mg, histidina 38 mg, tirosina 30 mg, teor de nitrogênio / comprimido revestido: 36 mg,</w:t>
            </w:r>
          </w:p>
          <w:p>
            <w:pPr>
              <w:pStyle w:val="Normal"/>
              <w:widowControl w:val="false"/>
              <w:rPr>
                <w:rFonts w:ascii="Arial" w:hAnsi="Arial" w:cs="Arial"/>
                <w:sz w:val="18"/>
                <w:szCs w:val="18"/>
              </w:rPr>
            </w:pPr>
            <w:r>
              <w:rPr>
                <w:rFonts w:cs="Arial" w:ascii="Arial" w:hAnsi="Arial"/>
                <w:sz w:val="18"/>
                <w:szCs w:val="18"/>
              </w:rPr>
              <w:t>Cálcio / comprimido revestido:1,25 mmol = 50 mg.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1.05.03.0530-0 - ANLODIPINO BESILATO, 5 MG</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ANLODIPINO BESILATO, 5 MG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1.05.03.0578-4 - CASTANHA DA ÍNDIA, 100 mg, CÁPSULA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152.000,00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CASTANHA DA ÍNDIA, 100 mg, CÁPSULA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1.05.03.0579-2 - ÁCIDO ACETILSALICÍLICO, 300 MG, TAMPONADO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ACETILSALICÍLICO, 300 MG, TAMPONADO COMPRIMIDO (marca ASPIRINA PREVENT)</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1.05.03.0592-0 - PALIPERIDONA  3 MG COMPRIMIDO REVESTIDO LIBERAÇÃO PROLONGADA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15,37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6.455,40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PALIPERIDONA  3 MG COMPRIMIDO REVESTIDO LIBERAÇÃO PROLONGADA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1.05.03.0599-7 - CLORIDRATO DE MINOCICLINA 100 MG COMPRIMIDO REVESTIDO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1.415,00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CLORIDRATO DE MINOCICLINA 100 MG COMPRIMIDO REVESTIDO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1.05.03.0608-0 - DIMESILATO DE LISDEXANFETAMINA 70 MG CÁPSULAS</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840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12.793,20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DIMESILATO DE LISDEXANFETAMINA 70 MG CÁPSULAS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1.05.04.0001-9 - ÁCIDOS GRAXOS ESSENCIAIS + VITAMINA A E</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1.794,00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ÁCIDOS GRAXOS ESSENCIAIS + VITAMINA A E, LECITINA DE SOJA ÓL EO RESTAURADOR DO EPITÉLIO, FRASCO COM 200 ML, PRODUTO PARA SAÚDE, CLASSE DE RISCO III.</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1.05.04.0004-3 - FIBRINOLISINA, ASSOCIADA COM DESOXIRRIBONUCLEASE E CLORANFEN ICOL, 1U + 666U + 1%</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FIBRINOLISINA, ASSOCIADA COM DESOXIRRIBONUCLEASE E CLORANFENICOL, 1U + 666U + 1%, POMADA, BISNAGA 30 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1.05.04.0027-2 - CETOCONAZOL, 20 MG/G, CREME TÓPICO BISNAGA 30 G</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10.045,00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CETOCONAZOL, 20 MG/G, CREME TÓPICO BISNAGA 30 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1.05.04.0029-9 - SULFADIAZINA, DE PRATA, 1%, CREME BISNAGA 30 G</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2.855,00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SULFADIAZINA, DE PRATA, 1%, CREME BISNAGA 30 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1.05.06.0006-9 - AMOXICILINA, 500MG, CÁPSULA OU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500MG, CÁPSULA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1.05.06.0014-0 - CEFALEXINA, 500 MG, CÁPSULA</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0,88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105.600,00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CEFALEXINA, 500 MG, CÁPSULA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1.05.06.0020-4 - DIGOXINA, 0,25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5.750,00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DIGOXINA, 0,25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1.05.06.0024-7 - FENITOÍNA SÓDICA, 100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18.200,00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FENITOÍNA SÓDICA, 100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1.05.06.0037-9 - BENZOILMETRONIDAZOL, 40 MG/ML, SUSPENSÃO ORAL FRASCO 100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8,73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2.619,00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BENZOILMETRONIDAZOL, 40 MG/ML, SUSPENSÃO ORAL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1.05.06.0040-9 - NIFEDIPINO, 20 MG, RETARD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NIFEDIPINO, 20 MG, RETARD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1.05.06.0055-7 - SULFATO FERROSO, 25MG/ML DE FERRO II, SOLUÇÃO ORAL-GOTAS FRA SCO 30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SULFATO FERROSO, 25MG/ML DE FERRO II, SOLUÇÃO ORAL-GOTAS FRASCO 30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1.05.06.0058-1 - PARACETAMOL, 200 MG/ML, SOLUÇÃO ORAL FRASCO 15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9.480,00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PARACETAMOL, 200 MG/ML, SOLUÇÃO ORAL FRASCO 15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1.05.16.0013-5 - ÁCIDO FOLINICO 15MG</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4.460,00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FOLINICO 15MG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1.05.16.0016-0 - DOXICICLINA, 100 MG, DRÁGEA OU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1.275,00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DOXICICLINA, 100 MG, DRÁGEA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71</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1.05.16.0031-3 - ITRACONAZOL, 100 MG, CÁPSULA OU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20.520,00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ITRACONAZOL, 100 MG, CÁPSULA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1.05.16.0056-9 - TIAMINA, 300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48.000,00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TIAMINA, 300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1.05.16.0060-7 - ESTRADIOL, VALERATO ASSOCIADO COM NORETISTERONA ENANTATO, 5M G + 50MG/1ML, INJETÁVEL, AMPOLA 1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14,76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59.040,00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ESTRADIOL, VALERATO ASSOCIADO COM NORETISTERONA ENANTATO, 5MG + 50MG/1ML, INJETÁVEL - AMPOLA 1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74</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1.05.18.0015-0 - INSULINA,  DETEMIR,  100U/ML,  SOLUÇÃO  INJETÁVEL,  COM  SIS TEMA  DE APLICAÇÃO TUBETE 3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503,65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15.109,50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DETEMIR,  100U/ML,  SOLUÇÃO  INJETÁVEL,  COM  SISTEMA  DE APLICAÇÃO TUBETE 3 ML</w:t>
            </w:r>
          </w:p>
          <w:p>
            <w:pPr>
              <w:pStyle w:val="Normal"/>
              <w:widowControl w:val="false"/>
              <w:rPr>
                <w:rFonts w:ascii="Arial" w:hAnsi="Arial" w:cs="Arial"/>
                <w:sz w:val="18"/>
                <w:szCs w:val="18"/>
              </w:rPr>
            </w:pPr>
            <w:r>
              <w:rPr>
                <w:rFonts w:cs="Arial" w:ascii="Arial" w:hAnsi="Arial"/>
                <w:sz w:val="18"/>
                <w:szCs w:val="18"/>
              </w:rPr>
              <w:t>EMBALADO EM CAIXA COM 05 TUBETES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1.05.18.0024-0 - VILDAGLIPTINA, 50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1.680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4.384,80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VILDAGLIPTINA, 50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1.05.18.0045-2 - INSULINA LISPRO 100U/ML INJETAVEL REFIL 3ML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42,41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16.115,80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100U/ML INJETAVEL REFIL 3ML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77</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1.05.18.0059-2 - INSULINA, ASPART, 100U/ML, INJETÁVEL FRASCO 10 ML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95,41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5.724,60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ASPART, 100U/ML, INJETÁVEL FRASCO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1.05.18.0072-0 - DIENOGESTE 2MG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252,00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DIENOGESTE 2MG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79</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1.05.18.0084-3 - INSULINA, GLARGINA, 100UI/ML, INJETÁVEL TUBETE 3 ML - REFIL</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27,59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35.867,00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GLARGINA, 100UI/ML, INJETÁVEL TUBETE 3 ML - REFIL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425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1.05.18.0087-8 - METFORMINA CLORIDRATO, ASSOCIADA À VILDAGLIPTINA, 1000 MG + 50 MG COMPRIMIDO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26"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1.680</w:t>
            </w:r>
          </w:p>
        </w:tc>
        <w:tc>
          <w:tcPr>
            <w:tcW w:w="149"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6.972,00</w:t>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METFORMINA CLORIDRATO, ASSOCIADA À VILDAGLIPTINA, 1000 MG + 50 MG COMPRIMIDO</w:t>
            </w:r>
          </w:p>
        </w:tc>
      </w:tr>
    </w:tbl>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rPr>
      </w:pPr>
      <w:r>
        <w:rPr>
          <w:rFonts w:cs="Arial" w:ascii="Arial" w:hAnsi="Arial"/>
          <w:b/>
          <w:bCs/>
          <w:sz w:val="22"/>
          <w:szCs w:val="22"/>
        </w:rPr>
        <w:t>1.2</w:t>
      </w:r>
      <w:r>
        <w:rPr>
          <w:rFonts w:cs="Arial" w:ascii="Arial" w:hAnsi="Arial"/>
          <w:b/>
          <w:bCs/>
          <w:color w:val="000000"/>
          <w:sz w:val="22"/>
          <w:szCs w:val="22"/>
        </w:rPr>
        <w:t xml:space="preserve"> – A licitante deverá aplicar o CAP – Coeficiente de Adequação de Preço, determinado pelo CMED (Câmara de Regulação do Mercado de Medicamentos) e atualizado anualmente, nos itens </w:t>
      </w:r>
      <w:r>
        <w:rPr>
          <w:rFonts w:cs="Arial" w:ascii="Arial" w:hAnsi="Arial"/>
          <w:b/>
          <w:bCs/>
          <w:sz w:val="22"/>
          <w:szCs w:val="22"/>
        </w:rPr>
        <w:t>3, 4, 9, 12, 13, 39, 40, 41, 49, 50, 53, 54, 74, 75, 76, 77, 78, 79 e 80</w:t>
      </w:r>
      <w:r>
        <w:rPr>
          <w:rFonts w:cs="Arial" w:ascii="Arial" w:hAnsi="Arial"/>
          <w:b/>
          <w:bCs/>
          <w:color w:val="000000"/>
          <w:sz w:val="22"/>
          <w:szCs w:val="22"/>
        </w:rPr>
        <w:t xml:space="preserve">. </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pPr>
      <w:r>
        <w:rPr>
          <w:rFonts w:cs="Arial" w:ascii="Arial" w:hAnsi="Arial"/>
          <w:b/>
          <w:color w:val="000000"/>
          <w:sz w:val="22"/>
          <w:szCs w:val="22"/>
        </w:rPr>
        <w:t>2- DOCUMENTAÇÃO COMPLEMENTAR</w:t>
      </w:r>
      <w:r>
        <w:rPr>
          <w:rFonts w:cs="Arial" w:ascii="Arial" w:hAnsi="Arial"/>
          <w:sz w:val="22"/>
          <w:szCs w:val="22"/>
        </w:rPr>
        <w:t xml:space="preserve"> </w:t>
      </w:r>
    </w:p>
    <w:p>
      <w:pPr>
        <w:pStyle w:val="Normal"/>
        <w:spacing w:lineRule="auto" w:line="360"/>
        <w:jc w:val="both"/>
        <w:rPr/>
      </w:pPr>
      <w:r>
        <w:rPr>
          <w:rFonts w:cs="Arial" w:ascii="Arial" w:hAnsi="Arial"/>
          <w:sz w:val="22"/>
          <w:szCs w:val="22"/>
        </w:rPr>
        <w:t xml:space="preserve">2.1 - O licitante declarado provisoriamente vencedor, nos termos do item 7.18 ou 7.19 do edital, </w:t>
      </w:r>
      <w:r>
        <w:rPr>
          <w:rFonts w:cs="Arial" w:ascii="Arial" w:hAnsi="Arial"/>
          <w:color w:val="000000"/>
          <w:sz w:val="22"/>
          <w:szCs w:val="22"/>
        </w:rPr>
        <w:t xml:space="preserve">terá o prazo de até 02 (dois) dias úteis, contados da sessão de processamento da licitação, para apresentar mediante protocolo </w:t>
      </w:r>
      <w:r>
        <w:rPr>
          <w:rFonts w:cs="Arial" w:ascii="Arial" w:hAnsi="Arial"/>
          <w:sz w:val="22"/>
          <w:szCs w:val="22"/>
        </w:rPr>
        <w:t xml:space="preserve">na </w:t>
      </w:r>
      <w:r>
        <w:rPr>
          <w:rFonts w:cs="Arial" w:ascii="Arial" w:hAnsi="Arial"/>
          <w:b/>
          <w:sz w:val="22"/>
          <w:szCs w:val="22"/>
          <w:u w:val="single"/>
        </w:rPr>
        <w:t>Secretaria da Saúde, situada na Rua Marcos Dian, 365 – Jd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dos produtos ofertados:</w:t>
      </w:r>
    </w:p>
    <w:p>
      <w:pPr>
        <w:pStyle w:val="Normal"/>
        <w:numPr>
          <w:ilvl w:val="0"/>
          <w:numId w:val="3"/>
        </w:numPr>
        <w:tabs>
          <w:tab w:val="clear" w:pos="709"/>
          <w:tab w:val="left" w:pos="0" w:leader="none"/>
          <w:tab w:val="left" w:pos="993" w:leader="none"/>
        </w:tabs>
        <w:spacing w:lineRule="auto" w:line="360"/>
        <w:ind w:left="0" w:hanging="360"/>
        <w:jc w:val="both"/>
        <w:rPr>
          <w:rFonts w:ascii="Arial" w:hAnsi="Arial" w:cs="Arial"/>
          <w:b/>
          <w:bCs/>
          <w:sz w:val="22"/>
          <w:szCs w:val="22"/>
        </w:rPr>
      </w:pPr>
      <w:r>
        <w:rPr>
          <w:rFonts w:cs="Arial" w:ascii="Arial" w:hAnsi="Arial"/>
          <w:b/>
          <w:bCs/>
          <w:sz w:val="22"/>
          <w:szCs w:val="22"/>
        </w:rPr>
        <w:t>Registro do Produto na ANVISA, atualizado e vigente;</w:t>
      </w:r>
    </w:p>
    <w:p>
      <w:pPr>
        <w:pStyle w:val="Normal"/>
        <w:numPr>
          <w:ilvl w:val="0"/>
          <w:numId w:val="3"/>
        </w:numPr>
        <w:tabs>
          <w:tab w:val="clear" w:pos="709"/>
          <w:tab w:val="left" w:pos="0" w:leader="none"/>
          <w:tab w:val="left" w:pos="993" w:leader="none"/>
        </w:tabs>
        <w:spacing w:lineRule="auto" w:line="360"/>
        <w:ind w:left="0" w:hanging="360"/>
        <w:jc w:val="both"/>
        <w:rPr>
          <w:rFonts w:ascii="Arial" w:hAnsi="Arial" w:cs="Arial"/>
          <w:b/>
          <w:bCs/>
          <w:sz w:val="22"/>
          <w:szCs w:val="22"/>
        </w:rPr>
      </w:pPr>
      <w:r>
        <w:rPr>
          <w:rFonts w:cs="Arial" w:ascii="Arial" w:hAnsi="Arial"/>
          <w:b/>
          <w:bCs/>
          <w:sz w:val="22"/>
          <w:szCs w:val="22"/>
        </w:rPr>
        <w:t>Especificação técnica do produto ofertado que pode ser bula ou informação via internet.</w:t>
      </w:r>
    </w:p>
    <w:p>
      <w:pPr>
        <w:pStyle w:val="Normal"/>
        <w:spacing w:lineRule="auto" w:line="360"/>
        <w:jc w:val="both"/>
        <w:rPr>
          <w:rFonts w:ascii="Arial" w:hAnsi="Arial" w:cs="Arial"/>
          <w:bCs/>
          <w:sz w:val="22"/>
          <w:szCs w:val="22"/>
        </w:rPr>
      </w:pPr>
      <w:r>
        <w:rPr>
          <w:rFonts w:cs="Arial" w:ascii="Arial" w:hAnsi="Arial"/>
          <w:bCs/>
          <w:sz w:val="22"/>
          <w:szCs w:val="22"/>
        </w:rPr>
        <w:t xml:space="preserve">2.2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2.3 - Aprovadas as documentações, na retomada da sessão o proponente será definitivamente declarado vencedor, e terá o seu preço registrado na ata que será formalizada, após adjudicação do objeto e homologação do procedimento.</w:t>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b/>
          <w:sz w:val="22"/>
          <w:szCs w:val="22"/>
        </w:rPr>
      </w:pPr>
      <w:r>
        <w:rPr>
          <w:rFonts w:cs="Arial" w:ascii="Arial" w:hAnsi="Arial"/>
          <w:b/>
          <w:sz w:val="22"/>
          <w:szCs w:val="22"/>
        </w:rPr>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b/>
          <w:sz w:val="22"/>
          <w:szCs w:val="22"/>
        </w:rPr>
      </w:pPr>
      <w:r>
        <w:rPr>
          <w:rFonts w:cs="Arial" w:ascii="Arial" w:hAnsi="Arial"/>
          <w:b/>
          <w:sz w:val="22"/>
          <w:szCs w:val="22"/>
        </w:rPr>
        <w:t>3 - DA VALIDADE DOS MEDICAMENTOS</w:t>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pPr>
      <w:r>
        <w:rPr>
          <w:rFonts w:cs="Arial" w:ascii="Arial" w:hAnsi="Arial"/>
          <w:sz w:val="22"/>
          <w:szCs w:val="22"/>
        </w:rPr>
        <w:tab/>
        <w:t>3.1-</w:t>
      </w:r>
      <w:r>
        <w:rPr>
          <w:rFonts w:cs="Arial" w:ascii="Arial" w:hAnsi="Arial"/>
          <w:b/>
          <w:sz w:val="22"/>
          <w:szCs w:val="22"/>
        </w:rPr>
        <w:t xml:space="preserve"> </w:t>
      </w:r>
      <w:r>
        <w:rPr>
          <w:rFonts w:cs="Arial" w:ascii="Arial" w:hAnsi="Arial"/>
          <w:sz w:val="22"/>
          <w:szCs w:val="22"/>
        </w:rPr>
        <w:t>A validade dos medicamentos deverá ser superior a 18 (dezoito) meses da data de entrega.</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sz w:val="22"/>
          <w:szCs w:val="22"/>
        </w:rPr>
      </w:pPr>
      <w:r>
        <w:rPr>
          <w:rFonts w:cs="Arial" w:ascii="Arial" w:hAnsi="Arial"/>
          <w:b/>
          <w:sz w:val="22"/>
          <w:szCs w:val="22"/>
        </w:rPr>
        <w:t>4 – PRAZOS</w:t>
      </w:r>
    </w:p>
    <w:p>
      <w:pPr>
        <w:pStyle w:val="Corpodetexto21"/>
        <w:spacing w:lineRule="auto" w:line="360" w:before="0" w:after="0"/>
        <w:jc w:val="both"/>
        <w:rPr>
          <w:rFonts w:ascii="Arial" w:hAnsi="Arial" w:cs="Arial"/>
          <w:sz w:val="22"/>
          <w:szCs w:val="22"/>
        </w:rPr>
      </w:pPr>
      <w:r>
        <w:rPr>
          <w:rFonts w:cs="Arial" w:ascii="Arial" w:hAnsi="Arial"/>
          <w:sz w:val="22"/>
          <w:szCs w:val="22"/>
        </w:rPr>
        <w:t>4.1 - Os quantitativos totais expressos neste Anexo, são estimados e representa a previsão da Secretaria requisitante, pelo prazo de 12 (doze) meses.</w:t>
      </w:r>
    </w:p>
    <w:p>
      <w:pPr>
        <w:pStyle w:val="Corpodetexto32"/>
        <w:spacing w:lineRule="auto" w:line="360"/>
        <w:rPr>
          <w:rFonts w:ascii="Arial" w:hAnsi="Arial" w:cs="Arial"/>
          <w:sz w:val="22"/>
          <w:szCs w:val="22"/>
        </w:rPr>
      </w:pPr>
      <w:r>
        <w:rPr>
          <w:rFonts w:cs="Arial" w:ascii="Arial" w:hAnsi="Arial"/>
          <w:sz w:val="22"/>
          <w:szCs w:val="22"/>
        </w:rPr>
        <w:t xml:space="preserve">4.2 – A entrega dos itens efetivamente contratados deverá ser efetuada em até 10 (dez) dias após a expedição da Autorização de Fornecimento, contando-se o prazo a partir da comunicação formal ao licitante vencedor que será efetuada via fax ou outro meio hábil. </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sz w:val="22"/>
          <w:szCs w:val="22"/>
        </w:rPr>
      </w:pPr>
      <w:r>
        <w:rPr>
          <w:rFonts w:cs="Arial" w:ascii="Arial" w:hAnsi="Arial"/>
          <w:b/>
          <w:sz w:val="22"/>
          <w:szCs w:val="22"/>
        </w:rPr>
        <w:t>5 –CONDIÇÕES DE ENTREGA E RECEBIMENTO</w:t>
      </w:r>
    </w:p>
    <w:p>
      <w:pPr>
        <w:pStyle w:val="Western"/>
        <w:spacing w:lineRule="auto" w:line="360" w:before="0" w:after="0"/>
        <w:jc w:val="both"/>
        <w:rPr>
          <w:rFonts w:ascii="Arial" w:hAnsi="Arial" w:cs="Arial"/>
          <w:sz w:val="22"/>
          <w:szCs w:val="22"/>
        </w:rPr>
      </w:pPr>
      <w:r>
        <w:rPr>
          <w:rFonts w:cs="Arial" w:ascii="Arial" w:hAnsi="Arial"/>
          <w:sz w:val="22"/>
          <w:szCs w:val="22"/>
        </w:rPr>
        <w:t>5.1 - Os medicamentos deverão ser entregues na Secretaria da Saúde, situada na Rua Marcos Dian, nº 365, Jardim de Lucca, Itatiba/SP, na porta do almoxarifado farmacêutico. O horário de recebimento é de segunda a sexta das 07:30h às 11:30h e das 13:30h às 15:30h</w:t>
      </w:r>
    </w:p>
    <w:p>
      <w:pPr>
        <w:pStyle w:val="Western"/>
        <w:spacing w:lineRule="auto" w:line="360" w:before="0" w:after="0"/>
        <w:jc w:val="both"/>
        <w:rPr>
          <w:rFonts w:ascii="Arial" w:hAnsi="Arial" w:cs="Arial"/>
          <w:sz w:val="22"/>
          <w:szCs w:val="22"/>
        </w:rPr>
      </w:pPr>
      <w:r>
        <w:rPr>
          <w:rFonts w:cs="Arial" w:ascii="Arial" w:hAnsi="Arial"/>
          <w:sz w:val="22"/>
          <w:szCs w:val="22"/>
        </w:rPr>
        <w:t>5.2 -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5.3 -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vel2-Red"/>
        <w:tabs>
          <w:tab w:val="clear" w:pos="0"/>
        </w:tabs>
        <w:spacing w:lineRule="auto" w:line="360" w:before="0" w:after="0"/>
        <w:rPr>
          <w:color w:val="000000"/>
          <w:sz w:val="22"/>
          <w:szCs w:val="22"/>
        </w:rPr>
      </w:pPr>
      <w:r>
        <w:rPr>
          <w:color w:val="000000"/>
          <w:sz w:val="22"/>
          <w:szCs w:val="22"/>
        </w:rPr>
      </w:r>
    </w:p>
    <w:p>
      <w:pPr>
        <w:pStyle w:val="Nivel01"/>
        <w:numPr>
          <w:ilvl w:val="0"/>
          <w:numId w:val="4"/>
        </w:numPr>
        <w:spacing w:lineRule="auto" w:line="360" w:before="0" w:after="0"/>
        <w:ind w:left="0" w:hanging="0"/>
        <w:rPr>
          <w:sz w:val="22"/>
          <w:szCs w:val="22"/>
        </w:rPr>
      </w:pPr>
      <w:r>
        <w:rPr>
          <w:sz w:val="22"/>
          <w:szCs w:val="22"/>
        </w:rPr>
        <w:t>. MODELO DE GESTÃO DO CONTRATO</w:t>
      </w:r>
    </w:p>
    <w:p>
      <w:pPr>
        <w:pStyle w:val="Nivel2"/>
        <w:numPr>
          <w:ilvl w:val="1"/>
          <w:numId w:val="4"/>
        </w:numPr>
        <w:spacing w:lineRule="auto" w:line="360" w:before="0" w:after="0"/>
        <w:ind w:left="0" w:hanging="0"/>
        <w:rPr/>
      </w:pPr>
      <w:r>
        <w:rPr>
          <w:rFonts w:eastAsia="Arial"/>
          <w:sz w:val="22"/>
          <w:szCs w:val="22"/>
        </w:rPr>
        <w:t xml:space="preserve"> </w:t>
      </w:r>
      <w:r>
        <w:rPr>
          <w:sz w:val="22"/>
          <w:szCs w:val="22"/>
        </w:rPr>
        <w:t xml:space="preserve">- O contrato será simplificado e representado pela Autorização de fornecimento, </w:t>
      </w:r>
      <w:r>
        <w:rPr>
          <w:rFonts w:eastAsia="Arial"/>
          <w:sz w:val="22"/>
          <w:szCs w:val="22"/>
        </w:rPr>
        <w:t>de acordo com as cláusulas avençadas e as normas da Lei nº 14.133, de 2021, e cada parte responderá pelas consequências de sua inexecução total ou parcial.</w:t>
      </w:r>
    </w:p>
    <w:p>
      <w:pPr>
        <w:pStyle w:val="Nivel2"/>
        <w:tabs>
          <w:tab w:val="clear" w:pos="0"/>
        </w:tabs>
        <w:spacing w:lineRule="auto" w:line="360" w:before="0" w:after="0"/>
        <w:ind w:left="0" w:hanging="0"/>
        <w:rPr>
          <w:sz w:val="22"/>
          <w:szCs w:val="22"/>
          <w:highlight w:val="yellow"/>
        </w:rPr>
      </w:pPr>
      <w:r>
        <w:rPr>
          <w:sz w:val="22"/>
          <w:szCs w:val="22"/>
          <w:highlight w:val="yellow"/>
        </w:rPr>
      </w:r>
    </w:p>
    <w:p>
      <w:pPr>
        <w:pStyle w:val="Nivel01"/>
        <w:numPr>
          <w:ilvl w:val="0"/>
          <w:numId w:val="4"/>
        </w:numPr>
        <w:spacing w:lineRule="auto" w:line="360" w:before="0" w:after="0"/>
        <w:ind w:left="0" w:hanging="0"/>
        <w:rPr>
          <w:sz w:val="22"/>
          <w:szCs w:val="22"/>
        </w:rPr>
      </w:pPr>
      <w:r>
        <w:rPr>
          <w:sz w:val="22"/>
          <w:szCs w:val="22"/>
        </w:rPr>
        <w:t>CRITÉRIOS DE PAGAMENTO</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7.1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7.2 Os pagamentos serão realizados mediante procedimento bancário, em conta do fornecedor contratado.</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7.3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7.4 Quaisquer pagamentos não isentarão a Contratada das responsabilidades contratuais. </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8 -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8.1 -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widowControl w:val="false"/>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sz w:val="22"/>
          <w:szCs w:val="22"/>
        </w:rPr>
      </w:r>
    </w:p>
    <w:p>
      <w:pPr>
        <w:pStyle w:val="ListParagraph"/>
        <w:widowControl w:val="false"/>
        <w:numPr>
          <w:ilvl w:val="0"/>
          <w:numId w:val="10"/>
        </w:numPr>
        <w:tabs>
          <w:tab w:val="left" w:pos="0" w:leader="none"/>
          <w:tab w:val="left" w:pos="709" w:leader="none"/>
        </w:tabs>
        <w:spacing w:lineRule="auto" w:line="360" w:before="0" w:after="0"/>
        <w:ind w:left="0" w:hanging="0"/>
        <w:jc w:val="both"/>
        <w:rPr>
          <w:rFonts w:ascii="Arial" w:hAnsi="Arial" w:eastAsia="Arial" w:cs="Arial"/>
          <w:b/>
        </w:rPr>
      </w:pPr>
      <w:r>
        <w:rPr>
          <w:rFonts w:eastAsia="Arial" w:cs="Arial" w:ascii="Arial" w:hAnsi="Arial"/>
          <w:b/>
          <w:color w:val="000000"/>
        </w:rPr>
        <w:t>- DAS OBRIGAÇÕES DA CONTRATADA</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9.1 - </w:t>
      </w:r>
      <w:r>
        <w:rPr>
          <w:rFonts w:eastAsia="Arial" w:cs="Arial" w:ascii="Arial" w:hAnsi="Arial"/>
          <w:color w:val="000000"/>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9.2 - Responsabilizar-se pelos vícios e danos decorrentes do objeto, de acordo com o Código de Defesa do Consumidor (</w:t>
      </w:r>
      <w:hyperlink r:id="rId14">
        <w:r>
          <w:rPr>
            <w:rFonts w:eastAsia="Arial" w:cs="Arial" w:ascii="Arial" w:hAnsi="Arial"/>
            <w:color w:val="0000FF"/>
            <w:sz w:val="22"/>
            <w:szCs w:val="22"/>
            <w:u w:val="single"/>
          </w:rPr>
          <w:t>Lei nº 8.078, de 1990</w:t>
        </w:r>
      </w:hyperlink>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9.3 - Comunicar ao contratante, no prazo máximo de 24 (vinte e quatro) horas que antecede a data da entrega, os motivos que impossibilitem o cumprimento do prazo previsto, com a devida comprovação;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9.4 - Atender às determinações regulares emitidas pelo fiscal ou gestor do contrato ou autoridade superior (</w:t>
      </w:r>
      <w:r>
        <w:rPr>
          <w:rFonts w:eastAsia="Arial" w:cs="Arial" w:ascii="Arial" w:hAnsi="Arial"/>
          <w:color w:val="0000FF"/>
          <w:sz w:val="22"/>
          <w:szCs w:val="22"/>
          <w:u w:val="single"/>
        </w:rPr>
        <w:t>art. 137, II, da Lei n.º 14.133, de 2021</w:t>
      </w:r>
      <w:r>
        <w:rPr>
          <w:rFonts w:eastAsia="Arial" w:cs="Arial" w:ascii="Arial" w:hAnsi="Arial"/>
          <w:color w:val="000000"/>
          <w:sz w:val="22"/>
          <w:szCs w:val="22"/>
        </w:rPr>
        <w:t>) e prestar todo esclarecimento ou informação por eles solicitados;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9.5 -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9.6 - </w:t>
      </w:r>
      <w:r>
        <w:rPr>
          <w:rFonts w:eastAsia="Arial" w:cs="Arial" w:ascii="Arial" w:hAnsi="Arial"/>
          <w:color w:val="00000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9.7 -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9.8 -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9.9 - Comunicar ao Fiscal do contrato, no prazo de 24 (vinte e quatro) horas, qualquer ocorrência anormal ou acidente que se verifique no local da execução do objeto contratual.</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9.10 - Paralisar, por determinação do contratante, qualquer atividade que não esteja sendo executada de acordo com a boa técnica ou que ponha em risco a segurança de pessoas ou bens de terceiros.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9.11 - Manter durante toda a vigência do contrato, em compatibilidade com as obrigações assumidas, todas as condições exigidas para habilitação na licitação;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9.12 - Guardar sigilo sobre todas as informações obtidas em decorrência do cumprimento do contrato; </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sz w:val="22"/>
          <w:szCs w:val="22"/>
          <w:u w:val="single"/>
        </w:rPr>
        <w:t>art. 124, II, d, da Lei nº 14.133, de 2021.</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9.14 - Cumprir, além dos postulados legais vigentes de âmbito federal, estadual ou municipal, as normas de segurança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9.15 -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9.16 - Orientar e treinar seus empregados sobre os deveres previstos na Lei nº 13.709, de 14 de agosto de 2018, adotando medidas eficazes para proteção de dados pessoais a que tenha acesso por força da execução deste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9.17 -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9.18 - Submeter previamente, por escrito, ao contratante, para análise e aprovação, quaisquer mudanças nos métodos executivos que fujam às especificações do memorial descritivo ou instrumento congênere.</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9.19 -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10 - GARANTIA CONTRATUAL</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10.1 - Não haverá exigência de garantia contratual da execução.</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11 – SANÇÕES</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11.1 - Comete infração administrativa, nos termos da </w:t>
      </w:r>
      <w:hyperlink r:id="rId15">
        <w:r>
          <w:rPr>
            <w:rFonts w:eastAsia="Calibri" w:cs="Arial" w:ascii="Arial" w:hAnsi="Arial"/>
            <w:color w:val="0000FF"/>
            <w:sz w:val="22"/>
            <w:szCs w:val="22"/>
            <w:u w:val="single"/>
          </w:rPr>
          <w:t>Lei nº 14.133, de 2021</w:t>
        </w:r>
      </w:hyperlink>
      <w:r>
        <w:rPr>
          <w:rFonts w:eastAsia="Calibri" w:cs="Arial" w:ascii="Arial" w:hAnsi="Arial"/>
          <w:color w:val="000000"/>
          <w:sz w:val="22"/>
          <w:szCs w:val="22"/>
        </w:rPr>
        <w:t>, o contratado que:</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der causa à inexecução parcial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der causa à inexecução parcial do contrato que cause grave dano à Administração ou ao funcionamento dos serviços públicos ou ao interesse coletivo;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der causa à inexecução total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ensejar o retardamento da execução ou da entrega do objeto da contratação sem motivo justificado;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apresentar documentação falsa ou prestar declaração falsa durante a execução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praticar ato fraudulento na execução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comportar-se de modo inidôneo ou cometer fraude de qualquer natureza;</w:t>
      </w:r>
    </w:p>
    <w:p>
      <w:pPr>
        <w:pStyle w:val="Normal"/>
        <w:widowControl w:val="false"/>
        <w:numPr>
          <w:ilvl w:val="0"/>
          <w:numId w:val="13"/>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color w:val="000000"/>
          <w:sz w:val="22"/>
          <w:szCs w:val="22"/>
        </w:rPr>
        <w:t xml:space="preserve">praticar ato lesivo previsto no </w:t>
      </w:r>
      <w:r>
        <w:rPr>
          <w:rFonts w:eastAsia="Arial" w:cs="Arial" w:ascii="Arial" w:hAnsi="Arial"/>
          <w:color w:val="0000FF"/>
          <w:sz w:val="22"/>
          <w:szCs w:val="22"/>
          <w:u w:val="single"/>
        </w:rPr>
        <w:t>art. 5º da Lei nº 12.846, de 1º de agosto de 2013</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11.2 - Serão aplicadas ao contratado que incorrer nas infrações acima descritas as seguintes sanções:</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Advertência</w:t>
      </w:r>
      <w:r>
        <w:rPr>
          <w:rFonts w:eastAsia="Arial" w:cs="Arial" w:ascii="Arial" w:hAnsi="Arial"/>
          <w:color w:val="000000"/>
          <w:sz w:val="22"/>
          <w:szCs w:val="22"/>
        </w:rPr>
        <w:t>, quando o contratado der causa à inexecução parcial do contrato, sempre que não se justificar a imposição de penalidade mais grave (</w:t>
      </w:r>
      <w:r>
        <w:rPr>
          <w:rFonts w:eastAsia="Arial" w:cs="Arial" w:ascii="Arial" w:hAnsi="Arial"/>
          <w:color w:val="0000FF"/>
          <w:sz w:val="22"/>
          <w:szCs w:val="22"/>
          <w:u w:val="single"/>
        </w:rPr>
        <w:t>art. 156, §2º, da Lei nº 14.133, de 2021</w:t>
      </w:r>
      <w:r>
        <w:rPr>
          <w:rFonts w:eastAsia="Arial" w:cs="Arial" w:ascii="Arial" w:hAnsi="Arial"/>
          <w:color w:val="000000"/>
          <w:sz w:val="22"/>
          <w:szCs w:val="22"/>
        </w:rPr>
        <w:t>);</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Impedimento de licitar e contratar</w:t>
      </w:r>
      <w:r>
        <w:rPr>
          <w:rFonts w:eastAsia="Arial" w:cs="Arial" w:ascii="Arial" w:hAnsi="Arial"/>
          <w:color w:val="000000"/>
          <w:sz w:val="22"/>
          <w:szCs w:val="22"/>
        </w:rPr>
        <w:t>, quando praticadas as condutas descritas nas alíneas “b”, “c” e “d” do subitem acima deste Contrato, sempre que não se justificar a imposição de penalidade mais grave (</w:t>
      </w:r>
      <w:r>
        <w:rPr>
          <w:rFonts w:eastAsia="Arial" w:cs="Arial" w:ascii="Arial" w:hAnsi="Arial"/>
          <w:color w:val="0000FF"/>
          <w:sz w:val="22"/>
          <w:szCs w:val="22"/>
          <w:u w:val="single"/>
        </w:rPr>
        <w:t>art. 156, § 4º, da Lei nº 14.133, de 2021</w:t>
      </w:r>
      <w:r>
        <w:rPr>
          <w:rFonts w:eastAsia="Arial" w:cs="Arial" w:ascii="Arial" w:hAnsi="Arial"/>
          <w:color w:val="000000"/>
          <w:sz w:val="22"/>
          <w:szCs w:val="22"/>
        </w:rPr>
        <w:t>);</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Declaração de inidoneidade para licitar e contratar</w:t>
      </w:r>
      <w:r>
        <w:rPr>
          <w:rFonts w:eastAsia="Arial" w:cs="Arial" w:ascii="Arial" w:hAnsi="Arial"/>
          <w:color w:val="000000"/>
          <w:sz w:val="22"/>
          <w:szCs w:val="22"/>
        </w:rPr>
        <w:t>, quando praticadas as condutas descritas nas alíneas “e”, “f”, “g” e “h” do subitem acima deste Contrato, bem como nas alíneas “b”, “c” e “d”, que justifiquem a imposição de penalidade mais grave (</w:t>
      </w:r>
      <w:r>
        <w:rPr>
          <w:rFonts w:eastAsia="Arial" w:cs="Arial" w:ascii="Arial" w:hAnsi="Arial"/>
          <w:color w:val="0000FF"/>
          <w:sz w:val="22"/>
          <w:szCs w:val="22"/>
          <w:u w:val="single"/>
        </w:rPr>
        <w:t>art. 156, §5º, da Lei nº 14.133, de 2021</w:t>
      </w:r>
      <w:r>
        <w:rPr>
          <w:rFonts w:eastAsia="Arial" w:cs="Arial" w:ascii="Arial" w:hAnsi="Arial"/>
          <w:color w:val="000000"/>
          <w:sz w:val="22"/>
          <w:szCs w:val="22"/>
        </w:rPr>
        <w:t>).</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Multa:</w:t>
      </w:r>
    </w:p>
    <w:p>
      <w:pPr>
        <w:pStyle w:val="Normal"/>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color w:val="000000"/>
          <w:sz w:val="22"/>
          <w:szCs w:val="22"/>
        </w:rPr>
        <w:t>- moratória de 0,3% (três décimos por cento) por dia de atraso injustificado sobre o valor da parcela inadimplida, até o limite de 30(trinta) dias.</w:t>
      </w:r>
    </w:p>
    <w:p>
      <w:pPr>
        <w:pStyle w:val="Normal"/>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i/>
          <w:color w:val="000000"/>
          <w:sz w:val="22"/>
          <w:szCs w:val="22"/>
        </w:rPr>
        <w:t xml:space="preserve">- moratória de 10% (dez por cento) por dia de atraso injustificado sobre o valor total do contrato, até o máximo de 30% (trinta por cento), pela inobservância do prazo fixado para apresentação, suplementação ou reposição da garantia. </w:t>
      </w:r>
    </w:p>
    <w:p>
      <w:pPr>
        <w:pStyle w:val="Normal"/>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color w:val="000000"/>
          <w:sz w:val="22"/>
          <w:szCs w:val="22"/>
        </w:rPr>
        <w:t xml:space="preserve">- compensatória de 30% (trinta por cento) sobre o valor total do contrato, no caso de inexecução total do objeto. A aplicação das sanções previstas neste Contrato não exclui, em hipótese alguma, a obrigação de reparação integral do dano causado ao Contratante (art. 156, §9º, da Lei nº 14.133, de 2021) </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11.3 - Todas as sanções previstas neste Contrato poderão ser aplicadas cumulativamente com a multa (</w:t>
      </w:r>
      <w:r>
        <w:rPr>
          <w:rFonts w:eastAsia="Calibri" w:cs="Arial" w:ascii="Arial" w:hAnsi="Arial"/>
          <w:color w:val="0000FF"/>
          <w:sz w:val="22"/>
          <w:szCs w:val="22"/>
          <w:u w:val="single"/>
        </w:rPr>
        <w:t>art. 156, §7º,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11.4 - Antes da aplicação da multa será facultada a defesa do interessado no prazo de 15 (quinze) dias úteis, contado da data de sua intimação (</w:t>
      </w:r>
      <w:r>
        <w:rPr>
          <w:rFonts w:eastAsia="Calibri" w:cs="Arial" w:ascii="Arial" w:hAnsi="Arial"/>
          <w:color w:val="0000FF"/>
          <w:sz w:val="22"/>
          <w:szCs w:val="22"/>
          <w:u w:val="single"/>
        </w:rPr>
        <w:t>art. 157,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11.5 - Se a multa aplicada e as indenizações cabíveis forem superiores ao valor do pagamento eventualmente devido pelo Contratante ao Contratado, além da perda desse valor, a diferença será descontada da garantia prestada ou será cobrada judicialmente (</w:t>
      </w:r>
      <w:r>
        <w:rPr>
          <w:rFonts w:eastAsia="Calibri" w:cs="Arial" w:ascii="Arial" w:hAnsi="Arial"/>
          <w:color w:val="0000FF"/>
          <w:sz w:val="22"/>
          <w:szCs w:val="22"/>
          <w:u w:val="single"/>
        </w:rPr>
        <w:t>art. 156, §8º,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11.6 - Previamente ao encaminhamento à cobrança judicial, a multa poderá ser recolhida administrativamente no prazo </w:t>
      </w:r>
      <w:r>
        <w:rPr>
          <w:rFonts w:eastAsia="Calibri" w:cs="Arial" w:ascii="Arial" w:hAnsi="Arial"/>
          <w:sz w:val="22"/>
          <w:szCs w:val="22"/>
        </w:rPr>
        <w:t xml:space="preserve">máximo de </w:t>
      </w:r>
      <w:r>
        <w:rPr>
          <w:rFonts w:eastAsia="Calibri" w:cs="Arial" w:ascii="Arial" w:hAnsi="Arial"/>
          <w:i/>
          <w:sz w:val="22"/>
          <w:szCs w:val="22"/>
        </w:rPr>
        <w:t xml:space="preserve">30 (trinta) </w:t>
      </w:r>
      <w:r>
        <w:rPr>
          <w:rFonts w:eastAsia="Calibri" w:cs="Arial" w:ascii="Arial" w:hAnsi="Arial"/>
          <w:color w:val="000000"/>
          <w:sz w:val="22"/>
          <w:szCs w:val="22"/>
        </w:rPr>
        <w:t>dias, a contar da data do recebimento da comunicação enviada pela autoridade competente.</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11.7 - A aplicação das sanções realizar-se-á em processo administrativo que assegure o contraditório e a ampla defesa ao Contratado, observando-se o procedimento previsto no </w:t>
      </w:r>
      <w:r>
        <w:rPr>
          <w:rFonts w:eastAsia="Calibri" w:cs="Arial" w:ascii="Arial" w:hAnsi="Arial"/>
          <w:b/>
          <w:color w:val="000000"/>
          <w:sz w:val="22"/>
          <w:szCs w:val="22"/>
        </w:rPr>
        <w:t xml:space="preserve">caput </w:t>
      </w:r>
      <w:r>
        <w:rPr>
          <w:rFonts w:eastAsia="Calibri" w:cs="Arial" w:ascii="Arial" w:hAnsi="Arial"/>
          <w:color w:val="000000"/>
          <w:sz w:val="22"/>
          <w:szCs w:val="22"/>
        </w:rPr>
        <w:t xml:space="preserve">e parágrafos do </w:t>
      </w:r>
      <w:r>
        <w:rPr>
          <w:rFonts w:eastAsia="Calibri" w:cs="Arial" w:ascii="Arial" w:hAnsi="Arial"/>
          <w:color w:val="0000FF"/>
          <w:sz w:val="22"/>
          <w:szCs w:val="22"/>
          <w:u w:val="single"/>
        </w:rPr>
        <w:t>art. 158 da Lei nº 14.133, de 2021</w:t>
      </w:r>
      <w:r>
        <w:rPr>
          <w:rFonts w:eastAsia="Calibri" w:cs="Arial" w:ascii="Arial" w:hAnsi="Arial"/>
          <w:color w:val="000000"/>
          <w:sz w:val="22"/>
          <w:szCs w:val="22"/>
        </w:rPr>
        <w:t>, para as penalidades de impedimento de licitar e contratar e de declaração de inidoneidade para licitar ou contratar.</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11.8 - Na aplicação das sanções serão considerados (art. 156, §1º, da Lei nº 14.133, de 2021):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a) a natureza e a gravidade da infração cometida;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b) as peculiaridades do caso concreto;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as circunstâncias agravantes ou atenuantes;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os danos que dela provierem para 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e) a implantação ou o aperfeiçoamento de programa de integridade, conforme normas e orientações dos órgãos de controle. </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11.9 - Os atos previstos como infrações administrativas na </w:t>
      </w:r>
      <w:hyperlink r:id="rId16">
        <w:r>
          <w:rPr>
            <w:rFonts w:eastAsia="Calibri" w:cs="Arial" w:ascii="Arial" w:hAnsi="Arial"/>
            <w:color w:val="0000FF"/>
            <w:sz w:val="22"/>
            <w:szCs w:val="22"/>
            <w:u w:val="single"/>
          </w:rPr>
          <w:t>Lei nº 14.133, de 2021</w:t>
        </w:r>
      </w:hyperlink>
      <w:r>
        <w:rPr>
          <w:rFonts w:eastAsia="Calibri" w:cs="Arial" w:ascii="Arial" w:hAnsi="Arial"/>
          <w:color w:val="000000"/>
          <w:sz w:val="22"/>
          <w:szCs w:val="22"/>
        </w:rPr>
        <w:t xml:space="preserve">, ou em outras leis de licitações e contratos da Administração Pública que também sejam tipificados como atos lesivos na </w:t>
      </w:r>
      <w:hyperlink r:id="rId17">
        <w:r>
          <w:rPr>
            <w:rFonts w:eastAsia="Calibri" w:cs="Arial" w:ascii="Arial" w:hAnsi="Arial"/>
            <w:color w:val="0000FF"/>
            <w:sz w:val="22"/>
            <w:szCs w:val="22"/>
            <w:u w:val="single"/>
          </w:rPr>
          <w:t>Lei nº 12.846, de 2013</w:t>
        </w:r>
      </w:hyperlink>
      <w:r>
        <w:rPr>
          <w:rFonts w:eastAsia="Calibri" w:cs="Arial" w:ascii="Arial" w:hAnsi="Arial"/>
          <w:color w:val="000000"/>
          <w:sz w:val="22"/>
          <w:szCs w:val="22"/>
        </w:rPr>
        <w:t>, serão apurados e julgados conjuntamente, nos mesmos autos, observados o rito procedimental e autoridade competente definidos na referida Lei (</w:t>
      </w:r>
      <w:hyperlink r:id="rId18">
        <w:r>
          <w:rPr>
            <w:rFonts w:eastAsia="Calibri" w:cs="Arial" w:ascii="Arial" w:hAnsi="Arial"/>
            <w:color w:val="0000FF"/>
            <w:sz w:val="22"/>
            <w:szCs w:val="22"/>
            <w:u w:val="single"/>
          </w:rPr>
          <w:t>art. 159</w:t>
        </w:r>
      </w:hyperlink>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11.10 -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Pr>
          <w:rFonts w:eastAsia="Calibri" w:cs="Arial" w:ascii="Arial" w:hAnsi="Arial"/>
          <w:color w:val="0000FF"/>
          <w:sz w:val="22"/>
          <w:szCs w:val="22"/>
          <w:u w:val="single"/>
        </w:rPr>
        <w:t>art. 160,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11.11 -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rPr>
          <w:rFonts w:eastAsia="Calibri" w:cs="Arial" w:ascii="Arial" w:hAnsi="Arial"/>
          <w:color w:val="0000FF"/>
          <w:sz w:val="22"/>
          <w:szCs w:val="22"/>
          <w:u w:val="single"/>
        </w:rPr>
        <w:t>Art. 161,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11.12 - As sanções de impedimento de licitar e contratar e declaração de inidoneidade para licitar ou contratar são passíveis de reabilitação na forma do </w:t>
      </w:r>
      <w:r>
        <w:rPr>
          <w:rFonts w:eastAsia="Calibri" w:cs="Arial" w:ascii="Arial" w:hAnsi="Arial"/>
          <w:color w:val="0000FF"/>
          <w:sz w:val="22"/>
          <w:szCs w:val="22"/>
          <w:u w:val="single"/>
        </w:rPr>
        <w:t>art. 163 da Lei nº 14.133/21</w:t>
      </w:r>
      <w:r>
        <w:rPr>
          <w:rFonts w:eastAsia="Calibri" w:cs="Arial" w:ascii="Arial" w:hAnsi="Arial"/>
          <w:color w:val="000000"/>
          <w:sz w:val="22"/>
          <w:szCs w:val="22"/>
        </w:rPr>
        <w:t>.</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11.13 -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Fonts w:eastAsia="Calibri" w:cs="Arial" w:ascii="Arial" w:hAnsi="Arial"/>
            <w:color w:val="0000FF"/>
            <w:sz w:val="22"/>
            <w:szCs w:val="22"/>
            <w:u w:val="single"/>
          </w:rPr>
          <w:t>Normativa SEGES/ME nº 26, de 13 de abril de 2022</w:t>
        </w:r>
      </w:hyperlink>
      <w:r>
        <w:rPr>
          <w:rFonts w:eastAsia="Calibri" w:cs="Arial" w:ascii="Arial" w:hAnsi="Arial"/>
          <w:color w:val="000000"/>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 xml:space="preserve">12 - PRAZO DE EXECUÇÃO E CONTRATUAL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12.1 -  Art. 106. A Administração poderá celebrar contratos com prazo de até 5 (cinco) anos nas hipóteses de serviços e fornecimentos contínuos, observadas as seguintes diretrizes: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 - a autoridade competente do órgão ou entidade contratante deverá atestar a maior vantagem econômica vislumbrada em razão da contratação plurianual;</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II - a Administração deverá atestar, no início da contratação e de cada exercício, a existência de créditos orçamentários vinculados à contratação e a vantagem em sua manutenção;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III - a Administração terá a opção de extinguir o contrato, sem ônus, quando não dispuser de créditos orçamentários para sua continuidade ou quando entender que o contrato não mais lhe oferece vantagem.</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 1º A extinção mencionada no inciso III do </w:t>
      </w:r>
      <w:r>
        <w:rPr>
          <w:rFonts w:eastAsia="Arial" w:cs="Arial" w:ascii="Arial" w:hAnsi="Arial"/>
          <w:b/>
          <w:color w:val="000000"/>
          <w:sz w:val="22"/>
          <w:szCs w:val="22"/>
        </w:rPr>
        <w:t xml:space="preserve">caput </w:t>
      </w:r>
      <w:r>
        <w:rPr>
          <w:rFonts w:eastAsia="Arial" w:cs="Arial" w:ascii="Arial" w:hAnsi="Arial"/>
          <w:color w:val="000000"/>
          <w:sz w:val="22"/>
          <w:szCs w:val="22"/>
        </w:rPr>
        <w:t>deste artigo ocorrerá apenas na próxima data de aniversário do contrato e não poderá ocorrer em prazo inferior a 2 (dois) meses, contado da referida data.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2º Aplica-se o disposto neste artigo ao aluguel de equipamentos e à utilização de programas de informática.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exact" w:line="276" w:before="0" w:after="140"/>
        <w:rPr>
          <w:rFonts w:ascii="Arial" w:hAnsi="Arial" w:eastAsia="Arial"/>
          <w:sz w:val="18"/>
        </w:rPr>
      </w:pPr>
      <w:r>
        <w:rPr>
          <w:rFonts w:eastAsia="Arial" w:ascii="Arial" w:hAnsi="Arial"/>
          <w:sz w:val="18"/>
        </w:rPr>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r>
    </w:p>
    <w:p>
      <w:pPr>
        <w:pStyle w:val="Normal"/>
        <w:tabs>
          <w:tab w:val="clear" w:pos="709"/>
          <w:tab w:val="left" w:pos="3857" w:leader="none"/>
        </w:tabs>
        <w:spacing w:lineRule="auto" w:line="360"/>
        <w:ind w:right="-54" w:hanging="0"/>
        <w:jc w:val="both"/>
        <w:rPr>
          <w:rFonts w:ascii="Arial" w:hAnsi="Arial" w:cs="Arial"/>
          <w:b/>
          <w:bCs/>
          <w:sz w:val="22"/>
          <w:szCs w:val="22"/>
        </w:rPr>
      </w:pPr>
      <w:bookmarkStart w:id="35" w:name="_Hlk82471863"/>
      <w:bookmarkEnd w:id="35"/>
      <w:r>
        <w:rPr>
          <w:rFonts w:cs="Arial" w:ascii="Arial" w:hAnsi="Arial"/>
          <w:b/>
          <w:bCs/>
          <w:sz w:val="22"/>
          <w:szCs w:val="22"/>
        </w:rPr>
        <w:t xml:space="preserve">ANEXO II </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117</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150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7.609/2024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pPr>
      <w:r>
        <w:rPr>
          <w:rFonts w:eastAsia="Arial" w:cs="Arial" w:ascii="Arial" w:hAnsi="Arial"/>
          <w:sz w:val="22"/>
          <w:szCs w:val="22"/>
        </w:rPr>
        <w:t xml:space="preserve">                                                          </w:t>
      </w:r>
      <w:r>
        <w:rPr>
          <w:rFonts w:cs="Arial" w:ascii="Arial" w:hAnsi="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w:t>
      </w:r>
      <w:r>
        <w:rPr>
          <w:rFonts w:cs="Arial" w:ascii="Arial" w:hAnsi="Arial"/>
          <w:sz w:val="22"/>
          <w:szCs w:val="22"/>
        </w:rPr>
        <w:t>117</w:t>
      </w:r>
      <w:r>
        <w:rPr>
          <w:rFonts w:cs="Arial" w:ascii="Arial" w:hAnsi="Arial"/>
          <w:sz w:val="22"/>
          <w:szCs w:val="22"/>
        </w:rPr>
        <w:t>/2024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hanging="0"/>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117</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150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7.609/2024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117</w:t>
      </w:r>
      <w:r>
        <w:rPr>
          <w:rFonts w:cs="Arial" w:ascii="Arial" w:hAnsi="Arial"/>
          <w:sz w:val="22"/>
          <w:szCs w:val="22"/>
        </w:rPr>
        <w:t>/2024),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117</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150</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7.609/2024</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left="3540"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hanging="0"/>
        <w:jc w:val="both"/>
        <w:rPr/>
      </w:pPr>
      <w:r>
        <w:rPr>
          <w:rFonts w:cs="Arial" w:ascii="Arial" w:hAnsi="Arial"/>
          <w:b/>
          <w:bCs/>
          <w:sz w:val="22"/>
          <w:szCs w:val="22"/>
        </w:rPr>
        <w:t xml:space="preserve">Pregão nº </w:t>
      </w:r>
      <w:r>
        <w:rPr>
          <w:rFonts w:cs="Arial" w:ascii="Arial" w:hAnsi="Arial"/>
          <w:b/>
          <w:bCs/>
          <w:sz w:val="22"/>
          <w:szCs w:val="22"/>
        </w:rPr>
        <w:t>117</w:t>
      </w:r>
      <w:r>
        <w:rPr>
          <w:rFonts w:cs="Arial" w:ascii="Arial" w:hAnsi="Arial"/>
          <w:b/>
          <w:bCs/>
          <w:sz w:val="22"/>
          <w:szCs w:val="22"/>
        </w:rPr>
        <w:t>/2024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7.609/2024</w:t>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hanging="0"/>
        <w:jc w:val="both"/>
        <w:rPr>
          <w:rFonts w:ascii="Arial" w:hAnsi="Arial" w:cs="Arial"/>
          <w:sz w:val="22"/>
          <w:szCs w:val="22"/>
        </w:rPr>
      </w:pPr>
      <w:r>
        <w:rPr>
          <w:rFonts w:cs="Arial" w:ascii="Arial" w:hAnsi="Arial"/>
          <w:sz w:val="22"/>
          <w:szCs w:val="22"/>
        </w:rPr>
      </w:r>
    </w:p>
    <w:tbl>
      <w:tblPr>
        <w:tblW w:w="9541" w:type="dxa"/>
        <w:jc w:val="left"/>
        <w:tblInd w:w="-48" w:type="dxa"/>
        <w:tblLayout w:type="fixed"/>
        <w:tblCellMar>
          <w:top w:w="60" w:type="dxa"/>
          <w:left w:w="60" w:type="dxa"/>
          <w:bottom w:w="60" w:type="dxa"/>
          <w:right w:w="60" w:type="dxa"/>
        </w:tblCellMar>
        <w:tblLook w:firstRow="0" w:noVBand="1" w:lastRow="0" w:firstColumn="0" w:lastColumn="0" w:noHBand="1" w:val="0600"/>
      </w:tblPr>
      <w:tblGrid>
        <w:gridCol w:w="609"/>
        <w:gridCol w:w="3829"/>
        <w:gridCol w:w="849"/>
        <w:gridCol w:w="1135"/>
        <w:gridCol w:w="851"/>
        <w:gridCol w:w="1133"/>
        <w:gridCol w:w="1134"/>
      </w:tblGrid>
      <w:tr>
        <w:trPr>
          <w:cantSplit w:val="true"/>
        </w:trPr>
        <w:tc>
          <w:tcPr>
            <w:tcW w:w="6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82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Marca</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1.05.01.0017-1 - ESCOPOLAMINA BUTILBROMETO, 20 MG/ML, SOLUÇÃO INJETÁVEL AMPOL A 1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ESCOPOLAMINA BUTILBROMETO, 20 MG/ML, SOLUÇÃO INJETÁVEL AMPOLA 1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1.05.01.0029-5 - INSULINA, HUMANA, (N + R) EM PRÉ-MISTURA, 70% + 30% , 100 UI /ML, SOLUÇÃO INJETÁVEL, FRASCO 10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(N + R) EM PRÉ-MISTURA, 70% + 30% , 100 UI/ML, SOLUÇÃO INJETÁVEL, FRASCO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1.05.01.0043-0 - INSULINA, LISPRO, 100U/ML, INJETÁVEL FRASCO 10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100U/ML, INJETÁVEL FRASCO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1.05.01.0053-8 - INSULINA,  LISPRO  ASSOCIADA  À  LISPRO  PROTAMINA,  25%  + 75%, INJETÁVEL TUBETE 3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ASSOCIADA  À  LISPRO  PROTAMINA,  25%  +  75%, INJETÁVEL TUBETE 3 ML</w:t>
            </w:r>
          </w:p>
          <w:p>
            <w:pPr>
              <w:pStyle w:val="Normal"/>
              <w:widowControl w:val="false"/>
              <w:rPr>
                <w:rFonts w:ascii="Arial" w:hAnsi="Arial" w:cs="Arial"/>
                <w:sz w:val="18"/>
                <w:szCs w:val="18"/>
              </w:rPr>
            </w:pPr>
            <w:r>
              <w:rPr>
                <w:rFonts w:cs="Arial" w:ascii="Arial" w:hAnsi="Arial"/>
                <w:sz w:val="18"/>
                <w:szCs w:val="18"/>
              </w:rPr>
              <w:t>EMBALADO EM CAIXA COM 05 TUBETES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1.05.01.0054-6 - AMINOFILINA, 24 MG/ML, SOLUÇÃO INJETÁVEL, AMPOLA 10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AMINOFILINA, 24 MG/ML, SOLUÇÃO INJETÁVEL, AMPOLA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1.05.01.0107-0 - HALOPERIDOL, 5 MG/ML, SOLUÇÃO INJETÁVEL AMPOLA 1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5 MG/ML, SOLUÇÃO INJETÁVEL AMPOLA 1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1.05.01.0110-0 - AMIODARONA, 50MG/ML, INJETÁVEL AMPOLA 3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AMIODARONA, 50MG/ML, INJETÁVEL AMPOLA 3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1.05.01.0128-3 - DICLOFENACO, SAL SÓDICO, 25MG/ML, SOLUÇÃO INJETÁVEL AMPOLA 3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DICLOFENACO, SAL SÓDICO, 25MG/ML, SOLUÇÃO INJETÁVEL AMPOLA 3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1.05.01.0201-8 - INSULINA DEGLUDECA 100U/ML REFIL 3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DEGLUDECA 100U/ML REFIL 3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1.05.01.0215-8 - CITRATO DE FENTANILA 50 MCG/ML, SOLUÇÃO INJETÁVEL, AMPOLA 2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CITRATO DE FENTANILA 50 MCG/ML, SOLUÇÃO INJETÁVEL, AMPOLA 2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1.05.01.0217-4 - INSULINA, HUMANA, REGULAR, 100U/ML, INJETÁVEL, FRASCO 10 ML - USO ADULTO E PEDIÁTRICO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REGULAR, 100U/ML, INJETÁVEL, FRASCO 10 ML - USO ADULTO E PEDIÁTRICO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1.05.01.0223-9 - DUPILUMABE 175MG/ML - SERINGA PREENCHIDA COM 1,14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DUPILUMABE 175MG/ML - SERINGA PREENCHIDA COM 1,14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1.05.01.0224-7 - INSULINA, ASPART, 100U/ML, INJETÁVEL FRASCO 10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ASPART, 100U/ML, INJETÁVEL FRASCO 10 ML</w:t>
            </w:r>
          </w:p>
          <w:p>
            <w:pPr>
              <w:pStyle w:val="Normal"/>
              <w:widowControl w:val="false"/>
              <w:rPr>
                <w:rFonts w:ascii="Arial" w:hAnsi="Arial" w:cs="Arial"/>
                <w:sz w:val="18"/>
                <w:szCs w:val="18"/>
              </w:rPr>
            </w:pPr>
            <w:r>
              <w:rPr>
                <w:rFonts w:cs="Arial" w:ascii="Arial" w:hAnsi="Arial"/>
                <w:sz w:val="18"/>
                <w:szCs w:val="18"/>
              </w:rPr>
              <w:t>Marca FIASP - ação judicial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1.05.02.0001-0 - ÁCIDO VALPROICO, 50 MG/ML, XAROPE, FRASCO 100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VALPROICO, 50 MG/ML, XAROPE,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1.05.02.0004-4 - AZITROMICINA, PÓ P/ SUSPENSÃO ORAL, 200 MG/5ML  FRASCO COM 1 5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AZITROMICINA, PÓ P/ SUSPENSÃO ORAL, 200 MG/5ML  FRASCO COM 15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1.05.02.0014-1 - DEXCLORFENIRAMINA MALEATO, 0,4 MG/ML, SOLUÇÃO ORAL, FRASCO 1 00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DEXCLORFENIRAMINA MALEATO, 0,4 MG/ML, SOLUÇÃO ORAL,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1.05.02.0017-6 - DIMENIDRINATO, ASSOCIADO COM PIRIDOXINA CLORIDRATO, 25MG + 5 MG/ML, SOLUÇÃO ORAL, GOTAS, FRASCO 20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DIMENIDRINATO, ASSOCIADO COM PIRIDOXINA CLORIDRATO, 25MG + 5MG/ML, SOLUÇÃO ORAL, GOTAS, FRASCO 20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1.05.02.0020-6 - HALOPERIDOL, 2 MG/ML, SOLUÇÃO ORAL-GOTAS, FRASCO 20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2 MG/ML, SOLUÇÃO ORAL-GOTAS, FRASCO 20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1.05.02.0027-3 - NISTATINA, 100.000 UI/ML, SUSPENSÃO ORAL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NISTATINA, 100.000 UI/ML, SUSPENSÃO ORAL, FRASCO COM NO MÍNIMO 40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1.05.02.0031-1 - TROPICAMIDA, 1%, SOLUÇÃO OFTÁLMICA FRASCO 5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TROPICAMIDA, 1%, SOLUÇÃO OFTÁLMICA FRASCO 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1.05.02.0094-0 - CLORETO DE POTÁSSIO, 6%, SOLUÇÃO ORAL FRASCO 100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CLORETO DE POTÁSSIO, 6%, SOLUÇÃO ORAL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1.05.02.0134-2 - PREDNISOLONA, 3 MG/ML, SOLUÇÃO ORAL FRASCO 60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PREDNISOLONA, 3 MG/ML, SOLUÇÃO ORAL FRASCO 60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1.05.02.0190-3 - SOLUÇÃO CONCENTRADA DE 360 MG/G DE POLICRESULENO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SOLUÇÃO CONCENTRADA DE 360 MG/G DE POLICRESULENO - FRASCO 12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1.05.02.0205-5 - PROXIMETACAINA 5MG/ML SOLUÇÃO OFTÁLMICA FRASCO 5ML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PROXIMETACAINA 5MG/ML SOLUÇÃO OFTÁLMICA FRASCO 5ML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1.05.02.0210-1 - OXIBUPROCAINA CLORIDRATO 4MG/ML SOLUÇÃO OFTALMICA - FRASCO 5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OXIBUPROCAINA CLORIDRATO 4MG/ML SOLUÇÃO OFTALMICA - FRASCO 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1.05.02.0211-0 - CANABIDIOL 100 MG/ ML - SOLUÇÃO ORAL 30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CANABIDIOL 100 MG/ ML - SOLUÇÃO ORAL 30 ML</w:t>
            </w:r>
          </w:p>
          <w:p>
            <w:pPr>
              <w:pStyle w:val="Normal"/>
              <w:widowControl w:val="false"/>
              <w:rPr>
                <w:rFonts w:ascii="Arial" w:hAnsi="Arial" w:cs="Arial"/>
                <w:sz w:val="18"/>
                <w:szCs w:val="18"/>
              </w:rPr>
            </w:pPr>
            <w:r>
              <w:rPr>
                <w:rFonts w:cs="Arial" w:ascii="Arial" w:hAnsi="Arial"/>
                <w:sz w:val="18"/>
                <w:szCs w:val="18"/>
              </w:rPr>
              <w:t>Canabidiol 100 mg/mL solução oral frasco 30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1.05.02.0213-6 - SOMATROPINA 12 UI</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SOMATROPINA 12 UI</w:t>
            </w:r>
          </w:p>
          <w:p>
            <w:pPr>
              <w:pStyle w:val="Normal"/>
              <w:widowControl w:val="false"/>
              <w:rPr>
                <w:rFonts w:ascii="Arial" w:hAnsi="Arial" w:cs="Arial"/>
                <w:sz w:val="18"/>
                <w:szCs w:val="18"/>
              </w:rPr>
            </w:pPr>
            <w:r>
              <w:rPr>
                <w:rFonts w:cs="Arial" w:ascii="Arial" w:hAnsi="Arial"/>
                <w:sz w:val="18"/>
                <w:szCs w:val="18"/>
              </w:rPr>
              <w:t>Somatropina 12UI, contendo 01 frasco/ ampola com pó liofilizado para solução injetável + 1 frasco de solução diluente.</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1.05.02.0214-4 - GOLIMUMABE 100 MG/ML SOLUÇÃO INJETAVEL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GOLIMUMABE 100 MG/ML SOLUÇÃO INJETAVEL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1.05.02.0215-2 - UPADACITINIBE 15 MG</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UPADACITINIBE 15 MG</w:t>
            </w:r>
          </w:p>
          <w:p>
            <w:pPr>
              <w:pStyle w:val="Normal"/>
              <w:widowControl w:val="false"/>
              <w:rPr>
                <w:rFonts w:ascii="Arial" w:hAnsi="Arial" w:cs="Arial"/>
                <w:sz w:val="18"/>
                <w:szCs w:val="18"/>
              </w:rPr>
            </w:pPr>
            <w:r>
              <w:rPr>
                <w:rFonts w:cs="Arial" w:ascii="Arial" w:hAnsi="Arial"/>
                <w:sz w:val="18"/>
                <w:szCs w:val="18"/>
              </w:rPr>
              <w:t>comprimidos revestidos de liberação controlada.</w:t>
            </w:r>
          </w:p>
          <w:p>
            <w:pPr>
              <w:pStyle w:val="Normal"/>
              <w:widowControl w:val="false"/>
              <w:rPr>
                <w:rFonts w:ascii="Arial" w:hAnsi="Arial" w:cs="Arial"/>
                <w:sz w:val="18"/>
                <w:szCs w:val="18"/>
              </w:rPr>
            </w:pPr>
            <w:r>
              <w:rPr>
                <w:rFonts w:cs="Arial" w:ascii="Arial" w:hAnsi="Arial"/>
                <w:sz w:val="18"/>
                <w:szCs w:val="18"/>
              </w:rPr>
              <w:t>embalagem com 30 unidades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1.05.03.0004-9 - BIPERIDENO, 2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BIPERIDENO, 2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1.05.03.0007-3 - CARBONATO DE LÍTIO, 300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CARBONATO DE LÍTIO, 300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1.05.03.0008-1 - CIPROFLOXACINO CLORIDRATO, 500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CIPROFLOXACINO CLORIDRATO, 500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1.05.03.0015-4 - ESTROGÊNIOS CONJUGADOS, 0,625 MG, DRÁGEA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DR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ESTROGÊNIOS CONJUGADOS, 0,625 MG, DRÁGEA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1.05.03.0022-7 - IVERMECTINA, 6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IVERMECTINA, 6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1.05.03.0024-3 - LEVODOPA, ASSOCIADO À CARBIDOPA, 250MG + 25MG,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LEVODOPA, ASSOCIADO À CARBIDOPA, 250MG + 25MG,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1.05.03.0040-5 - TRAMADOL CLORIDRATO, 50 MG CÁPSULA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TRAMADOL CLORIDRATO, 50 MG CÁPSULA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1.05.03.0042-1 - VERAPAMIL CLORIDRATO, 80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VERAPAMIL CLORIDRATO, 80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1.05.03.0099-5 - SECNIDAZOL, 1.000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SECNIDAZOL, 1.000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1.05.03.0164-9 - INSULINA, ASPART, 100U/ML, INJETÁVEL TUBETE 3 ML  - REFIL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ASPART, 100U/ML, INJETÁVEL TUBETE 3 ML - REFIL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1.05.03.0190-8 - CLORIDRATO DE METILFENIDATO 20 MG LA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CLORIDRATO DE METILFENIDATO 20 MG LA - comprimidos de liberação lenta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1.05.03.0193-2 - CARBAMAZEPINA, 400 MG, LIBERAÇÃO CONTROLADA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2.160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CARBAMAZEPINA, 400 MG, LIBERAÇÃO CONTROLADA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1.05.03.0198-3 - OMEPRAZOL, 20 MG, CÁPSULA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OMEPRAZOL, 20 MG, CÁPSULA, em blister</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1.05.03.0200-9 - CINARIZINA, 25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CINARIZINA, 25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1.05.03.0201-7 - CINARIZINA, 75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CINARIZINA, 75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1.05.03.0212-2 - FLUCONAZOL, 150 MG, CÁPSULA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FLUCONAZOL, 150 MG, CÁPSULA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1.05.03.0270-0 - ESPIRONOLACTONA, 25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ESPIRONOLACTONA, 25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1.05.03.0376-5 - LEVODOPA, ASSOCIADO À BENSERAZIDA, 200MG + 50MG,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162.000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LEVODOPA, ASSOCIADO À BENSERAZIDA, 200MG + 50MG,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1.05.03.0442-7 - VASELINA SOLIDA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VASELINA SOLIDA</w:t>
            </w:r>
          </w:p>
          <w:p>
            <w:pPr>
              <w:pStyle w:val="Normal"/>
              <w:widowControl w:val="false"/>
              <w:rPr>
                <w:rFonts w:ascii="Arial" w:hAnsi="Arial" w:cs="Arial"/>
                <w:sz w:val="18"/>
                <w:szCs w:val="18"/>
              </w:rPr>
            </w:pPr>
            <w:r>
              <w:rPr>
                <w:rFonts w:cs="Arial" w:ascii="Arial" w:hAnsi="Arial"/>
                <w:sz w:val="18"/>
                <w:szCs w:val="18"/>
              </w:rPr>
              <w:t>Vaselina Solida, embalagem com 90 gramas.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1.05.03.0498-2 - METILFENIDATO CLORIDRATO, 36 MG, LIBERAÇÃO CONTROLADA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METILFENIDATO CLORIDRATO, 36 MG, LIBERAÇÃO CONTROLADA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1.05.03.0522-9 - AMINOÁCIDOS ASSOCIADOS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AMINOÁCIDOS ASSOCIADOS COMPRIMIDO</w:t>
            </w:r>
          </w:p>
          <w:p>
            <w:pPr>
              <w:pStyle w:val="Normal"/>
              <w:widowControl w:val="false"/>
              <w:rPr>
                <w:rFonts w:ascii="Arial" w:hAnsi="Arial" w:cs="Arial"/>
                <w:sz w:val="18"/>
                <w:szCs w:val="18"/>
              </w:rPr>
            </w:pPr>
            <w:r>
              <w:rPr>
                <w:rFonts w:cs="Arial" w:ascii="Arial" w:hAnsi="Arial"/>
                <w:sz w:val="18"/>
                <w:szCs w:val="18"/>
              </w:rPr>
              <w:t>3-metil-2-oxo-valerato de cálcio (alfa-ceto-análogo da isoleucina) 67 mg , 4-metil-2-oxo-valerato de cálcio(alfa-ceto-análogo da leucina) 101 mg, 2-oxo-3-fenil-propionato de cálcio (alfa-ceto-análogo da fenilalanina) 68 mg, 3-metil-2-oxo-butirato de cálcio (alfa-ceto-análogo da valina) 86 mg, 2-hidróxi-4-metil-tio-butirato de cálcio (alfa-hidróxi-análogo da metionina) 59 mg, monoacetato de lisina (lisina 75 mg) 105 mg, treonina 53 mg,</w:t>
            </w:r>
          </w:p>
          <w:p>
            <w:pPr>
              <w:pStyle w:val="Normal"/>
              <w:widowControl w:val="false"/>
              <w:rPr>
                <w:rFonts w:ascii="Arial" w:hAnsi="Arial" w:cs="Arial"/>
                <w:sz w:val="18"/>
                <w:szCs w:val="18"/>
              </w:rPr>
            </w:pPr>
            <w:r>
              <w:rPr>
                <w:rFonts w:cs="Arial" w:ascii="Arial" w:hAnsi="Arial"/>
                <w:sz w:val="18"/>
                <w:szCs w:val="18"/>
              </w:rPr>
              <w:t>triptofana 23 mg, histidina 38 mg, tirosina 30 mg, teor de nitrogênio / comprimido revestido: 36 mg,</w:t>
            </w:r>
          </w:p>
          <w:p>
            <w:pPr>
              <w:pStyle w:val="Normal"/>
              <w:widowControl w:val="false"/>
              <w:rPr>
                <w:rFonts w:ascii="Arial" w:hAnsi="Arial" w:cs="Arial"/>
                <w:sz w:val="18"/>
                <w:szCs w:val="18"/>
              </w:rPr>
            </w:pPr>
            <w:r>
              <w:rPr>
                <w:rFonts w:cs="Arial" w:ascii="Arial" w:hAnsi="Arial"/>
                <w:sz w:val="18"/>
                <w:szCs w:val="18"/>
              </w:rPr>
              <w:t>Cálcio / comprimido revestido:1,25 mmol = 50 mg.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1.05.03.0530-0 - ANLODIPINO BESILATO, 5 MG</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ANLODIPINO BESILATO, 5 MG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1.05.03.0578-4 - CASTANHA DA ÍNDIA, 100 mg, CÁPSULA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CASTANHA DA ÍNDIA, 100 mg, CÁPSULA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1.05.03.0579-2 - ÁCIDO ACETILSALICÍLICO, 300 MG, TAMPONADO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ACETILSALICÍLICO, 300 MG, TAMPONADO COMPRIMIDO (marca ASPIRINA PREVENT)</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1.05.03.0592-0 - PALIPERIDONA  3 MG COMPRIMIDO REVESTIDO LIBERAÇÃO PROLONGADA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PALIPERIDONA  3 MG COMPRIMIDO REVESTIDO LIBERAÇÃO PROLONGADA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1.05.03.0599-7 - CLORIDRATO DE MINOCICLINA 100 MG COMPRIMIDO REVESTIDO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CLORIDRATO DE MINOCICLINA 100 MG COMPRIMIDO REVESTIDO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1.05.03.0608-0 - DIMESILATO DE LISDEXANFETAMINA 70 MG CÁPSULAS</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840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DIMESILATO DE LISDEXANFETAMINA 70 MG CÁPSULAS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1.05.04.0001-9 - ÁCIDOS GRAXOS ESSENCIAIS + VITAMINA A E</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ÁCIDOS GRAXOS ESSENCIAIS + VITAMINA A E, LECITINA DE SOJA ÓL EO RESTAURADOR DO EPITÉLIO, FRASCO COM 200 ML, PRODUTO PARA SAÚDE, CLASSE DE RISCO III.</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1.05.04.0004-3 - FIBRINOLISINA, ASSOCIADA COM DESOXIRRIBONUCLEASE E CLORANFEN ICOL, 1U + 666U + 1%</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FIBRINOLISINA, ASSOCIADA COM DESOXIRRIBONUCLEASE E CLORANFENICOL, 1U + 666U + 1%, POMADA, BISNAGA 30 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1.05.04.0027-2 - CETOCONAZOL, 20 MG/G, CREME TÓPICO BISNAGA 30 G</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CETOCONAZOL, 20 MG/G, CREME TÓPICO BISNAGA 30 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1.05.04.0029-9 - SULFADIAZINA, DE PRATA, 1%, CREME BISNAGA 30 G</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SULFADIAZINA, DE PRATA, 1%, CREME BISNAGA 30 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1.05.06.0006-9 - AMOXICILINA, 500MG, CÁPSULA OU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500MG, CÁPSULA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1.05.06.0014-0 - CEFALEXINA, 500 MG, CÁPSULA</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CEFALEXINA, 500 MG, CÁPSULA</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1.05.06.0020-4 - DIGOXINA, 0,25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DIGOXINA, 0,25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1.05.06.0024-7 - FENITOÍNA SÓDICA, 100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FENITOÍNA SÓDICA, 100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1.05.06.0037-9 - BENZOILMETRONIDAZOL, 40 MG/ML, SUSPENSÃO ORAL FRASCO 100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BENZOILMETRONIDAZOL, 40 MG/ML, SUSPENSÃO ORAL FRASCO 100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1.05.06.0040-9 - NIFEDIPINO, 20 MG, RETARD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NIFEDIPINO, 20 MG, RETARD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1.05.06.0055-7 - SULFATO FERROSO, 25MG/ML DE FERRO II, SOLUÇÃO ORAL-GOTAS FRA SCO 30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SULFATO FERROSO, 25MG/ML DE FERRO II, SOLUÇÃO ORAL-GOTAS FRASCO 30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1.05.06.0058-1 - PARACETAMOL, 200 MG/ML, SOLUÇÃO ORAL FRASCO 15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PARACETAMOL, 200 MG/ML, SOLUÇÃO ORAL FRASCO 15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1.05.16.0013-5 - ÁCIDO FOLINICO 15MG</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FOLINICO 15MG</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1.05.16.0016-0 - DOXICICLINA, 100 MG, DRÁGEA OU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DOXICICLINA, 100 MG, DRÁGEA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1.05.16.0031-3 - ITRACONAZOL, 100 MG, CÁPSULA OU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ITRACONAZOL, 100 MG, CÁPSULA OU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1.05.16.0056-9 - TIAMINA, 300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TIAMINA, 300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1.05.16.0060-7 - ESTRADIOL, VALERATO ASSOCIADO COM NORETISTERONA ENANTATO, 5M G + 50MG/1ML, INJETÁVEL, AMPOLA 1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ESTRADIOL, VALERATO ASSOCIADO COM NORETISTERONA ENANTATO, 5MG + 50MG/1ML, INJETÁVEL - AMPOLA 1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74</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1.05.18.0015-0 - INSULINA,  DETEMIR,  100U/ML,  SOLUÇÃO  INJETÁVEL,  COM  SIS TEMA  DE APLICAÇÃO TUBETE 3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DETEMIR,  100U/ML,  SOLUÇÃO  INJETÁVEL,  COM  SISTEMA  DE APLICAÇÃO TUBETE 3 ML</w:t>
            </w:r>
          </w:p>
          <w:p>
            <w:pPr>
              <w:pStyle w:val="Normal"/>
              <w:widowControl w:val="false"/>
              <w:rPr>
                <w:rFonts w:ascii="Arial" w:hAnsi="Arial" w:cs="Arial"/>
                <w:sz w:val="18"/>
                <w:szCs w:val="18"/>
              </w:rPr>
            </w:pPr>
            <w:r>
              <w:rPr>
                <w:rFonts w:cs="Arial" w:ascii="Arial" w:hAnsi="Arial"/>
                <w:sz w:val="18"/>
                <w:szCs w:val="18"/>
              </w:rPr>
              <w:t>EMBALADO EM CAIXA COM 05 TUBETES</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1.05.18.0024-0 - VILDAGLIPTINA, 50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1.680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VILDAGLIPTINA, 50 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1.05.18.0045-2 - INSULINA LISPRO 100U/ML INJETAVEL REFIL 3ML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100U/ML INJETAVEL REFIL 3ML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77</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1.05.18.0059-2 - INSULINA, ASPART, 100U/ML, INJETÁVEL FRASCO 10 ML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ASPART, 100U/ML, INJETÁVEL FRASCO 10 ML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1.05.18.0072-0 - DIENOGESTE 2MG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DIENOGESTE 2MG COMPRIMIDO</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79</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1.05.18.0084-3 - INSULINA, GLARGINA, 100UI/ML, INJETÁVEL TUBETE 3 ML - REFIL</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GLARGINA, 100UI/ML, INJETÁVEL TUBETE 3 ML - REFIL</w:t>
            </w:r>
          </w:p>
        </w:tc>
      </w:tr>
      <w:tr>
        <w:trPr>
          <w:cantSplit w:val="true"/>
        </w:trPr>
        <w:tc>
          <w:tcPr>
            <w:tcW w:w="609"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1.05.18.0087-8 - METFORMINA CLORIDRATO, ASSOCIADA À VILDAGLIPTINA, 1000 MG + 50 MG COMPRIMIDO</w:t>
            </w:r>
          </w:p>
        </w:tc>
        <w:tc>
          <w:tcPr>
            <w:tcW w:w="8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1.680</w:t>
            </w:r>
          </w:p>
        </w:tc>
        <w:tc>
          <w:tcPr>
            <w:tcW w:w="85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54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METFORMINA CLORIDRATO, ASSOCIADA À VILDAGLIPTINA, 1000 MG + 50 MG COMPRIMIDO</w:t>
            </w:r>
          </w:p>
        </w:tc>
      </w:tr>
    </w:tbl>
    <w:p>
      <w:pPr>
        <w:pStyle w:val="Nivel2"/>
        <w:tabs>
          <w:tab w:val="clear" w:pos="0"/>
        </w:tabs>
        <w:spacing w:lineRule="auto" w:line="360" w:before="120" w:after="288"/>
        <w:ind w:left="0" w:hanging="0"/>
        <w:rPr>
          <w:bCs/>
          <w:sz w:val="22"/>
          <w:szCs w:val="22"/>
        </w:rPr>
      </w:pPr>
      <w:r>
        <w:rPr>
          <w:bCs/>
          <w:sz w:val="22"/>
          <w:szCs w:val="22"/>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VI – MINUTA DA ATA DE REGISTRO DE PREÇOS</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PREGÃO ELETRÔNICO nº XX/2024</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3.715/2024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widowControl w:val="false"/>
        <w:spacing w:lineRule="auto" w:line="360"/>
        <w:ind w:right="-30" w:hanging="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spacing w:lineRule="auto" w:line="360"/>
        <w:ind w:left="0" w:hanging="0"/>
        <w:rPr>
          <w:sz w:val="22"/>
          <w:szCs w:val="22"/>
        </w:rPr>
      </w:pPr>
      <w:r>
        <w:rPr>
          <w:sz w:val="22"/>
          <w:szCs w:val="22"/>
        </w:rPr>
        <w:t>1 - DO OBJETO</w:t>
      </w:r>
    </w:p>
    <w:p>
      <w:pPr>
        <w:pStyle w:val="Nivel2"/>
        <w:spacing w:lineRule="auto" w:line="360"/>
        <w:ind w:left="0" w:hanging="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/2024 que é parte integrante desta Ata, assim como as propostas cujos preços tenham sido registrados, independentemente de transcrição.</w:t>
      </w:r>
    </w:p>
    <w:p>
      <w:pPr>
        <w:pStyle w:val="Nivel01"/>
        <w:numPr>
          <w:ilvl w:val="0"/>
          <w:numId w:val="0"/>
        </w:numPr>
        <w:spacing w:lineRule="auto" w:line="360"/>
        <w:ind w:left="0" w:hanging="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FORNECEDOR: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ENDEREÇO: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BAIRRO: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CIDADE: XXX ESTADO: XXX      CEP: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TELEFONE: XXX                CPF/CNPJ: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CONDIÇÃO DE PAGAMENTO: XXX</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pPr>
      <w:r>
        <w:rPr>
          <w:sz w:val="22"/>
          <w:szCs w:val="22"/>
        </w:rPr>
        <w:t>PRAZO DE ENTREGA: XXX</w:t>
      </w:r>
    </w:p>
    <w:p>
      <w:pPr>
        <w:pStyle w:val="Nivel01"/>
        <w:numPr>
          <w:ilvl w:val="0"/>
          <w:numId w:val="0"/>
        </w:numPr>
        <w:spacing w:lineRule="auto" w:line="360"/>
        <w:ind w:left="360" w:hanging="0"/>
        <w:rPr>
          <w:sz w:val="22"/>
          <w:szCs w:val="22"/>
        </w:rPr>
      </w:pPr>
      <w:r>
        <w:rPr>
          <w:sz w:val="22"/>
          <w:szCs w:val="22"/>
        </w:rPr>
      </w:r>
    </w:p>
    <w:p>
      <w:pPr>
        <w:pStyle w:val="Nivel01"/>
        <w:numPr>
          <w:ilvl w:val="0"/>
          <w:numId w:val="0"/>
        </w:numPr>
        <w:spacing w:lineRule="auto" w:line="360"/>
        <w:ind w:left="0" w:hanging="0"/>
        <w:rPr>
          <w:sz w:val="22"/>
          <w:szCs w:val="22"/>
        </w:rPr>
      </w:pPr>
      <w:r>
        <w:rPr>
          <w:sz w:val="22"/>
          <w:szCs w:val="22"/>
        </w:rPr>
        <w:t>3 - DOS PREÇOS, ESPECIFICAÇÕES E QUANTITATIVOS</w:t>
      </w:r>
    </w:p>
    <w:p>
      <w:pPr>
        <w:pStyle w:val="Nivel2"/>
        <w:spacing w:lineRule="auto" w:line="360"/>
        <w:ind w:left="0" w:hanging="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left="0" w:hanging="0"/>
        <w:rPr>
          <w:sz w:val="22"/>
          <w:szCs w:val="22"/>
          <w:lang w:eastAsia="en-US"/>
        </w:rPr>
      </w:pPr>
      <w:r>
        <w:rPr>
          <w:sz w:val="22"/>
          <w:szCs w:val="22"/>
          <w:lang w:eastAsia="en-US"/>
        </w:rPr>
        <w:t>A listagem do cadastro de reserva referente ao presente registro de preços consta como anexo a esta Ata.</w:t>
      </w:r>
    </w:p>
    <w:p>
      <w:pPr>
        <w:pStyle w:val="Nivel01"/>
        <w:numPr>
          <w:ilvl w:val="0"/>
          <w:numId w:val="0"/>
        </w:numPr>
        <w:spacing w:lineRule="auto" w:line="360"/>
        <w:ind w:left="360" w:hanging="360"/>
        <w:rPr>
          <w:sz w:val="22"/>
          <w:szCs w:val="22"/>
        </w:rPr>
      </w:pPr>
      <w:r>
        <w:rPr>
          <w:sz w:val="22"/>
          <w:szCs w:val="22"/>
        </w:rPr>
        <w:t>4 - ÓRGÃO(S) GERENCIADOR E PARTICIPANTE(S)</w:t>
      </w:r>
    </w:p>
    <w:p>
      <w:pPr>
        <w:pStyle w:val="Nivel2"/>
        <w:spacing w:lineRule="auto" w:line="360"/>
        <w:ind w:left="0" w:hanging="0"/>
        <w:rPr>
          <w:sz w:val="22"/>
          <w:szCs w:val="22"/>
        </w:rPr>
      </w:pPr>
      <w:r>
        <w:rPr>
          <w:sz w:val="22"/>
          <w:szCs w:val="22"/>
        </w:rPr>
        <w:t>4.1 - O órgão gerenciador será a Seção de Licitações:</w:t>
      </w:r>
    </w:p>
    <w:p>
      <w:pPr>
        <w:pStyle w:val="Nvel2-Red"/>
        <w:spacing w:lineRule="auto" w:line="36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left="360" w:hanging="360"/>
        <w:rPr>
          <w:sz w:val="22"/>
          <w:szCs w:val="22"/>
        </w:rPr>
      </w:pPr>
      <w:r>
        <w:rPr>
          <w:sz w:val="22"/>
          <w:szCs w:val="22"/>
        </w:rPr>
        <w:t>5 - DA ADESÃO À ATA DE REGISTRO DE PREÇOS</w:t>
      </w:r>
    </w:p>
    <w:p>
      <w:pPr>
        <w:pStyle w:val="Nivel01"/>
        <w:numPr>
          <w:ilvl w:val="1"/>
          <w:numId w:val="11"/>
        </w:numPr>
        <w:tabs>
          <w:tab w:val="left" w:pos="0" w:leader="none"/>
          <w:tab w:val="left" w:pos="567" w:leader="none"/>
        </w:tabs>
        <w:spacing w:lineRule="auto" w:line="360"/>
        <w:ind w:left="0" w:hanging="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12"/>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11"/>
        </w:numPr>
        <w:spacing w:lineRule="auto" w:line="360"/>
        <w:rPr>
          <w:sz w:val="22"/>
          <w:szCs w:val="22"/>
        </w:rPr>
      </w:pPr>
      <w:r>
        <w:rPr>
          <w:sz w:val="22"/>
          <w:szCs w:val="22"/>
        </w:rPr>
        <w:t>- É vedado efetuar acréscimos nos quantitativos fixados na ata de registro de preços.</w:t>
      </w:r>
    </w:p>
    <w:p>
      <w:pPr>
        <w:pStyle w:val="Nivel01"/>
        <w:numPr>
          <w:ilvl w:val="0"/>
          <w:numId w:val="11"/>
        </w:numPr>
        <w:tabs>
          <w:tab w:val="left" w:pos="0" w:leader="none"/>
          <w:tab w:val="left" w:pos="567" w:leader="none"/>
        </w:tabs>
        <w:spacing w:lineRule="auto" w:line="360"/>
        <w:ind w:left="0" w:hanging="0"/>
        <w:rPr>
          <w:sz w:val="22"/>
          <w:szCs w:val="22"/>
        </w:rPr>
      </w:pPr>
      <w:r>
        <w:rPr>
          <w:sz w:val="22"/>
          <w:szCs w:val="22"/>
        </w:rPr>
        <w:t>VALIDADE, FORMALIZAÇÃO DA ATA DE REGISTRO DE PREÇOS E CADASTRO RESERVA</w:t>
      </w:r>
    </w:p>
    <w:p>
      <w:pPr>
        <w:pStyle w:val="Nivel2"/>
        <w:numPr>
          <w:ilvl w:val="1"/>
          <w:numId w:val="11"/>
        </w:numPr>
        <w:spacing w:lineRule="auto" w:line="360"/>
        <w:ind w:left="0" w:hanging="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11"/>
        </w:numPr>
        <w:spacing w:lineRule="auto" w:line="360"/>
        <w:ind w:left="567" w:hanging="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11"/>
        </w:numPr>
        <w:spacing w:lineRule="auto" w:line="360"/>
        <w:ind w:left="567" w:hanging="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11"/>
        </w:numPr>
        <w:spacing w:lineRule="auto" w:line="360"/>
        <w:ind w:left="0" w:hanging="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11"/>
        </w:numPr>
        <w:spacing w:lineRule="auto" w:line="360"/>
        <w:ind w:left="567" w:hanging="0"/>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11"/>
        </w:numPr>
        <w:spacing w:lineRule="auto" w:line="360"/>
        <w:ind w:left="0" w:hanging="0"/>
        <w:rPr>
          <w:sz w:val="22"/>
          <w:szCs w:val="22"/>
        </w:rPr>
      </w:pPr>
      <w:r>
        <w:rPr>
          <w:sz w:val="22"/>
          <w:szCs w:val="22"/>
        </w:rPr>
        <w:t>Os contratos decorrentes do sistema de registro de preços poderão ser alterados, observado o art. 124 da Lei nº 14.133, de 2021.</w:t>
      </w:r>
    </w:p>
    <w:p>
      <w:pPr>
        <w:pStyle w:val="Nivel2"/>
        <w:numPr>
          <w:ilvl w:val="1"/>
          <w:numId w:val="11"/>
        </w:numPr>
        <w:spacing w:lineRule="auto" w:line="360"/>
        <w:ind w:left="0" w:hanging="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11"/>
        </w:numPr>
        <w:spacing w:lineRule="auto" w:line="360"/>
        <w:ind w:left="567" w:hanging="0"/>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11"/>
        </w:numPr>
        <w:spacing w:lineRule="auto" w:line="360"/>
        <w:ind w:left="567" w:hanging="0"/>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36" w:name="cadastro_reserva"/>
      <w:bookmarkEnd w:id="36"/>
    </w:p>
    <w:p>
      <w:pPr>
        <w:pStyle w:val="Nvel3"/>
        <w:numPr>
          <w:ilvl w:val="2"/>
          <w:numId w:val="11"/>
        </w:numPr>
        <w:spacing w:lineRule="auto" w:line="360"/>
        <w:ind w:left="567" w:hanging="0"/>
        <w:rPr>
          <w:sz w:val="22"/>
          <w:szCs w:val="22"/>
        </w:rPr>
      </w:pPr>
      <w:r>
        <w:rPr>
          <w:sz w:val="22"/>
          <w:szCs w:val="22"/>
        </w:rPr>
        <w:t>Será respeitada, nas contratações, a ordem de classificação dos licitantes ou dos fornecedores registrados na ata.</w:t>
      </w:r>
    </w:p>
    <w:p>
      <w:pPr>
        <w:pStyle w:val="Nivel2"/>
        <w:numPr>
          <w:ilvl w:val="1"/>
          <w:numId w:val="11"/>
        </w:numPr>
        <w:spacing w:lineRule="auto" w:line="360"/>
        <w:ind w:left="0" w:hanging="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11"/>
        </w:numPr>
        <w:spacing w:lineRule="auto" w:line="360"/>
        <w:ind w:left="0" w:hanging="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11"/>
        </w:numPr>
        <w:spacing w:lineRule="auto" w:line="360"/>
        <w:ind w:left="0" w:hanging="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7" w:name="habilitacao_reserva"/>
      <w:bookmarkEnd w:id="37"/>
    </w:p>
    <w:p>
      <w:pPr>
        <w:pStyle w:val="Nvel3"/>
        <w:numPr>
          <w:ilvl w:val="2"/>
          <w:numId w:val="11"/>
        </w:numPr>
        <w:spacing w:lineRule="auto" w:line="360"/>
        <w:ind w:left="567" w:hanging="0"/>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11"/>
        </w:numPr>
        <w:spacing w:lineRule="auto" w:line="360"/>
        <w:ind w:left="567" w:hanging="0"/>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11"/>
        </w:numPr>
        <w:spacing w:lineRule="auto" w:line="360"/>
        <w:ind w:left="0" w:hanging="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11"/>
        </w:numPr>
        <w:spacing w:lineRule="auto" w:line="360"/>
        <w:ind w:left="0" w:hanging="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11"/>
        </w:numPr>
        <w:spacing w:lineRule="auto" w:line="360"/>
        <w:ind w:left="567" w:hanging="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11"/>
        </w:numPr>
        <w:spacing w:lineRule="auto" w:line="360"/>
        <w:ind w:left="0" w:hanging="0"/>
        <w:rPr>
          <w:sz w:val="22"/>
          <w:szCs w:val="22"/>
        </w:rPr>
      </w:pPr>
      <w:r>
        <w:rPr>
          <w:sz w:val="22"/>
          <w:szCs w:val="22"/>
        </w:rPr>
        <w:t>A ata de registro de preços poderá ser assinada por meio de assinatura digital.</w:t>
      </w:r>
    </w:p>
    <w:p>
      <w:pPr>
        <w:pStyle w:val="Nivel2"/>
        <w:numPr>
          <w:ilvl w:val="1"/>
          <w:numId w:val="11"/>
        </w:numPr>
        <w:spacing w:lineRule="auto" w:line="360"/>
        <w:ind w:left="0" w:hanging="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pPr>
        <w:pStyle w:val="Nivel2"/>
        <w:numPr>
          <w:ilvl w:val="1"/>
          <w:numId w:val="11"/>
        </w:numPr>
        <w:spacing w:lineRule="auto" w:line="360"/>
        <w:ind w:left="0" w:hanging="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11"/>
        </w:numPr>
        <w:spacing w:lineRule="auto" w:line="360"/>
        <w:ind w:left="567" w:hanging="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11"/>
        </w:numPr>
        <w:spacing w:lineRule="auto" w:line="360"/>
        <w:ind w:left="567" w:hanging="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spacing w:lineRule="auto" w:line="360"/>
        <w:ind w:left="0" w:hanging="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ALTERAÇÃO OU ATUALIZAÇÃO DOS PREÇOS REGISTRADOS</w:t>
      </w:r>
    </w:p>
    <w:p>
      <w:pPr>
        <w:pStyle w:val="Nivel2"/>
        <w:numPr>
          <w:ilvl w:val="1"/>
          <w:numId w:val="11"/>
        </w:numPr>
        <w:spacing w:lineRule="auto" w:line="360"/>
        <w:ind w:left="0" w:hanging="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11"/>
        </w:numPr>
        <w:spacing w:lineRule="auto" w:line="360"/>
        <w:ind w:left="567" w:hanging="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11"/>
        </w:numPr>
        <w:spacing w:lineRule="auto" w:line="360"/>
        <w:ind w:left="567" w:hanging="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ListParagraph"/>
        <w:numPr>
          <w:ilvl w:val="1"/>
          <w:numId w:val="11"/>
        </w:numPr>
        <w:spacing w:lineRule="auto" w:line="360"/>
        <w:rPr>
          <w:rFonts w:ascii="Arial" w:hAnsi="Arial" w:eastAsia="MS Mincho;ＭＳ 明朝" w:cs="Arial"/>
        </w:rPr>
      </w:pPr>
      <w:r>
        <w:rPr>
          <w:rFonts w:eastAsia="MS Mincho;ＭＳ 明朝" w:cs="Arial" w:ascii="Arial" w:hAnsi="Arial"/>
        </w:rPr>
        <w:t>- Caso o prazo contratual exceda os 12 (doze) meses previstos, os preços serão reajustados de acordo com o índice de variação do IPCA-IBGE.</w:t>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NEGOCIAÇÃO DE PREÇOS REGISTRADOS</w:t>
      </w:r>
    </w:p>
    <w:p>
      <w:pPr>
        <w:pStyle w:val="Nivel2"/>
        <w:numPr>
          <w:ilvl w:val="1"/>
          <w:numId w:val="11"/>
        </w:numPr>
        <w:spacing w:lineRule="auto" w:line="360"/>
        <w:ind w:left="0" w:hanging="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11"/>
        </w:numPr>
        <w:spacing w:lineRule="auto" w:line="360"/>
        <w:ind w:left="567" w:hanging="0"/>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11"/>
        </w:numPr>
        <w:spacing w:lineRule="auto" w:line="360"/>
        <w:ind w:left="567" w:hanging="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11"/>
        </w:numPr>
        <w:spacing w:lineRule="auto" w:line="360"/>
        <w:ind w:left="567" w:hanging="0"/>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39" w:name="reducao_preco_mercado_negociacao_frustra"/>
      <w:bookmarkEnd w:id="39"/>
    </w:p>
    <w:p>
      <w:pPr>
        <w:pStyle w:val="Nvel3"/>
        <w:numPr>
          <w:ilvl w:val="2"/>
          <w:numId w:val="11"/>
        </w:numPr>
        <w:spacing w:lineRule="auto" w:line="360"/>
        <w:ind w:left="567" w:hanging="0"/>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11"/>
        </w:numPr>
        <w:spacing w:lineRule="auto" w:line="360"/>
        <w:ind w:left="0" w:hanging="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pPr>
        <w:pStyle w:val="Nvel3"/>
        <w:numPr>
          <w:ilvl w:val="2"/>
          <w:numId w:val="11"/>
        </w:numPr>
        <w:spacing w:lineRule="auto" w:line="360"/>
        <w:ind w:left="567" w:hanging="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pPr>
        <w:pStyle w:val="Nvel3"/>
        <w:numPr>
          <w:ilvl w:val="2"/>
          <w:numId w:val="11"/>
        </w:numPr>
        <w:spacing w:lineRule="auto" w:line="360"/>
        <w:ind w:left="567" w:hanging="0"/>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11"/>
        </w:numPr>
        <w:spacing w:lineRule="auto" w:line="360"/>
        <w:ind w:left="567" w:hanging="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11"/>
        </w:numPr>
        <w:spacing w:lineRule="auto" w:line="360"/>
        <w:ind w:left="567" w:hanging="0"/>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11"/>
        </w:numPr>
        <w:spacing w:lineRule="auto" w:line="360"/>
        <w:ind w:left="567" w:hanging="0"/>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11"/>
        </w:numPr>
        <w:spacing w:lineRule="auto" w:line="360"/>
        <w:ind w:left="567" w:hanging="0"/>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11"/>
        </w:numPr>
        <w:tabs>
          <w:tab w:val="left" w:pos="0" w:leader="none"/>
          <w:tab w:val="left" w:pos="567" w:leader="none"/>
        </w:tabs>
        <w:spacing w:lineRule="auto" w:line="360"/>
        <w:ind w:left="0" w:hanging="0"/>
        <w:rPr>
          <w:sz w:val="22"/>
          <w:szCs w:val="22"/>
        </w:rPr>
      </w:pPr>
      <w:r>
        <w:rPr>
          <w:sz w:val="22"/>
          <w:szCs w:val="22"/>
        </w:rPr>
        <w:t>REMANEJAMENTO DAS QUANTIDADES REGISTRADAS NA ATA DE REGISTRO DE PREÇOS</w:t>
      </w:r>
    </w:p>
    <w:p>
      <w:pPr>
        <w:pStyle w:val="Nivel2"/>
        <w:numPr>
          <w:ilvl w:val="1"/>
          <w:numId w:val="11"/>
        </w:numPr>
        <w:spacing w:lineRule="auto" w:line="360"/>
        <w:ind w:left="0" w:hanging="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11"/>
        </w:numPr>
        <w:spacing w:lineRule="auto" w:line="360"/>
        <w:ind w:left="0" w:hanging="0"/>
        <w:rPr/>
      </w:pPr>
      <w:r>
        <w:rPr>
          <w:rFonts w:eastAsia="Arial"/>
          <w:sz w:val="22"/>
          <w:szCs w:val="22"/>
        </w:rPr>
        <w:t xml:space="preserve"> </w:t>
      </w:r>
      <w:r>
        <w:rPr>
          <w:sz w:val="22"/>
          <w:szCs w:val="22"/>
        </w:rPr>
        <w:t>O remanejamento somente poderá ser feito:</w:t>
      </w:r>
    </w:p>
    <w:p>
      <w:pPr>
        <w:pStyle w:val="Nvel3"/>
        <w:numPr>
          <w:ilvl w:val="2"/>
          <w:numId w:val="11"/>
        </w:numPr>
        <w:spacing w:lineRule="auto" w:line="360"/>
        <w:ind w:left="567" w:hanging="0"/>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11"/>
        </w:numPr>
        <w:spacing w:lineRule="auto" w:line="360"/>
        <w:ind w:left="567" w:hanging="0"/>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11"/>
        </w:numPr>
        <w:spacing w:lineRule="auto" w:line="360"/>
        <w:ind w:left="0" w:hanging="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2" w:name="gerenciador_estimador_é_partic_em_remane"/>
      <w:bookmarkEnd w:id="42"/>
    </w:p>
    <w:p>
      <w:pPr>
        <w:pStyle w:val="Nivel01"/>
        <w:numPr>
          <w:ilvl w:val="0"/>
          <w:numId w:val="11"/>
        </w:numPr>
        <w:tabs>
          <w:tab w:val="left" w:pos="0" w:leader="none"/>
          <w:tab w:val="left" w:pos="567" w:leader="none"/>
        </w:tabs>
        <w:spacing w:lineRule="auto" w:line="360"/>
        <w:ind w:left="0" w:hanging="0"/>
        <w:rPr>
          <w:sz w:val="22"/>
          <w:szCs w:val="22"/>
        </w:rPr>
      </w:pPr>
      <w:r>
        <w:rPr>
          <w:sz w:val="22"/>
          <w:szCs w:val="22"/>
        </w:rPr>
        <w:t>CANCELAMENTO DO REGISTRO DO LICITANTE VENCEDOR E DOS PREÇOS REGISTRADOS</w:t>
      </w:r>
      <w:bookmarkStart w:id="43" w:name="cancelamento"/>
      <w:bookmarkEnd w:id="43"/>
    </w:p>
    <w:p>
      <w:pPr>
        <w:pStyle w:val="Nivel2"/>
        <w:numPr>
          <w:ilvl w:val="1"/>
          <w:numId w:val="11"/>
        </w:numPr>
        <w:spacing w:lineRule="auto" w:line="360"/>
        <w:ind w:left="0" w:hanging="0"/>
        <w:rPr>
          <w:sz w:val="22"/>
          <w:szCs w:val="22"/>
        </w:rPr>
      </w:pPr>
      <w:r>
        <w:rPr>
          <w:sz w:val="22"/>
          <w:szCs w:val="22"/>
        </w:rPr>
        <w:t>O registro do fornecedor será cancelado pelo gerenciador, quando o fornecedor:</w:t>
      </w:r>
      <w:bookmarkStart w:id="44" w:name="cancelamento_do_fornecedor"/>
      <w:bookmarkEnd w:id="44"/>
    </w:p>
    <w:p>
      <w:pPr>
        <w:pStyle w:val="Nvel3"/>
        <w:numPr>
          <w:ilvl w:val="2"/>
          <w:numId w:val="11"/>
        </w:numPr>
        <w:spacing w:lineRule="auto" w:line="360"/>
        <w:ind w:left="567" w:hanging="0"/>
        <w:rPr>
          <w:sz w:val="22"/>
          <w:szCs w:val="22"/>
        </w:rPr>
      </w:pPr>
      <w:r>
        <w:rPr>
          <w:sz w:val="22"/>
          <w:szCs w:val="22"/>
        </w:rPr>
        <w:t>Descumprir as condições da ata de registro de preços, sem motivo justificado;</w:t>
      </w:r>
    </w:p>
    <w:p>
      <w:pPr>
        <w:pStyle w:val="Nvel3"/>
        <w:numPr>
          <w:ilvl w:val="2"/>
          <w:numId w:val="11"/>
        </w:numPr>
        <w:spacing w:lineRule="auto" w:line="360"/>
        <w:ind w:left="567" w:hanging="0"/>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11"/>
        </w:numPr>
        <w:spacing w:lineRule="auto" w:line="360"/>
        <w:ind w:left="567" w:hanging="0"/>
        <w:rPr>
          <w:sz w:val="22"/>
          <w:szCs w:val="22"/>
        </w:rPr>
      </w:pPr>
      <w:r>
        <w:rPr>
          <w:sz w:val="22"/>
          <w:szCs w:val="22"/>
        </w:rPr>
        <w:t>Sofrer sanção prevista nos incisos III ou IV do caput do art. 156 da Lei nº 14.133, de 2021.</w:t>
      </w:r>
    </w:p>
    <w:p>
      <w:pPr>
        <w:pStyle w:val="Nvel3"/>
        <w:numPr>
          <w:ilvl w:val="2"/>
          <w:numId w:val="11"/>
        </w:numPr>
        <w:spacing w:lineRule="auto" w:line="360"/>
        <w:ind w:left="567" w:hanging="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11"/>
        </w:numPr>
        <w:spacing w:lineRule="auto" w:line="360"/>
        <w:ind w:left="0" w:hanging="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11"/>
        </w:numPr>
        <w:spacing w:lineRule="auto" w:line="360"/>
        <w:ind w:left="0" w:hanging="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11"/>
        </w:numPr>
        <w:spacing w:lineRule="auto" w:line="360"/>
        <w:ind w:left="0" w:hanging="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5" w:name="cancelamento_da_ata"/>
      <w:bookmarkEnd w:id="45"/>
      <w:r>
        <w:rPr>
          <w:sz w:val="22"/>
          <w:szCs w:val="22"/>
        </w:rPr>
        <w:t xml:space="preserve"> </w:t>
      </w:r>
    </w:p>
    <w:p>
      <w:pPr>
        <w:pStyle w:val="Nvel3"/>
        <w:numPr>
          <w:ilvl w:val="2"/>
          <w:numId w:val="11"/>
        </w:numPr>
        <w:spacing w:lineRule="auto" w:line="360"/>
        <w:ind w:left="567" w:hanging="0"/>
        <w:rPr>
          <w:sz w:val="22"/>
          <w:szCs w:val="22"/>
        </w:rPr>
      </w:pPr>
      <w:r>
        <w:rPr>
          <w:sz w:val="22"/>
          <w:szCs w:val="22"/>
        </w:rPr>
        <w:t>Por razão de interesse público;</w:t>
      </w:r>
    </w:p>
    <w:p>
      <w:pPr>
        <w:pStyle w:val="Nvel3"/>
        <w:numPr>
          <w:ilvl w:val="2"/>
          <w:numId w:val="11"/>
        </w:numPr>
        <w:spacing w:lineRule="auto" w:line="360"/>
        <w:ind w:left="567" w:hanging="0"/>
        <w:rPr>
          <w:sz w:val="22"/>
          <w:szCs w:val="22"/>
        </w:rPr>
      </w:pPr>
      <w:r>
        <w:rPr>
          <w:sz w:val="22"/>
          <w:szCs w:val="22"/>
        </w:rPr>
        <w:t>A pedido do fornecedor, decorrente de caso fortuito ou força maior; ou</w:t>
      </w:r>
    </w:p>
    <w:p>
      <w:pPr>
        <w:pStyle w:val="Nvel3"/>
        <w:numPr>
          <w:ilvl w:val="2"/>
          <w:numId w:val="11"/>
        </w:numPr>
        <w:spacing w:lineRule="auto" w:line="360"/>
        <w:ind w:left="567" w:hanging="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DAS PENALIDADES</w:t>
      </w:r>
    </w:p>
    <w:p>
      <w:pPr>
        <w:pStyle w:val="Nivel2"/>
        <w:numPr>
          <w:ilvl w:val="1"/>
          <w:numId w:val="11"/>
        </w:numPr>
        <w:spacing w:lineRule="auto" w:line="360"/>
        <w:ind w:left="0" w:hanging="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11"/>
        </w:numPr>
        <w:spacing w:lineRule="auto" w:line="360"/>
        <w:ind w:left="567" w:hanging="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11"/>
        </w:numPr>
        <w:spacing w:lineRule="auto" w:line="360"/>
        <w:ind w:left="0" w:hanging="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11"/>
        </w:numPr>
        <w:spacing w:lineRule="auto" w:line="360"/>
        <w:ind w:left="0" w:hanging="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spacing w:lineRule="auto" w:line="360"/>
        <w:ind w:left="0" w:hanging="0"/>
        <w:rPr>
          <w:sz w:val="22"/>
          <w:szCs w:val="22"/>
        </w:rPr>
      </w:pPr>
      <w:r>
        <w:rPr>
          <w:sz w:val="22"/>
          <w:szCs w:val="22"/>
        </w:rPr>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CONDIÇÕES GERAIS</w:t>
      </w:r>
    </w:p>
    <w:p>
      <w:pPr>
        <w:pStyle w:val="Nivel2"/>
        <w:numPr>
          <w:ilvl w:val="1"/>
          <w:numId w:val="11"/>
        </w:numPr>
        <w:spacing w:lineRule="auto" w:line="360"/>
        <w:ind w:left="0" w:hanging="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11"/>
        </w:numPr>
        <w:spacing w:lineRule="auto" w:line="360"/>
        <w:ind w:left="0" w:hanging="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11"/>
        </w:numPr>
        <w:spacing w:lineRule="auto" w:line="360"/>
        <w:ind w:left="0" w:hanging="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t>Anexo I -  ATA</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hanging="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bookmarkStart w:id="46" w:name="_Hlk159838635"/>
            <w:bookmarkEnd w:id="46"/>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lang w:eastAsia="pt-BR"/>
        </w:rPr>
      </w:pPr>
      <w:r>
        <w:drawing>
          <wp:anchor behindDoc="0" distT="0" distB="0" distL="0" distR="0" simplePos="0" locked="0" layoutInCell="0" allowOverlap="1" relativeHeight="128">
            <wp:simplePos x="0" y="0"/>
            <wp:positionH relativeFrom="column">
              <wp:posOffset>-263525</wp:posOffset>
            </wp:positionH>
            <wp:positionV relativeFrom="paragraph">
              <wp:posOffset>384810</wp:posOffset>
            </wp:positionV>
            <wp:extent cx="6227445" cy="7747000"/>
            <wp:effectExtent l="0" t="0" r="0" b="0"/>
            <wp:wrapSquare wrapText="bothSides"/>
            <wp:docPr id="1" name="ole_rI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4" descr=""/>
                    <pic:cNvPicPr>
                      <a:picLocks noChangeAspect="1" noChangeArrowheads="1"/>
                    </pic:cNvPicPr>
                  </pic:nvPicPr>
                  <pic:blipFill>
                    <a:blip r:embed="rId20"/>
                    <a:stretch>
                      <a:fillRect/>
                    </a:stretch>
                  </pic:blipFill>
                  <pic:spPr bwMode="auto">
                    <a:xfrm>
                      <a:off x="0" y="0"/>
                      <a:ext cx="6227445" cy="7747000"/>
                    </a:xfrm>
                    <a:prstGeom prst="rect">
                      <a:avLst/>
                    </a:prstGeom>
                  </pic:spPr>
                </pic:pic>
              </a:graphicData>
            </a:graphic>
          </wp:anchor>
        </w:drawing>
      </w:r>
      <w:r>
        <w:rPr>
          <w:rFonts w:cs="Arial" w:ascii="Arial" w:hAnsi="Arial"/>
          <w:b/>
          <w:bCs/>
          <w:sz w:val="22"/>
          <w:szCs w:val="22"/>
        </w:rPr>
        <w:t>ANEXO VII</w:t>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hanging="0"/>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117</w:t>
      </w:r>
      <w:r>
        <w:rPr>
          <w:rFonts w:cs="Arial" w:ascii="Arial" w:hAnsi="Arial"/>
          <w:bCs/>
          <w:sz w:val="22"/>
          <w:szCs w:val="22"/>
        </w:rPr>
        <w:t xml:space="preserve">/2024. Objeto: </w:t>
      </w:r>
      <w:r>
        <w:rPr>
          <w:rFonts w:cs="Arial" w:ascii="Arial" w:hAnsi="Arial"/>
          <w:sz w:val="22"/>
          <w:szCs w:val="22"/>
        </w:rPr>
        <w:t>O Registro de Preço pelo prazo de 12 (doze) meses, para eventual aquisição de medicamento e suplementos.</w:t>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47" w:name="_Hlk182321935"/>
      <w:bookmarkEnd w:id="47"/>
      <w:r>
        <w:rPr>
          <w:rFonts w:cs="Arial" w:ascii="Arial" w:hAnsi="Arial"/>
          <w:b/>
          <w:bCs/>
          <w:sz w:val="22"/>
          <w:szCs w:val="22"/>
        </w:rPr>
        <w:t>Pregão Eletrônico Nº 117/2024,</w:t>
      </w:r>
      <w:r>
        <w:rPr>
          <w:rFonts w:cs="Arial" w:ascii="Arial" w:hAnsi="Arial"/>
          <w:sz w:val="22"/>
          <w:szCs w:val="22"/>
        </w:rPr>
        <w:t xml:space="preserve"> </w:t>
      </w:r>
      <w:r>
        <w:rPr>
          <w:rFonts w:cs="Arial" w:ascii="Arial" w:hAnsi="Arial"/>
          <w:b/>
          <w:bCs/>
          <w:sz w:val="22"/>
          <w:szCs w:val="22"/>
        </w:rPr>
        <w:t>Edital Nº 150/2024</w:t>
      </w:r>
      <w:r>
        <w:rPr>
          <w:rFonts w:cs="Arial" w:ascii="Arial" w:hAnsi="Arial"/>
          <w:sz w:val="22"/>
          <w:szCs w:val="22"/>
        </w:rPr>
        <w:t>, Tipo Menor Preço por Item. Objeto: O Registro de Preço pelo prazo de 12 (doze) meses para eventual aquisição de medicamento e suplementos. O cadastro das Propostas, serão recebidos até o dia</w:t>
      </w:r>
      <w:r>
        <w:rPr>
          <w:rFonts w:cs="Arial" w:ascii="Arial" w:hAnsi="Arial"/>
          <w:b/>
          <w:sz w:val="22"/>
          <w:szCs w:val="22"/>
        </w:rPr>
        <w:t xml:space="preserve"> </w:t>
      </w:r>
      <w:r>
        <w:rPr>
          <w:rFonts w:cs="Arial" w:ascii="Arial" w:hAnsi="Arial"/>
          <w:b/>
          <w:sz w:val="22"/>
          <w:szCs w:val="22"/>
          <w:u w:val="single"/>
        </w:rPr>
        <w:t>05 de dezembro de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1">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2">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3">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Stocco - Pregoeira. </w:t>
      </w:r>
    </w:p>
    <w:p>
      <w:pPr>
        <w:pStyle w:val="Normal"/>
        <w:jc w:val="both"/>
        <w:rPr>
          <w:rFonts w:ascii="Arial" w:hAnsi="Arial" w:cs="Arial"/>
          <w:sz w:val="22"/>
          <w:szCs w:val="22"/>
        </w:rPr>
      </w:pPr>
      <w:r>
        <w:rPr>
          <w:rFonts w:cs="Arial" w:ascii="Arial" w:hAnsi="Arial"/>
          <w:sz w:val="22"/>
          <w:szCs w:val="22"/>
        </w:rPr>
      </w:r>
      <w:bookmarkStart w:id="48" w:name="_Hlk182321935"/>
      <w:bookmarkStart w:id="49" w:name="_Hlk182321935"/>
      <w:bookmarkEnd w:id="49"/>
    </w:p>
    <w:p>
      <w:pPr>
        <w:pStyle w:val="Normal"/>
        <w:rPr>
          <w:rFonts w:ascii="Arial" w:hAnsi="Arial" w:cs="Arial"/>
          <w:sz w:val="22"/>
          <w:szCs w:val="22"/>
        </w:rPr>
      </w:pPr>
      <w:r>
        <w:rPr>
          <w:rFonts w:cs="Arial" w:ascii="Arial" w:hAnsi="Arial"/>
          <w:sz w:val="22"/>
          <w:szCs w:val="22"/>
        </w:rPr>
      </w:r>
    </w:p>
    <w:sectPr>
      <w:headerReference w:type="default" r:id="rId24"/>
      <w:footerReference w:type="default" r:id="rId25"/>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Liberation Sans">
    <w:altName w:val="Arial"/>
    <w:charset w:val="00"/>
    <w:family w:val="swiss"/>
    <w:pitch w:val="variable"/>
  </w:font>
  <w:font w:name="Calibri">
    <w:charset w:val="00"/>
    <w:family w:val="roman"/>
    <w:pitch w:val="variable"/>
  </w:font>
  <w:font w:name="Helvetica LT Light">
    <w:altName w:val="Times New Ro"/>
    <w:charset w:val="00"/>
    <w:family w:val="roman"/>
    <w:pitch w:val="variable"/>
  </w:font>
  <w:font w:name="Conduit ITC Light">
    <w:altName w:val="Cambria"/>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63</w:t>
    </w:r>
    <w:r>
      <w:rPr/>
      <w:fldChar w:fldCharType="end"/>
    </w:r>
    <w:bookmarkStart w:id="52"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2"/>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50" w:name="_Hlk158990872"/>
    <w:bookmarkStart w:id="51"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50"/>
    <w:bookmarkEnd w:id="5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709"/>
        </w:tabs>
        <w:ind w:left="360" w:hanging="360"/>
      </w:pPr>
      <w:rPr>
        <w:rFonts w:ascii="Wingdings" w:hAnsi="Wingdings" w:cs="Wingdings" w:hint="default"/>
        <w:sz w:val="22"/>
        <w:szCs w:val="22"/>
      </w:rPr>
    </w:lvl>
    <w:lvl w:ilvl="1">
      <w:start w:val="1"/>
      <w:numFmt w:val="bullet"/>
      <w:lvlText w:val=""/>
      <w:lvlJc w:val="left"/>
      <w:pPr>
        <w:tabs>
          <w:tab w:val="num" w:pos="0"/>
        </w:tabs>
        <w:ind w:left="720" w:hanging="360"/>
      </w:pPr>
      <w:rPr>
        <w:rFonts w:ascii="Wingdings" w:hAnsi="Wingdings" w:cs="Wingdings" w:hint="default"/>
        <w:sz w:val="22"/>
        <w:szCs w:val="22"/>
      </w:rPr>
    </w:lvl>
    <w:lvl w:ilvl="2">
      <w:start w:val="1"/>
      <w:numFmt w:val="bullet"/>
      <w:lvlText w:val=""/>
      <w:lvlJc w:val="left"/>
      <w:pPr>
        <w:tabs>
          <w:tab w:val="num" w:pos="0"/>
        </w:tabs>
        <w:ind w:left="1080" w:hanging="360"/>
      </w:pPr>
      <w:rPr>
        <w:rFonts w:ascii="Wingdings" w:hAnsi="Wingdings" w:cs="Wingdings" w:hint="default"/>
        <w:sz w:val="22"/>
        <w:szCs w:val="22"/>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2"/>
        <w:szCs w:val="22"/>
      </w:rPr>
    </w:lvl>
    <w:lvl w:ilvl="6">
      <w:start w:val="1"/>
      <w:numFmt w:val="bullet"/>
      <w:lvlText w:val=""/>
      <w:lvlJc w:val="left"/>
      <w:pPr>
        <w:tabs>
          <w:tab w:val="num" w:pos="0"/>
        </w:tabs>
        <w:ind w:left="2520" w:hanging="360"/>
      </w:pPr>
      <w:rPr>
        <w:rFonts w:ascii="Wingdings" w:hAnsi="Wingdings" w:cs="Wingdings" w:hint="default"/>
        <w:sz w:val="22"/>
        <w:szCs w:val="22"/>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lvl w:ilvl="0">
      <w:start w:val="6"/>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0" w:firstLine="36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lowerLetter"/>
      <w:lvlText w:val="%1)"/>
      <w:lvlJc w:val="left"/>
      <w:pPr>
        <w:tabs>
          <w:tab w:val="num" w:pos="709"/>
        </w:tabs>
        <w:ind w:left="360" w:hanging="360"/>
      </w:pPr>
      <w:rPr>
        <w:sz w:val="22"/>
        <w:szCs w:val="22"/>
      </w:rPr>
    </w:lvl>
    <w:lvl w:ilvl="1">
      <w:start w:val="1"/>
      <w:numFmt w:val="bullet"/>
      <w:lvlText w:val=""/>
      <w:lvlJc w:val="left"/>
      <w:pPr>
        <w:tabs>
          <w:tab w:val="num" w:pos="0"/>
        </w:tabs>
        <w:ind w:left="720" w:hanging="360"/>
      </w:pPr>
      <w:rPr>
        <w:rFonts w:ascii="Wingdings" w:hAnsi="Wingdings" w:cs="Wingdings" w:hint="default"/>
        <w:sz w:val="22"/>
        <w:szCs w:val="22"/>
      </w:rPr>
    </w:lvl>
    <w:lvl w:ilvl="2">
      <w:start w:val="1"/>
      <w:numFmt w:val="bullet"/>
      <w:lvlText w:val=""/>
      <w:lvlJc w:val="left"/>
      <w:pPr>
        <w:tabs>
          <w:tab w:val="num" w:pos="0"/>
        </w:tabs>
        <w:ind w:left="1080" w:hanging="360"/>
      </w:pPr>
      <w:rPr>
        <w:rFonts w:ascii="Wingdings" w:hAnsi="Wingdings" w:cs="Wingdings" w:hint="default"/>
        <w:sz w:val="22"/>
        <w:szCs w:val="22"/>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2"/>
        <w:szCs w:val="22"/>
      </w:rPr>
    </w:lvl>
    <w:lvl w:ilvl="6">
      <w:start w:val="1"/>
      <w:numFmt w:val="bullet"/>
      <w:lvlText w:val=""/>
      <w:lvlJc w:val="left"/>
      <w:pPr>
        <w:tabs>
          <w:tab w:val="num" w:pos="0"/>
        </w:tabs>
        <w:ind w:left="2520" w:hanging="360"/>
      </w:pPr>
      <w:rPr>
        <w:rFonts w:ascii="Wingdings" w:hAnsi="Wingdings" w:cs="Wingdings" w:hint="default"/>
        <w:sz w:val="22"/>
        <w:szCs w:val="22"/>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11">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12">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tabs>
        <w:tab w:val="clear" w:pos="709"/>
        <w:tab w:val="left" w:pos="360" w:leader="none"/>
      </w:tabs>
      <w:spacing w:before="240" w:after="60"/>
      <w:ind w:left="0" w:hanging="0"/>
      <w:outlineLvl w:val="3"/>
    </w:pPr>
    <w:rPr>
      <w:b/>
      <w:bCs/>
      <w:sz w:val="28"/>
      <w:szCs w:val="28"/>
    </w:rPr>
  </w:style>
  <w:style w:type="paragraph" w:styleId="Ttulo5">
    <w:name w:val="Heading 5"/>
    <w:basedOn w:val="Normal"/>
    <w:next w:val="Normal"/>
    <w:link w:val="Ttulo5Char"/>
    <w:uiPriority w:val="9"/>
    <w:semiHidden/>
    <w:unhideWhenUsed/>
    <w:qFormat/>
    <w:pPr>
      <w:numPr>
        <w:ilvl w:val="4"/>
        <w:numId w:val="1"/>
      </w:numPr>
      <w:tabs>
        <w:tab w:val="clear" w:pos="709"/>
        <w:tab w:val="left" w:pos="360" w:leader="none"/>
      </w:tabs>
      <w:spacing w:before="240" w:after="60"/>
      <w:ind w:left="0" w:hanging="0"/>
      <w:outlineLvl w:val="4"/>
    </w:pPr>
    <w:rPr>
      <w:b/>
      <w:bCs/>
      <w:i/>
      <w:iCs/>
      <w:sz w:val="26"/>
      <w:szCs w:val="26"/>
    </w:rPr>
  </w:style>
  <w:style w:type="paragraph" w:styleId="Ttulo6">
    <w:name w:val="Heading 6"/>
    <w:basedOn w:val="Normal"/>
    <w:next w:val="Normal"/>
    <w:link w:val="Ttulo6Char"/>
    <w:uiPriority w:val="9"/>
    <w:semiHidden/>
    <w:unhideWhenUsed/>
    <w:qFormat/>
    <w:pPr>
      <w:numPr>
        <w:ilvl w:val="5"/>
        <w:numId w:val="1"/>
      </w:numPr>
      <w:tabs>
        <w:tab w:val="clear" w:pos="709"/>
        <w:tab w:val="left" w:pos="360" w:leader="none"/>
      </w:tabs>
      <w:spacing w:before="240" w:after="60"/>
      <w:ind w:left="0" w:hanging="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Wingdings" w:hAnsi="Wingdings" w:cs="Wingdings"/>
      <w:sz w:val="22"/>
      <w:szCs w:val="22"/>
    </w:rPr>
  </w:style>
  <w:style w:type="character" w:styleId="WW8Num3z3" w:customStyle="1">
    <w:name w:val="WW8Num3z3"/>
    <w:qFormat/>
    <w:rPr>
      <w:rFonts w:ascii="Symbol" w:hAnsi="Symbol" w:cs="Symbol"/>
    </w:rPr>
  </w:style>
  <w:style w:type="character" w:styleId="WW8Num4z0" w:customStyle="1">
    <w:name w:val="WW8Num4z0"/>
    <w:qFormat/>
    <w:rPr/>
  </w:style>
  <w:style w:type="character" w:styleId="WW8Num5z0" w:customStyle="1">
    <w:name w:val="WW8Num5z0"/>
    <w:qFormat/>
    <w:rPr>
      <w:b/>
    </w:rPr>
  </w:style>
  <w:style w:type="character" w:styleId="WW8Num5z1" w:customStyle="1">
    <w:name w:val="WW8Num5z1"/>
    <w:qFormat/>
    <w:rPr>
      <w:b w:val="false"/>
      <w:i w:val="false"/>
      <w:strike w:val="false"/>
      <w:dstrike w:val="false"/>
      <w:color w:val="000000"/>
      <w:sz w:val="20"/>
      <w:szCs w:val="20"/>
      <w:u w:val="none"/>
    </w:rPr>
  </w:style>
  <w:style w:type="character" w:styleId="WW8Num5z2" w:customStyle="1">
    <w:name w:val="WW8Num5z2"/>
    <w:qFormat/>
    <w:rPr>
      <w:rFonts w:ascii="Arial" w:hAnsi="Arial" w:cs="Arial"/>
      <w:b w:val="false"/>
      <w:i w:val="false"/>
      <w:strike w:val="false"/>
      <w:dstrike w:val="false"/>
      <w:color w:val="000000"/>
      <w:sz w:val="20"/>
      <w:szCs w:val="20"/>
    </w:rPr>
  </w:style>
  <w:style w:type="character" w:styleId="WW8Num6z0" w:customStyle="1">
    <w:name w:val="WW8Num6z0"/>
    <w:qFormat/>
    <w:rPr>
      <w:sz w:val="22"/>
      <w:szCs w:val="22"/>
    </w:rPr>
  </w:style>
  <w:style w:type="character" w:styleId="WW8Num6z1" w:customStyle="1">
    <w:name w:val="WW8Num6z1"/>
    <w:qFormat/>
    <w:rPr>
      <w:rFonts w:ascii="Wingdings" w:hAnsi="Wingdings" w:cs="Wingdings"/>
      <w:sz w:val="22"/>
      <w:szCs w:val="22"/>
    </w:rPr>
  </w:style>
  <w:style w:type="character" w:styleId="WW8Num6z3" w:customStyle="1">
    <w:name w:val="WW8Num6z3"/>
    <w:qFormat/>
    <w:rPr>
      <w:rFonts w:ascii="Symbol" w:hAnsi="Symbol" w:cs="Symbol"/>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9z0" w:customStyle="1">
    <w:name w:val="WW8Num9z0"/>
    <w:qFormat/>
    <w:rPr/>
  </w:style>
  <w:style w:type="character" w:styleId="WW8Num11z0" w:customStyle="1">
    <w:name w:val="WW8Num11z0"/>
    <w:qFormat/>
    <w:rPr/>
  </w:style>
  <w:style w:type="character" w:styleId="WW8Num13z0" w:customStyle="1">
    <w:name w:val="WW8Num13z0"/>
    <w:qFormat/>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z w:val="22"/>
      <w:szCs w:val="22"/>
    </w:rPr>
  </w:style>
  <w:style w:type="character" w:styleId="WW8Num21z1" w:customStyle="1">
    <w:name w:val="WW8Num21z1"/>
    <w:qFormat/>
    <w:rPr>
      <w:rFonts w:ascii="Wingdings" w:hAnsi="Wingdings" w:cs="Wingdings"/>
      <w:sz w:val="22"/>
      <w:szCs w:val="22"/>
    </w:rPr>
  </w:style>
  <w:style w:type="character" w:styleId="WW8Num21z3" w:customStyle="1">
    <w:name w:val="WW8Num21z3"/>
    <w:qFormat/>
    <w:rPr>
      <w:rFonts w:ascii="Symbol" w:hAnsi="Symbol" w:cs="Symbol"/>
    </w:rPr>
  </w:style>
  <w:style w:type="character" w:styleId="WW8Num22z0" w:customStyle="1">
    <w:name w:val="WW8Num22z0"/>
    <w:qFormat/>
    <w:rPr/>
  </w:style>
  <w:style w:type="character" w:styleId="WW8Num24z0" w:customStyle="1">
    <w:name w:val="WW8Num24z0"/>
    <w:qFormat/>
    <w:rPr>
      <w:rFonts w:ascii="Times New Roman" w:hAnsi="Times New Roman" w:cs="Arial"/>
      <w:b/>
      <w:sz w:val="22"/>
      <w:szCs w:val="23"/>
    </w:rPr>
  </w:style>
  <w:style w:type="character" w:styleId="WW8Num24z1" w:customStyle="1">
    <w:name w:val="WW8Num24z1"/>
    <w:qFormat/>
    <w:rPr>
      <w:b w:val="false"/>
      <w:i w:val="false"/>
      <w:strike w:val="false"/>
      <w:dstrike w:val="false"/>
      <w:color w:val="000000"/>
      <w:sz w:val="20"/>
      <w:szCs w:val="20"/>
      <w:u w:val="none"/>
    </w:rPr>
  </w:style>
  <w:style w:type="character" w:styleId="WW8Num24z2" w:customStyle="1">
    <w:name w:val="WW8Num24z2"/>
    <w:qFormat/>
    <w:rPr>
      <w:rFonts w:ascii="Arial" w:hAnsi="Arial" w:cs="Arial"/>
      <w:b w:val="false"/>
      <w:i w:val="false"/>
      <w:strike w:val="false"/>
      <w:dstrike w:val="false"/>
      <w:color w:val="000000"/>
      <w:sz w:val="20"/>
      <w:szCs w:val="20"/>
    </w:rPr>
  </w:style>
  <w:style w:type="character" w:styleId="WW8Num25z0" w:customStyle="1">
    <w:name w:val="WW8Num25z0"/>
    <w:qFormat/>
    <w:rPr/>
  </w:style>
  <w:style w:type="character" w:styleId="WW8Num26z0" w:customStyle="1">
    <w:name w:val="WW8Num26z0"/>
    <w:qFormat/>
    <w:rPr/>
  </w:style>
  <w:style w:type="character" w:styleId="WW8Num27z1" w:customStyle="1">
    <w:name w:val="WW8Num27z1"/>
    <w:qFormat/>
    <w:rPr>
      <w:b w:val="false"/>
      <w:i w:val="false"/>
    </w:rPr>
  </w:style>
  <w:style w:type="character" w:styleId="WW8Num27z2" w:customStyle="1">
    <w:name w:val="WW8Num27z2"/>
    <w:qFormat/>
    <w:rPr>
      <w:b w:val="false"/>
    </w:rPr>
  </w:style>
  <w:style w:type="character" w:styleId="WW8Num28z0" w:customStyle="1">
    <w:name w:val="WW8Num28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2z0" w:customStyle="1">
    <w:name w:val="WW8Num12z0"/>
    <w:qFormat/>
    <w:rPr>
      <w:rFonts w:ascii="Symbol" w:hAnsi="Symbol" w:cs="Symbol"/>
      <w:color w:val="000000"/>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2" w:customStyle="1">
    <w:name w:val="WW8Num21z2"/>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uiPriority w:val="99"/>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uiPriority w:val="99"/>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Ttulo9Char" w:customStyle="1">
    <w:name w:val="Título 9 Char"/>
    <w:qFormat/>
    <w:rsid w:val="00df0566"/>
    <w:rPr>
      <w:rFonts w:ascii="Arial" w:hAnsi="Arial" w:eastAsia="Times New Roman"/>
      <w:b/>
      <w:bCs/>
      <w:kern w:val="2"/>
      <w:sz w:val="24"/>
    </w:rPr>
  </w:style>
  <w:style w:type="character" w:styleId="Ttulo5Char" w:customStyle="1">
    <w:name w:val="Título 5 Char"/>
    <w:basedOn w:val="DefaultParagraphFont"/>
    <w:uiPriority w:val="9"/>
    <w:semiHidden/>
    <w:qFormat/>
    <w:rsid w:val="00ce60a6"/>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semiHidden/>
    <w:qFormat/>
    <w:rsid w:val="00ce60a6"/>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ce60a6"/>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ce60a6"/>
    <w:rPr>
      <w:rFonts w:ascii="Georgia" w:hAnsi="Georgia" w:eastAsia="Georgia" w:cs="Georgia"/>
      <w:i/>
      <w:color w:val="666666"/>
      <w:sz w:val="48"/>
      <w:szCs w:val="48"/>
      <w:lang w:eastAsia="pt-BR" w:bidi="ar-SA"/>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link w:val="TtuloChar"/>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uiPriority w:val="99"/>
    <w:pPr/>
    <w:rPr/>
  </w:style>
  <w:style w:type="paragraph" w:styleId="Rodap">
    <w:name w:val="Footer"/>
    <w:basedOn w:val="Normal"/>
    <w:uiPriority w:val="99"/>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rsid w:val="00ce60a6"/>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bidi="ar-SA" w:val="pt-BR" w:eastAsia="zh-C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5"/>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hanging="0"/>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Textbody" w:customStyle="1">
    <w:name w:val="Text body"/>
    <w:basedOn w:val="Standard"/>
    <w:qFormat/>
    <w:rsid w:val="00ce60a6"/>
    <w:pPr>
      <w:widowControl/>
      <w:spacing w:lineRule="auto" w:line="288" w:before="0" w:after="140"/>
    </w:pPr>
    <w:rPr>
      <w:rFonts w:ascii="Calibri" w:hAnsi="Calibri" w:eastAsia="Times New Roman" w:cs="Times New Roman"/>
      <w:color w:val="auto"/>
      <w:sz w:val="22"/>
      <w:szCs w:val="22"/>
      <w:lang w:bidi="ar-SA"/>
    </w:rPr>
  </w:style>
  <w:style w:type="paragraph" w:styleId="Subttulo">
    <w:name w:val="Subtitle"/>
    <w:basedOn w:val="Normal"/>
    <w:next w:val="Normal"/>
    <w:link w:val="SubttuloChar"/>
    <w:uiPriority w:val="11"/>
    <w:qFormat/>
    <w:rsid w:val="00ce60a6"/>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ce60a6"/>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planalto.gov.br/ccivil_03/_ato2015-2018/2015/decreto/d8539.htm" TargetMode="External"/><Relationship Id="rId10" Type="http://schemas.openxmlformats.org/officeDocument/2006/relationships/hyperlink" Target="https://www.planalto.gov.br/ccivil_03/_ato2015-2018/2016/decreto/d8660.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bbmnetlicitacoes.com.br/" TargetMode="External"/><Relationship Id="rId22" Type="http://schemas.openxmlformats.org/officeDocument/2006/relationships/hyperlink" Target="http://www.itatiba.sp.gov.br/" TargetMode="External"/><Relationship Id="rId23" Type="http://schemas.openxmlformats.org/officeDocument/2006/relationships/hyperlink" Target="http://www.bbmnetlicitacoes.com.br/"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04FA-366B-426C-B437-74F91FC1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LibreOffice/7.5.9.2$Windows_X86_64 LibreOffice_project/cdeefe45c17511d326101eed8008ac4092f278a9</Application>
  <AppVersion>15.0000</AppVersion>
  <Pages>63</Pages>
  <Words>17314</Words>
  <Characters>97840</Characters>
  <CharactersWithSpaces>113683</CharactersWithSpaces>
  <Paragraphs>1619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2024-11-06T19:34:00Z</dcterms:created>
  <dc:creator>eportella</dc:creator>
  <dc:description/>
  <dc:language>pt-BR</dc:language>
  <cp:lastModifiedBy/>
  <cp:lastPrinted>2024-10-04T19:29:00Z</cp:lastPrinted>
  <dcterms:modified xsi:type="dcterms:W3CDTF">2024-11-13T15:35:17Z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file>