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t>PROCESSO ADMINISTRATIVO Nº 6.429/2024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 xml:space="preserve">PREGÃO ELETRÔNICO Nº </w:t>
      </w:r>
      <w:r>
        <w:rPr>
          <w:rFonts w:cs="Arial" w:ascii="Arial" w:hAnsi="Arial"/>
          <w:b/>
          <w:bCs/>
          <w:sz w:val="22"/>
          <w:szCs w:val="22"/>
        </w:rPr>
        <w:t>69/</w:t>
      </w:r>
      <w:r>
        <w:rPr>
          <w:rFonts w:cs="Arial" w:ascii="Arial" w:hAnsi="Arial"/>
          <w:b/>
          <w:bCs/>
          <w:sz w:val="22"/>
          <w:szCs w:val="22"/>
        </w:rPr>
        <w:t>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90/2024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aquisição de agregado reciclado misto (ARM).</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R$ 801.960,00 (oitocentos e um mil e novecentos e sessenta reais)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 xml:space="preserve">DATA DA SESSÃO PÚBLICA – Data </w:t>
      </w:r>
      <w:r>
        <w:rPr>
          <w:rFonts w:cs="Arial" w:ascii="Arial" w:hAnsi="Arial"/>
          <w:b/>
          <w:bCs/>
          <w:sz w:val="22"/>
          <w:szCs w:val="22"/>
        </w:rPr>
        <w:t>27</w:t>
      </w:r>
      <w:r>
        <w:rPr>
          <w:rFonts w:cs="Arial" w:ascii="Arial" w:hAnsi="Arial"/>
          <w:b/>
          <w:bCs/>
          <w:sz w:val="22"/>
          <w:szCs w:val="22"/>
        </w:rPr>
        <w:t xml:space="preserve"> de </w:t>
      </w:r>
      <w:r>
        <w:rPr>
          <w:rFonts w:cs="Arial" w:ascii="Arial" w:hAnsi="Arial"/>
          <w:b/>
          <w:bCs/>
          <w:sz w:val="22"/>
          <w:szCs w:val="22"/>
        </w:rPr>
        <w:t>agosto</w:t>
      </w:r>
      <w:r>
        <w:rPr>
          <w:rFonts w:cs="Arial" w:ascii="Arial" w:hAnsi="Arial"/>
          <w:b/>
          <w:bCs/>
          <w:sz w:val="22"/>
          <w:szCs w:val="22"/>
        </w:rPr>
        <w:t xml:space="preserve"> de 2024.</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 xml:space="preserve">Cadastro das Propostas até: </w:t>
        <w:tab/>
        <w:tab/>
      </w:r>
      <w:r>
        <w:rPr>
          <w:rFonts w:cs="Arial" w:ascii="Arial" w:hAnsi="Arial"/>
          <w:b w:val="false"/>
          <w:bCs w:val="false"/>
          <w:sz w:val="22"/>
          <w:szCs w:val="22"/>
        </w:rPr>
        <w:t>27</w:t>
      </w:r>
      <w:r>
        <w:rPr>
          <w:rFonts w:cs="Arial" w:ascii="Arial" w:hAnsi="Arial"/>
          <w:b w:val="false"/>
          <w:bCs w:val="false"/>
          <w:sz w:val="22"/>
          <w:szCs w:val="22"/>
        </w:rPr>
        <w:t>/</w:t>
      </w:r>
      <w:r>
        <w:rPr>
          <w:rFonts w:cs="Arial" w:ascii="Arial" w:hAnsi="Arial"/>
          <w:b w:val="false"/>
          <w:bCs w:val="false"/>
          <w:sz w:val="22"/>
          <w:szCs w:val="22"/>
        </w:rPr>
        <w:t>08</w:t>
      </w:r>
      <w:r>
        <w:rPr>
          <w:rFonts w:cs="Arial" w:ascii="Arial" w:hAnsi="Arial"/>
          <w:b w:val="false"/>
          <w:bCs w:val="false"/>
          <w:sz w:val="22"/>
          <w:szCs w:val="22"/>
        </w:rPr>
        <w:t>/2024</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Abertura das Propostas:</w:t>
        <w:tab/>
        <w:tab/>
        <w:tab/>
      </w:r>
      <w:r>
        <w:rPr>
          <w:rFonts w:cs="Arial" w:ascii="Arial" w:hAnsi="Arial"/>
          <w:b w:val="false"/>
          <w:bCs w:val="false"/>
          <w:sz w:val="22"/>
          <w:szCs w:val="22"/>
        </w:rPr>
        <w:t>27</w:t>
      </w:r>
      <w:r>
        <w:rPr>
          <w:rFonts w:cs="Arial" w:ascii="Arial" w:hAnsi="Arial"/>
          <w:b w:val="false"/>
          <w:bCs w:val="false"/>
          <w:sz w:val="22"/>
          <w:szCs w:val="22"/>
        </w:rPr>
        <w:t>/</w:t>
      </w:r>
      <w:r>
        <w:rPr>
          <w:rFonts w:cs="Arial" w:ascii="Arial" w:hAnsi="Arial"/>
          <w:b w:val="false"/>
          <w:bCs w:val="false"/>
          <w:sz w:val="22"/>
          <w:szCs w:val="22"/>
        </w:rPr>
        <w:t>08</w:t>
      </w:r>
      <w:r>
        <w:rPr>
          <w:rFonts w:cs="Arial" w:ascii="Arial" w:hAnsi="Arial"/>
          <w:b w:val="false"/>
          <w:bCs w:val="false"/>
          <w:sz w:val="22"/>
          <w:szCs w:val="22"/>
        </w:rPr>
        <w:t>/2024</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Início do Pregão (fase competitiva)</w:t>
        <w:tab/>
      </w:r>
      <w:r>
        <w:rPr>
          <w:rFonts w:cs="Arial" w:ascii="Arial" w:hAnsi="Arial"/>
          <w:b w:val="false"/>
          <w:bCs w:val="false"/>
          <w:sz w:val="22"/>
          <w:szCs w:val="22"/>
        </w:rPr>
        <w:t>27</w:t>
      </w:r>
      <w:r>
        <w:rPr>
          <w:rFonts w:cs="Arial" w:ascii="Arial" w:hAnsi="Arial"/>
          <w:b w:val="false"/>
          <w:bCs w:val="false"/>
          <w:sz w:val="22"/>
          <w:szCs w:val="22"/>
        </w:rPr>
        <w:t>/</w:t>
      </w:r>
      <w:r>
        <w:rPr>
          <w:rFonts w:cs="Arial" w:ascii="Arial" w:hAnsi="Arial"/>
          <w:b w:val="false"/>
          <w:bCs w:val="false"/>
          <w:sz w:val="22"/>
          <w:szCs w:val="22"/>
        </w:rPr>
        <w:t>08</w:t>
      </w:r>
      <w:r>
        <w:rPr>
          <w:rFonts w:cs="Arial" w:ascii="Arial" w:hAnsi="Arial"/>
          <w:b w:val="false"/>
          <w:bCs w:val="false"/>
          <w:sz w:val="22"/>
          <w:szCs w:val="22"/>
        </w:rPr>
        <w:t>/2024</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COM COTA DE EXCLUSIVIDADE ME/EPP</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
          <w:bCs/>
          <w:sz w:val="22"/>
          <w:szCs w:val="22"/>
        </w:rPr>
      </w:pPr>
      <w:r>
        <w:rPr>
          <w:rFonts w:cs="Arial" w:ascii="Arial" w:hAnsi="Arial"/>
          <w:b/>
          <w:bCs/>
          <w:sz w:val="22"/>
          <w:szCs w:val="22"/>
        </w:rPr>
        <w:t>SECRETARIA DE OBRAS E SERVIÇOS PÚBLICOS</w:t>
      </w:r>
    </w:p>
    <w:p>
      <w:pPr>
        <w:pStyle w:val="Normal"/>
        <w:spacing w:lineRule="auto" w:line="360"/>
        <w:rPr>
          <w:rFonts w:ascii="Arial" w:hAnsi="Arial" w:cs="Arial"/>
          <w:b/>
          <w:b/>
          <w:bCs/>
          <w:sz w:val="22"/>
          <w:szCs w:val="22"/>
        </w:rPr>
      </w:pPr>
      <w:r>
        <w:rPr>
          <w:rFonts w:cs="Arial" w:ascii="Arial" w:hAnsi="Arial"/>
          <w:b/>
          <w:bCs/>
          <w:sz w:val="22"/>
          <w:szCs w:val="22"/>
        </w:rPr>
        <w:t>PROCESSO ADMINISTRATIVO Nº 6.429/2024</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ind w:firstLine="567"/>
        <w:jc w:val="center"/>
        <w:rPr>
          <w:rFonts w:ascii="Arial" w:hAnsi="Arial" w:cs="Arial"/>
          <w:sz w:val="22"/>
          <w:szCs w:val="22"/>
        </w:rPr>
      </w:pPr>
      <w:r>
        <w:rPr>
          <w:rFonts w:cs="Arial" w:ascii="Arial" w:hAnsi="Arial"/>
          <w:b/>
          <w:sz w:val="22"/>
          <w:szCs w:val="22"/>
        </w:rPr>
        <w:t xml:space="preserve">PREGÃO ELETRÔNICO Nº </w:t>
      </w:r>
      <w:r>
        <w:rPr>
          <w:rFonts w:cs="Arial" w:ascii="Arial" w:hAnsi="Arial"/>
          <w:b/>
          <w:sz w:val="22"/>
          <w:szCs w:val="22"/>
        </w:rPr>
        <w:t>69/2024</w:t>
      </w:r>
    </w:p>
    <w:p>
      <w:pPr>
        <w:pStyle w:val="Normal"/>
        <w:spacing w:lineRule="auto" w:line="360"/>
        <w:ind w:firstLine="567"/>
        <w:jc w:val="center"/>
        <w:rPr>
          <w:rFonts w:ascii="Arial" w:hAnsi="Arial" w:cs="Arial"/>
          <w:sz w:val="22"/>
          <w:szCs w:val="22"/>
        </w:rPr>
      </w:pPr>
      <w:r>
        <w:rPr>
          <w:rFonts w:cs="Arial" w:ascii="Arial" w:hAnsi="Arial"/>
          <w:b/>
          <w:sz w:val="22"/>
          <w:szCs w:val="22"/>
        </w:rPr>
        <w:t xml:space="preserve">EDITAL Nº </w:t>
      </w:r>
      <w:r>
        <w:rPr>
          <w:rFonts w:cs="Arial" w:ascii="Arial" w:hAnsi="Arial"/>
          <w:b/>
          <w:sz w:val="22"/>
          <w:szCs w:val="22"/>
        </w:rPr>
        <w:t>90/2024</w:t>
      </w:r>
    </w:p>
    <w:p>
      <w:pPr>
        <w:pStyle w:val="Normal"/>
        <w:snapToGrid w:val="false"/>
        <w:spacing w:lineRule="auto" w:line="360" w:before="288" w:after="288"/>
        <w:ind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DE OBRAS E SERVIÇOS PÚBLICOS, </w:t>
      </w:r>
      <w:r>
        <w:rPr>
          <w:rFonts w:cs="Arial" w:ascii="Arial" w:hAnsi="Arial"/>
          <w:sz w:val="22"/>
          <w:szCs w:val="22"/>
        </w:rPr>
        <w:t xml:space="preserve">sediada à Avenida Luciano Consoline, nº 600, Jardim de Luca, Itatiba/SP, realizará licitação, na modalidade PREGÃO, na forma ELETRÔNICA, nos termos da </w:t>
      </w:r>
      <w:hyperlink r:id="rId2">
        <w:r>
          <w:rPr>
            <w:rFonts w:cs="Arial" w:ascii="Arial" w:hAnsi="Arial"/>
            <w:sz w:val="22"/>
            <w:szCs w:val="22"/>
          </w:rPr>
          <w:t>Lei nº 14.133/2021 e Decretos 11.462/2023</w:t>
        </w:r>
      </w:hyperlink>
      <w:r>
        <w:rPr>
          <w:rFonts w:cs="Arial" w:ascii="Arial" w:hAnsi="Arial"/>
          <w:sz w:val="22"/>
          <w:szCs w:val="22"/>
        </w:rPr>
        <w:t xml:space="preserve"> e 7.999/2024, e demais legislação aplicável e, ainda, de acordo com as condições estabelecidas neste Edital.</w:t>
      </w:r>
    </w:p>
    <w:p>
      <w:pPr>
        <w:pStyle w:val="Nivel01"/>
        <w:spacing w:lineRule="auto" w:line="360" w:before="0" w:after="0"/>
        <w:ind w:left="0" w:hanging="0"/>
        <w:rPr>
          <w:sz w:val="22"/>
          <w:szCs w:val="22"/>
          <w:lang w:eastAsia="en-US"/>
        </w:rPr>
      </w:pPr>
      <w:r>
        <w:rPr>
          <w:sz w:val="22"/>
          <w:szCs w:val="22"/>
          <w:lang w:eastAsia="en-US"/>
        </w:rPr>
        <w:t>1 - DO OBJETO</w:t>
      </w:r>
    </w:p>
    <w:p>
      <w:pPr>
        <w:pStyle w:val="Nivel2"/>
        <w:numPr>
          <w:ilvl w:val="0"/>
          <w:numId w:val="0"/>
        </w:numPr>
        <w:spacing w:lineRule="auto" w:line="360" w:before="0" w:after="0"/>
        <w:ind w:left="0" w:hanging="0"/>
        <w:rPr>
          <w:sz w:val="22"/>
          <w:szCs w:val="22"/>
        </w:rPr>
      </w:pPr>
      <w:r>
        <w:rPr>
          <w:sz w:val="22"/>
          <w:szCs w:val="22"/>
        </w:rPr>
        <w:t>1.1 - O objeto da presente licitação é o Registro de Preço, pelo prazo de 12 (doze) meses, para eventual aquisição de agregado reciclado misto (ARM), conforme condições, quantidades e exigências estabelecidas neste Edital e seus anexos.</w:t>
      </w:r>
    </w:p>
    <w:p>
      <w:pPr>
        <w:pStyle w:val="Nivel2"/>
        <w:numPr>
          <w:ilvl w:val="0"/>
          <w:numId w:val="0"/>
        </w:numPr>
        <w:spacing w:lineRule="auto" w:line="360" w:before="0" w:after="0"/>
        <w:ind w:left="0" w:hanging="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numPr>
          <w:ilvl w:val="0"/>
          <w:numId w:val="0"/>
        </w:numPr>
        <w:spacing w:lineRule="auto" w:line="360" w:before="0" w:after="0"/>
        <w:ind w:left="0" w:hanging="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left="0" w:hanging="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left="0" w:hanging="0"/>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lineRule="auto" w:line="360" w:before="0" w:after="0"/>
        <w:ind w:left="0" w:hanging="0"/>
        <w:rPr>
          <w:sz w:val="22"/>
          <w:szCs w:val="22"/>
        </w:rPr>
      </w:pPr>
      <w:r>
        <w:rPr>
          <w:sz w:val="22"/>
          <w:szCs w:val="22"/>
        </w:rPr>
        <w:t>1.6 – O objeto desta licitação será subsidiado com Recursos Próprios da Administração.</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2 - DA PARTICIPAÇÃO NA LICITAÇÃO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left="0" w:hanging="0"/>
        <w:rPr>
          <w:b/>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left="0" w:hanging="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pPr>
        <w:pStyle w:val="Nivel2"/>
        <w:numPr>
          <w:ilvl w:val="1"/>
          <w:numId w:val="6"/>
        </w:numPr>
        <w:spacing w:lineRule="auto" w:line="360" w:before="0" w:after="0"/>
        <w:ind w:left="0" w:hanging="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LinkdaInternet"/>
            <w:color w:val="auto"/>
            <w:sz w:val="22"/>
            <w:szCs w:val="22"/>
          </w:rPr>
          <w:t>art. 48 da Lei Complementar nº 123, de 14 de dezembro de 2006</w:t>
        </w:r>
      </w:hyperlink>
      <w:r>
        <w:rPr>
          <w:color w:val="auto"/>
          <w:sz w:val="22"/>
          <w:szCs w:val="22"/>
        </w:rPr>
        <w:t>.</w:t>
      </w:r>
    </w:p>
    <w:p>
      <w:pPr>
        <w:pStyle w:val="Nivel3"/>
        <w:spacing w:lineRule="auto" w:line="360" w:before="0" w:after="0"/>
        <w:ind w:left="0" w:firstLine="709"/>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pPr>
        <w:pStyle w:val="Nivel2"/>
        <w:numPr>
          <w:ilvl w:val="1"/>
          <w:numId w:val="6"/>
        </w:numPr>
        <w:spacing w:lineRule="auto" w:line="360" w:before="0" w:after="0"/>
        <w:ind w:left="0" w:hanging="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LinkdaInternet"/>
          <w:sz w:val="22"/>
          <w:szCs w:val="22"/>
          <w:rFonts w:eastAsia="Times New Roman"/>
          <w:color w:val="auto"/>
        </w:rPr>
        <w:instrText xml:space="preserve"> HYPERLINK "http://www.planalto.gov.br/ccivil_03/_ato2019-2022/2021/lei/L14133.htm" \l "art16"</w:instrText>
      </w:r>
      <w:r>
        <w:rPr>
          <w:rStyle w:val="LinkdaInternet"/>
          <w:sz w:val="22"/>
          <w:szCs w:val="22"/>
          <w:rFonts w:eastAsia="Times New Roman"/>
          <w:color w:val="auto"/>
        </w:rPr>
        <w:fldChar w:fldCharType="separate"/>
      </w:r>
      <w:r>
        <w:rPr>
          <w:rStyle w:val="LinkdaInternet"/>
          <w:rFonts w:eastAsia="Times New Roman"/>
          <w:color w:val="auto"/>
          <w:sz w:val="22"/>
          <w:szCs w:val="22"/>
        </w:rPr>
        <w:t xml:space="preserve">artigo </w:t>
      </w:r>
      <w:r>
        <w:rPr>
          <w:rStyle w:val="LinkdaInternet"/>
          <w:sz w:val="22"/>
          <w:szCs w:val="22"/>
          <w:rFonts w:eastAsia="Times New Roman"/>
          <w:color w:val="auto"/>
        </w:rPr>
        <w:fldChar w:fldCharType="end"/>
      </w:r>
      <w:r>
        <w:rPr>
          <w:rStyle w:val="LinkdaInternet"/>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LinkdaInternet"/>
            <w:color w:val="auto"/>
            <w:sz w:val="22"/>
            <w:szCs w:val="22"/>
          </w:rPr>
          <w:t>Lei Complementar nº 123, de 2006</w:t>
        </w:r>
      </w:hyperlink>
      <w:r>
        <w:rPr>
          <w:color w:val="auto"/>
          <w:sz w:val="22"/>
          <w:szCs w:val="22"/>
        </w:rPr>
        <w:t>.</w:t>
      </w:r>
    </w:p>
    <w:p>
      <w:pPr>
        <w:pStyle w:val="Nivel2"/>
        <w:numPr>
          <w:ilvl w:val="1"/>
          <w:numId w:val="6"/>
        </w:numPr>
        <w:spacing w:lineRule="auto" w:line="360" w:before="0" w:after="0"/>
        <w:ind w:left="0" w:hanging="0"/>
        <w:rPr>
          <w:rFonts w:eastAsia="Times New Roman"/>
          <w:sz w:val="22"/>
          <w:szCs w:val="22"/>
        </w:rPr>
      </w:pPr>
      <w:r>
        <w:rPr>
          <w:rFonts w:eastAsia="Times New Roman"/>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left="567" w:hanging="0"/>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left="567" w:hanging="0"/>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6"/>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left="567" w:hanging="0"/>
        <w:rPr>
          <w:sz w:val="22"/>
          <w:szCs w:val="22"/>
        </w:rPr>
      </w:pPr>
      <w:bookmarkStart w:id="5" w:name="_Ref113962336"/>
      <w:r>
        <w:rPr>
          <w:sz w:val="22"/>
          <w:szCs w:val="22"/>
        </w:rPr>
        <w:t>agente público do órgão ou entidade licitante;</w:t>
      </w:r>
      <w:bookmarkEnd w:id="5"/>
    </w:p>
    <w:p>
      <w:pPr>
        <w:pStyle w:val="Normal"/>
        <w:numPr>
          <w:ilvl w:val="2"/>
          <w:numId w:val="6"/>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left="567" w:hanging="0"/>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sz w:val="22"/>
          <w:szCs w:val="22"/>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01"/>
        <w:spacing w:lineRule="auto" w:line="360" w:before="0" w:after="0"/>
        <w:ind w:left="0" w:hanging="0"/>
        <w:rPr>
          <w:sz w:val="22"/>
          <w:szCs w:val="22"/>
        </w:rPr>
      </w:pPr>
      <w:r>
        <w:rPr>
          <w:sz w:val="22"/>
          <w:szCs w:val="22"/>
        </w:rPr>
      </w:r>
      <w:bookmarkStart w:id="6" w:name="art14§2"/>
      <w:bookmarkStart w:id="7" w:name="art14§2"/>
      <w:bookmarkEnd w:id="7"/>
    </w:p>
    <w:p>
      <w:pPr>
        <w:pStyle w:val="Nivel01"/>
        <w:spacing w:lineRule="auto" w:line="360" w:before="0" w:after="0"/>
        <w:ind w:left="0" w:hanging="0"/>
        <w:rPr>
          <w:sz w:val="22"/>
          <w:szCs w:val="22"/>
        </w:rPr>
      </w:pPr>
      <w:r>
        <w:rPr>
          <w:sz w:val="22"/>
          <w:szCs w:val="22"/>
        </w:rPr>
        <w:t>3 - DA APRESENTAÇÃO DA PROPOSTA E DOS DOCUMENTOS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left="0" w:hanging="0"/>
        <w:rPr>
          <w:sz w:val="22"/>
          <w:szCs w:val="22"/>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left="0" w:hanging="0"/>
        <w:rPr>
          <w:sz w:val="22"/>
          <w:szCs w:val="22"/>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sz w:val="22"/>
          <w:szCs w:val="22"/>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sz w:val="22"/>
          <w:szCs w:val="22"/>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left="0" w:hanging="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lineRule="auto" w:line="360" w:before="0" w:after="0"/>
        <w:ind w:left="0" w:hanging="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6"/>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left="567" w:hanging="0"/>
        <w:rPr>
          <w:sz w:val="22"/>
          <w:szCs w:val="22"/>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6"/>
        </w:numPr>
        <w:spacing w:lineRule="auto" w:line="360" w:before="0" w:after="0"/>
        <w:ind w:left="567" w:hanging="0"/>
        <w:rPr>
          <w:sz w:val="22"/>
          <w:szCs w:val="22"/>
        </w:rPr>
      </w:pPr>
      <w:r>
        <w:rPr>
          <w:sz w:val="22"/>
          <w:szCs w:val="22"/>
        </w:rPr>
        <w:t xml:space="preserve">Não possui, em sua cadeia produtiva, empregados executando trabalho degradante ou forçado, observando o disposto nos </w:t>
      </w:r>
      <w:hyperlink r:id="rId8">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left="0" w:hanging="0"/>
        <w:rPr>
          <w:sz w:val="22"/>
          <w:szCs w:val="22"/>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sz w:val="22"/>
          <w:szCs w:val="22"/>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1"/>
      <w:r>
        <w:rPr>
          <w:sz w:val="22"/>
          <w:szCs w:val="22"/>
        </w:rPr>
        <w:t xml:space="preserve"> </w:t>
      </w:r>
    </w:p>
    <w:p>
      <w:pPr>
        <w:pStyle w:val="Nivel2"/>
        <w:numPr>
          <w:ilvl w:val="1"/>
          <w:numId w:val="6"/>
        </w:numPr>
        <w:spacing w:lineRule="auto" w:line="360" w:before="0" w:after="0"/>
        <w:ind w:left="0" w:hanging="0"/>
        <w:rPr>
          <w:sz w:val="22"/>
          <w:szCs w:val="22"/>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9">
        <w:r>
          <w:rPr>
            <w:rStyle w:val="LinkdaInternet"/>
            <w:color w:val="000000"/>
            <w:sz w:val="22"/>
            <w:szCs w:val="22"/>
          </w:rPr>
          <w:t>Lei nº 14.133, de 2021</w:t>
        </w:r>
      </w:hyperlink>
      <w:r>
        <w:rPr>
          <w:sz w:val="22"/>
          <w:szCs w:val="22"/>
        </w:rPr>
        <w:t>, e neste Edital.</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left="0" w:hanging="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left="0" w:hanging="0"/>
        <w:rPr>
          <w:sz w:val="22"/>
          <w:szCs w:val="22"/>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6"/>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left="567" w:hanging="0"/>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left="567" w:hanging="0"/>
        <w:rPr>
          <w:sz w:val="22"/>
          <w:szCs w:val="22"/>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left="0" w:hanging="0"/>
        <w:rPr>
          <w:sz w:val="22"/>
          <w:szCs w:val="22"/>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“HORA do sistema eletrônico, onde será designado dia e hora para a continuidade da sessão.</w:t>
      </w:r>
    </w:p>
    <w:p>
      <w:pPr>
        <w:pStyle w:val="Nivel2"/>
        <w:numPr>
          <w:ilvl w:val="1"/>
          <w:numId w:val="6"/>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left="0" w:hanging="0"/>
        <w:rPr>
          <w:sz w:val="22"/>
          <w:szCs w:val="22"/>
        </w:rPr>
      </w:pPr>
      <w:r>
        <w:rPr>
          <w:sz w:val="22"/>
          <w:szCs w:val="22"/>
        </w:rPr>
        <w:t xml:space="preserve">O andamento do procedimento de licitação entre a data de abertura das propostas e a adjudicação do objeto deve ser acompanhado pelos participantes por meio do portal </w:t>
      </w:r>
      <w:hyperlink r:id="rId10">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left="0" w:hanging="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b/>
          <w:b/>
          <w:bCs/>
          <w:sz w:val="22"/>
          <w:szCs w:val="22"/>
        </w:rPr>
      </w:pPr>
      <w:r>
        <w:rPr>
          <w:b/>
          <w:bCs/>
          <w:sz w:val="22"/>
          <w:szCs w:val="22"/>
        </w:rPr>
        <w:t>4 - DO PREENCHIMENTO DA PROPOSTA</w:t>
      </w:r>
    </w:p>
    <w:p>
      <w:pPr>
        <w:pStyle w:val="ListParagraph"/>
        <w:numPr>
          <w:ilvl w:val="0"/>
          <w:numId w:val="6"/>
        </w:numPr>
        <w:suppressAutoHyphens w:val="false"/>
        <w:spacing w:lineRule="auto" w:line="360"/>
        <w:jc w:val="both"/>
        <w:rPr>
          <w:rFonts w:ascii="Arial" w:hAnsi="Arial" w:eastAsia="MS Mincho;ＭＳ 明朝" w:cs="Arial"/>
          <w:b/>
          <w:b/>
          <w:bCs/>
          <w:vanish/>
          <w:kern w:val="0"/>
          <w:lang w:eastAsia="pt-BR"/>
        </w:rPr>
      </w:pPr>
      <w:r>
        <w:rPr>
          <w:rFonts w:eastAsia="MS Mincho;ＭＳ 明朝" w:cs="Arial" w:ascii="Arial" w:hAnsi="Arial"/>
          <w:b/>
          <w:bCs/>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O licitante deverá enviar sua proposta mediante o preenchimento, no sistema eletrônico, do campo: VALOR UNITÁRIO DO ITEM. </w:t>
      </w:r>
    </w:p>
    <w:p>
      <w:pPr>
        <w:pStyle w:val="Nivel2"/>
        <w:numPr>
          <w:ilvl w:val="1"/>
          <w:numId w:val="6"/>
        </w:numPr>
        <w:spacing w:lineRule="auto" w:line="360" w:before="0" w:after="0"/>
        <w:ind w:left="0" w:hanging="0"/>
        <w:rPr>
          <w:sz w:val="22"/>
          <w:szCs w:val="22"/>
        </w:rPr>
      </w:pPr>
      <w:r>
        <w:rPr>
          <w:sz w:val="22"/>
          <w:szCs w:val="22"/>
        </w:rPr>
        <w:t>Todas as especificações do objeto contidas na proposta vinculam o licitante.</w:t>
      </w:r>
    </w:p>
    <w:p>
      <w:pPr>
        <w:pStyle w:val="Nivel2"/>
        <w:numPr>
          <w:ilvl w:val="1"/>
          <w:numId w:val="6"/>
        </w:numPr>
        <w:spacing w:lineRule="auto" w:line="360" w:before="0" w:after="0"/>
        <w:ind w:left="0" w:hanging="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0" w:after="0"/>
        <w:ind w:left="0" w:hanging="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left="0" w:hanging="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left="0" w:hanging="0"/>
        <w:rPr>
          <w:sz w:val="22"/>
          <w:szCs w:val="22"/>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rFonts w:ascii="Arial" w:hAnsi="Arial" w:cs="Arial"/>
          <w:sz w:val="22"/>
          <w:szCs w:val="22"/>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rFonts w:ascii="Arial" w:hAnsi="Arial" w:cs="Arial"/>
          <w:sz w:val="22"/>
          <w:szCs w:val="22"/>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b/>
          <w:sz w:val="22"/>
          <w:szCs w:val="22"/>
        </w:rPr>
      </w:pPr>
      <w:r>
        <w:rPr>
          <w:rFonts w:cs="Arial" w:ascii="Arial" w:hAnsi="Arial"/>
          <w:b/>
          <w:sz w:val="22"/>
          <w:szCs w:val="22"/>
        </w:rPr>
        <w:t>5.3 - QUALIFICAÇÃO ECONÔMICA-FINANCEIRA</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b/>
          <w:sz w:val="22"/>
          <w:szCs w:val="22"/>
        </w:rPr>
      </w:pPr>
      <w:r>
        <w:rPr>
          <w:rFonts w:cs="Arial" w:ascii="Arial" w:hAnsi="Arial"/>
          <w:b/>
          <w:sz w:val="22"/>
          <w:szCs w:val="22"/>
        </w:rPr>
        <w:t xml:space="preserve">5.4 - QUALIFICAÇÃO TÉCNICA </w:t>
      </w:r>
    </w:p>
    <w:p>
      <w:pPr>
        <w:pStyle w:val="Normal"/>
        <w:spacing w:lineRule="auto" w:line="360"/>
        <w:jc w:val="both"/>
        <w:rPr>
          <w:rFonts w:ascii="Arial" w:hAnsi="Arial" w:cs="Arial"/>
          <w:sz w:val="22"/>
          <w:szCs w:val="22"/>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hanging="0"/>
        <w:jc w:val="both"/>
        <w:rPr>
          <w:rFonts w:ascii="Arial" w:hAnsi="Arial" w:cs="Arial"/>
          <w:b/>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left="0" w:hanging="0"/>
        <w:rPr>
          <w:sz w:val="22"/>
          <w:szCs w:val="22"/>
        </w:rPr>
      </w:pPr>
      <w:r>
        <w:rPr>
          <w:sz w:val="22"/>
          <w:szCs w:val="22"/>
        </w:rPr>
        <w:t>6 - DA ABERTURA DA SESSÃO, CLASSIFICAÇÃO DAS PROPOSTAS E FORMULAÇÃO DE LANCES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6"/>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left="0" w:hanging="0"/>
        <w:rPr>
          <w:sz w:val="22"/>
          <w:szCs w:val="22"/>
        </w:rPr>
      </w:pPr>
      <w:r>
        <w:rPr>
          <w:sz w:val="22"/>
          <w:szCs w:val="22"/>
        </w:rPr>
        <w:t>O lance deverá ser ofertado pelo valor unitário do item.</w:t>
      </w:r>
    </w:p>
    <w:p>
      <w:pPr>
        <w:pStyle w:val="Nivel2"/>
        <w:numPr>
          <w:ilvl w:val="1"/>
          <w:numId w:val="6"/>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6"/>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left="0" w:hanging="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left="0"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left="0"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0" w:after="0"/>
        <w:ind w:left="0" w:hanging="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lineRule="auto" w:line="360" w:before="0" w:after="0"/>
        <w:ind w:left="0" w:hanging="0"/>
        <w:rPr>
          <w:sz w:val="22"/>
          <w:szCs w:val="22"/>
        </w:rPr>
      </w:pPr>
      <w:bookmarkStart w:id="14" w:name="_Hlk113697816"/>
      <w:r>
        <w:rPr>
          <w:sz w:val="22"/>
          <w:szCs w:val="22"/>
        </w:rPr>
        <w:t>Após o reinício previsto no item supra, os licitantes serão convocados para apresentar lances intermediários.</w:t>
      </w:r>
      <w:bookmarkEnd w:id="14"/>
      <w:r>
        <w:rPr>
          <w:sz w:val="22"/>
          <w:szCs w:val="22"/>
        </w:rPr>
        <w:t xml:space="preserve"> </w:t>
      </w:r>
    </w:p>
    <w:p>
      <w:pPr>
        <w:pStyle w:val="Nivel2"/>
        <w:numPr>
          <w:ilvl w:val="1"/>
          <w:numId w:val="6"/>
        </w:numPr>
        <w:spacing w:lineRule="auto" w:line="360" w:before="0" w:after="0"/>
        <w:ind w:left="0" w:hanging="0"/>
        <w:rPr>
          <w:sz w:val="22"/>
          <w:szCs w:val="22"/>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6"/>
        </w:numPr>
        <w:spacing w:lineRule="auto" w:line="360" w:before="0" w:after="0"/>
        <w:ind w:left="0" w:hanging="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auto"/>
        </w:rPr>
        <w:instrText xml:space="preserve"> HYPERLINK "https://www.planalto.gov.br/ccivil_03/leis/lcp/lcp123.htm" \l "art44"</w:instrText>
      </w:r>
      <w:r>
        <w:rPr>
          <w:rStyle w:val="LinkdaInternet"/>
          <w:sz w:val="22"/>
          <w:szCs w:val="22"/>
          <w:rFonts w:eastAsia="Zurich BT"/>
          <w:color w:val="auto"/>
        </w:rPr>
        <w:fldChar w:fldCharType="separate"/>
      </w:r>
      <w:r>
        <w:rPr>
          <w:rStyle w:val="LinkdaInternet"/>
          <w:rFonts w:eastAsia="Zurich BT"/>
          <w:color w:val="auto"/>
          <w:sz w:val="22"/>
          <w:szCs w:val="22"/>
        </w:rPr>
        <w:t>arts. 44 e 45 da Lei Complementar nº 123, de 2006</w:t>
      </w:r>
      <w:r>
        <w:rPr>
          <w:rStyle w:val="LinkdaInternet"/>
          <w:sz w:val="22"/>
          <w:szCs w:val="22"/>
          <w:rFonts w:eastAsia="Zurich BT"/>
          <w:color w:val="auto"/>
        </w:rPr>
        <w:fldChar w:fldCharType="end"/>
      </w:r>
      <w:r>
        <w:rPr>
          <w:rFonts w:eastAsia="Zurich BT"/>
          <w:color w:val="auto"/>
          <w:sz w:val="22"/>
          <w:szCs w:val="22"/>
        </w:rPr>
        <w:t xml:space="preserve">, regulamentada pelo </w:t>
      </w:r>
      <w:hyperlink r:id="rId12">
        <w:r>
          <w:rPr>
            <w:rStyle w:val="LinkdaInternet"/>
            <w:rFonts w:eastAsia="Zurich BT"/>
            <w:color w:val="auto"/>
            <w:sz w:val="22"/>
            <w:szCs w:val="22"/>
          </w:rPr>
          <w:t>Decreto nº 8.538, de 2015</w:t>
        </w:r>
      </w:hyperlink>
      <w:r>
        <w:rPr>
          <w:rFonts w:eastAsia="Zurich BT"/>
          <w:color w:val="auto"/>
          <w:sz w:val="22"/>
          <w:szCs w:val="22"/>
        </w:rPr>
        <w:t>.</w:t>
      </w:r>
    </w:p>
    <w:p>
      <w:pPr>
        <w:pStyle w:val="Nivel3"/>
        <w:spacing w:lineRule="auto" w:line="360" w:before="0" w:after="0"/>
        <w:ind w:left="0" w:firstLine="709"/>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spacing w:lineRule="auto" w:line="360" w:before="0" w:after="0"/>
        <w:ind w:left="0" w:firstLine="709"/>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spacing w:lineRule="auto" w:line="360" w:before="0" w:after="0"/>
        <w:ind w:left="0" w:firstLine="709"/>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spacing w:lineRule="auto" w:line="360" w:before="0" w:after="0"/>
        <w:ind w:left="0" w:firstLine="709"/>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spacing w:lineRule="auto" w:line="360" w:before="0" w:after="0"/>
        <w:ind w:left="0" w:hanging="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spacing w:lineRule="auto" w:line="360" w:before="0" w:after="0"/>
        <w:ind w:left="0" w:hanging="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spacing w:lineRule="auto" w:line="360" w:before="0" w:after="0"/>
        <w:ind w:left="0" w:hanging="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pPr>
        <w:pStyle w:val="Nivel3"/>
        <w:spacing w:lineRule="auto" w:line="360" w:before="0" w:after="0"/>
        <w:ind w:left="0" w:hanging="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5" w:name="_Hlk114646655"/>
    </w:p>
    <w:p>
      <w:pPr>
        <w:pStyle w:val="Nivel3"/>
        <w:spacing w:lineRule="auto" w:line="360" w:before="0" w:after="0"/>
        <w:ind w:left="0" w:hanging="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5"/>
      <w:r>
        <w:rPr>
          <w:sz w:val="22"/>
          <w:szCs w:val="22"/>
        </w:rPr>
        <w:t xml:space="preserve"> </w:t>
      </w:r>
    </w:p>
    <w:p>
      <w:pPr>
        <w:pStyle w:val="Nivel3"/>
        <w:spacing w:lineRule="auto" w:line="360" w:before="0" w:after="0"/>
        <w:ind w:left="0" w:hanging="0"/>
        <w:rPr>
          <w:sz w:val="22"/>
          <w:szCs w:val="22"/>
        </w:rPr>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pPr>
        <w:pStyle w:val="Nivel2"/>
        <w:numPr>
          <w:ilvl w:val="0"/>
          <w:numId w:val="0"/>
        </w:numPr>
        <w:spacing w:lineRule="auto" w:line="360" w:before="0" w:after="0"/>
        <w:ind w:left="0" w:hanging="0"/>
        <w:rPr>
          <w:rFonts w:eastAsia="Times New Roman"/>
          <w:sz w:val="22"/>
          <w:szCs w:val="22"/>
        </w:rPr>
      </w:pPr>
      <w:r>
        <w:rPr>
          <w:rFonts w:eastAsia="Times New Roman"/>
          <w:sz w:val="22"/>
          <w:szCs w:val="22"/>
        </w:rPr>
      </w:r>
    </w:p>
    <w:p>
      <w:pPr>
        <w:pStyle w:val="Nivel01"/>
        <w:spacing w:lineRule="auto" w:line="360" w:before="0" w:after="0"/>
        <w:ind w:left="0" w:hanging="0"/>
        <w:rPr>
          <w:sz w:val="22"/>
          <w:szCs w:val="22"/>
        </w:rPr>
      </w:pPr>
      <w:r>
        <w:rPr>
          <w:sz w:val="22"/>
          <w:szCs w:val="22"/>
        </w:rPr>
        <w:t>7 - DA FASE DE JULGAMENTO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6" w:name="_Ref117019424"/>
      <w:bookmarkStart w:id="17" w:name="_Ref117019424"/>
    </w:p>
    <w:p>
      <w:pPr>
        <w:pStyle w:val="Nivel2"/>
        <w:numPr>
          <w:ilvl w:val="1"/>
          <w:numId w:val="6"/>
        </w:numPr>
        <w:spacing w:lineRule="auto" w:line="360" w:before="0" w:after="0"/>
        <w:ind w:left="0" w:hanging="0"/>
        <w:rPr>
          <w:sz w:val="22"/>
          <w:szCs w:val="22"/>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rPr>
        <w:instrText xml:space="preserve"> HYPERLINK "http://www.planalto.gov.br/ccivil_03/_ato2019-2022/2021/lei/L14133.htm" \l "art14"</w:instrText>
      </w:r>
      <w:r>
        <w:rPr>
          <w:rStyle w:val="LinkdaInternet"/>
          <w:sz w:val="22"/>
          <w:szCs w:val="22"/>
        </w:rPr>
        <w:fldChar w:fldCharType="separate"/>
      </w:r>
      <w:r>
        <w:rPr>
          <w:rStyle w:val="LinkdaInternet"/>
          <w:sz w:val="22"/>
          <w:szCs w:val="22"/>
        </w:rPr>
        <w:t>art. 14 da Lei nº 14.133/2021</w:t>
      </w:r>
      <w:r>
        <w:rPr>
          <w:rStyle w:val="LinkdaInternet"/>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2.5</w:t>
      </w:r>
      <w:r>
        <w:rPr>
          <w:sz w:val="22"/>
          <w:szCs w:val="22"/>
        </w:rPr>
        <w:fldChar w:fldCharType="end"/>
      </w:r>
      <w:r>
        <w:rPr>
          <w:sz w:val="22"/>
          <w:szCs w:val="22"/>
        </w:rPr>
        <w:t xml:space="preserve"> do edital, </w:t>
      </w:r>
      <w:bookmarkEnd w:id="17"/>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left="0" w:hanging="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6"/>
        </w:numPr>
        <w:spacing w:lineRule="auto" w:line="360" w:before="0" w:after="0"/>
        <w:ind w:left="0" w:hanging="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6"/>
        </w:numPr>
        <w:spacing w:lineRule="auto" w:line="360" w:before="0" w:after="0"/>
        <w:ind w:left="0" w:hanging="0"/>
        <w:rPr>
          <w:sz w:val="22"/>
          <w:szCs w:val="22"/>
        </w:rPr>
      </w:pPr>
      <w:r>
        <w:rPr>
          <w:sz w:val="22"/>
          <w:szCs w:val="22"/>
        </w:rPr>
        <w:t>contiver vícios insanáveis;</w:t>
      </w:r>
    </w:p>
    <w:p>
      <w:pPr>
        <w:pStyle w:val="Nivel3"/>
        <w:numPr>
          <w:ilvl w:val="2"/>
          <w:numId w:val="6"/>
        </w:numPr>
        <w:spacing w:lineRule="auto" w:line="360" w:before="0" w:after="0"/>
        <w:ind w:left="0" w:hanging="0"/>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left="0" w:hanging="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left="0" w:hanging="0"/>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left="0" w:hanging="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left="0" w:hanging="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0"/>
          <w:numId w:val="0"/>
        </w:numPr>
        <w:spacing w:lineRule="auto" w:line="360" w:before="0" w:after="0"/>
        <w:ind w:left="0" w:hanging="0"/>
        <w:rPr>
          <w:b/>
          <w:b/>
          <w:sz w:val="22"/>
          <w:szCs w:val="22"/>
          <w:highlight w:val="yellow"/>
        </w:rPr>
      </w:pPr>
      <w:r>
        <w:rPr>
          <w:b/>
          <w:sz w:val="22"/>
          <w:szCs w:val="22"/>
          <w:highlight w:val="yellow"/>
        </w:rPr>
      </w:r>
    </w:p>
    <w:p>
      <w:pPr>
        <w:pStyle w:val="Nivel01"/>
        <w:spacing w:lineRule="auto" w:line="360" w:before="0" w:after="0"/>
        <w:ind w:left="0" w:hanging="0"/>
        <w:rPr>
          <w:sz w:val="22"/>
          <w:szCs w:val="22"/>
        </w:rPr>
      </w:pPr>
      <w:r>
        <w:rPr>
          <w:sz w:val="22"/>
          <w:szCs w:val="22"/>
        </w:rPr>
        <w:t>8 - DA FASE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rPr>
        <w:instrText xml:space="preserve"> HYPERLINK "http://www.planalto.gov.br/ccivil_03/_ato2019-2022/2021/lei/L14133.htm" \l "art62"</w:instrText>
      </w:r>
      <w:r>
        <w:rPr>
          <w:rStyle w:val="LinkdaInternet"/>
          <w:sz w:val="22"/>
          <w:szCs w:val="22"/>
        </w:rPr>
        <w:fldChar w:fldCharType="separate"/>
      </w:r>
      <w:r>
        <w:rPr>
          <w:rStyle w:val="LinkdaInternet"/>
          <w:sz w:val="22"/>
          <w:szCs w:val="22"/>
        </w:rPr>
        <w:t>arts. 62 a 70 da Lei nº 14.133, de 2021</w:t>
      </w:r>
      <w:r>
        <w:rPr>
          <w:rStyle w:val="LinkdaInternet"/>
          <w:sz w:val="22"/>
          <w:szCs w:val="22"/>
        </w:rPr>
        <w:fldChar w:fldCharType="end"/>
      </w:r>
      <w:r>
        <w:rPr>
          <w:sz w:val="22"/>
          <w:szCs w:val="22"/>
        </w:rPr>
        <w:t>.</w:t>
      </w:r>
    </w:p>
    <w:p>
      <w:pPr>
        <w:pStyle w:val="Nivel2"/>
        <w:numPr>
          <w:ilvl w:val="1"/>
          <w:numId w:val="6"/>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lineRule="auto" w:line="360" w:before="0" w:after="0"/>
        <w:ind w:left="0" w:hanging="0"/>
        <w:rPr>
          <w:sz w:val="22"/>
          <w:szCs w:val="22"/>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3">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6"/>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spacing w:lineRule="auto" w:line="360" w:before="0" w:after="0"/>
        <w:ind w:left="0"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6"/>
        </w:numPr>
        <w:spacing w:lineRule="auto" w:line="360" w:before="0" w:after="0"/>
        <w:ind w:left="567" w:hanging="0"/>
        <w:rPr>
          <w:sz w:val="22"/>
          <w:szCs w:val="22"/>
        </w:rPr>
      </w:pPr>
      <w:bookmarkStart w:id="18"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8"/>
      <w:r>
        <w:rPr>
          <w:sz w:val="22"/>
          <w:szCs w:val="22"/>
        </w:rPr>
        <w:t>contado da solicitação do Agente de Contratação.</w:t>
      </w:r>
    </w:p>
    <w:p>
      <w:pPr>
        <w:pStyle w:val="Nivel2"/>
        <w:numPr>
          <w:ilvl w:val="1"/>
          <w:numId w:val="6"/>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6"/>
        </w:numPr>
        <w:spacing w:lineRule="auto" w:line="360" w:before="0" w:after="0"/>
        <w:ind w:left="0" w:hanging="0"/>
        <w:rPr>
          <w:sz w:val="22"/>
          <w:szCs w:val="22"/>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6"/>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0" w:after="0"/>
        <w:ind w:left="0" w:hanging="0"/>
        <w:rPr>
          <w:sz w:val="22"/>
          <w:szCs w:val="22"/>
        </w:rPr>
      </w:pPr>
      <w:bookmarkStart w:id="19"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9"/>
    </w:p>
    <w:p>
      <w:pPr>
        <w:pStyle w:val="Nivel2"/>
        <w:numPr>
          <w:ilvl w:val="1"/>
          <w:numId w:val="6"/>
        </w:numPr>
        <w:spacing w:lineRule="auto" w:line="360" w:before="0" w:after="0"/>
        <w:ind w:left="0" w:hanging="0"/>
        <w:rPr>
          <w:sz w:val="22"/>
          <w:szCs w:val="22"/>
        </w:rPr>
      </w:pPr>
      <w:bookmarkStart w:id="20"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8.5.1</w:t>
      </w:r>
      <w:r>
        <w:rPr>
          <w:sz w:val="22"/>
          <w:szCs w:val="22"/>
        </w:rPr>
        <w:fldChar w:fldCharType="end"/>
      </w:r>
      <w:r>
        <w:rPr>
          <w:sz w:val="22"/>
          <w:szCs w:val="22"/>
        </w:rPr>
        <w:t>.</w:t>
      </w:r>
      <w:bookmarkEnd w:id="20"/>
    </w:p>
    <w:p>
      <w:pPr>
        <w:pStyle w:val="Nivel2"/>
        <w:numPr>
          <w:ilvl w:val="1"/>
          <w:numId w:val="6"/>
        </w:numPr>
        <w:spacing w:lineRule="auto" w:line="360" w:before="0" w:after="0"/>
        <w:ind w:left="0" w:hanging="0"/>
        <w:rPr>
          <w:sz w:val="22"/>
          <w:szCs w:val="22"/>
        </w:rPr>
      </w:pPr>
      <w:bookmarkStart w:id="21"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1"/>
      <w:r>
        <w:rPr>
          <w:sz w:val="22"/>
          <w:szCs w:val="22"/>
        </w:rPr>
        <w:t>.</w:t>
      </w:r>
    </w:p>
    <w:p>
      <w:pPr>
        <w:pStyle w:val="Nivel2"/>
        <w:numPr>
          <w:ilvl w:val="1"/>
          <w:numId w:val="6"/>
        </w:numPr>
        <w:spacing w:lineRule="auto" w:line="360" w:before="0" w:after="0"/>
        <w:ind w:left="0" w:hanging="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numPr>
          <w:ilvl w:val="0"/>
          <w:numId w:val="0"/>
        </w:numPr>
        <w:spacing w:lineRule="auto" w:line="360" w:before="0" w:after="0"/>
        <w:ind w:left="0" w:hanging="0"/>
        <w:rPr>
          <w:sz w:val="22"/>
          <w:szCs w:val="22"/>
        </w:rPr>
      </w:pPr>
      <w:r>
        <w:rPr>
          <w:b/>
          <w:bCs/>
          <w:sz w:val="22"/>
          <w:szCs w:val="22"/>
          <w:u w:val="single"/>
        </w:rPr>
        <w:t>8.11.1 -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numPr>
          <w:ilvl w:val="0"/>
          <w:numId w:val="0"/>
        </w:numPr>
        <w:spacing w:lineRule="auto" w:line="360" w:before="0" w:after="0"/>
        <w:ind w:left="0"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numPr>
          <w:ilvl w:val="0"/>
          <w:numId w:val="0"/>
        </w:numPr>
        <w:spacing w:lineRule="auto" w:line="360" w:before="0" w:after="0"/>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numPr>
          <w:ilvl w:val="0"/>
          <w:numId w:val="0"/>
        </w:numPr>
        <w:spacing w:lineRule="auto" w:line="360" w:before="0" w:after="0"/>
        <w:ind w:left="0" w:firstLine="709"/>
        <w:rPr>
          <w:sz w:val="22"/>
          <w:szCs w:val="22"/>
        </w:rPr>
      </w:pPr>
      <w:r>
        <w:rPr>
          <w:sz w:val="22"/>
          <w:szCs w:val="22"/>
        </w:rPr>
        <w:t>c) O prazo de validade que não poderá ser inferior a 60 (sessenta) dias, contados da abertura das propostas virtuais;</w:t>
      </w:r>
    </w:p>
    <w:p>
      <w:pPr>
        <w:pStyle w:val="Nivel2"/>
        <w:numPr>
          <w:ilvl w:val="0"/>
          <w:numId w:val="0"/>
        </w:numPr>
        <w:spacing w:lineRule="auto" w:line="360" w:before="0" w:after="0"/>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numPr>
          <w:ilvl w:val="0"/>
          <w:numId w:val="0"/>
        </w:numPr>
        <w:spacing w:lineRule="auto" w:line="360" w:before="0" w:after="0"/>
        <w:ind w:left="0" w:hanging="0"/>
        <w:rPr>
          <w:sz w:val="22"/>
          <w:szCs w:val="22"/>
        </w:rPr>
      </w:pPr>
      <w:r>
        <w:rPr>
          <w:b/>
          <w:bCs/>
          <w:sz w:val="22"/>
          <w:szCs w:val="22"/>
          <w:u w:val="single"/>
        </w:rPr>
        <w:t>8.11.2 -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1"/>
        </w:numPr>
        <w:spacing w:lineRule="auto" w:line="360" w:before="0" w:after="0"/>
        <w:ind w:left="0" w:hanging="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1"/>
        </w:numPr>
        <w:spacing w:lineRule="auto" w:line="360" w:before="0" w:after="0"/>
        <w:ind w:left="0" w:hanging="0"/>
        <w:rPr>
          <w:sz w:val="22"/>
          <w:szCs w:val="22"/>
        </w:rPr>
      </w:pPr>
      <w:r>
        <w:rPr>
          <w:sz w:val="22"/>
          <w:szCs w:val="22"/>
        </w:rPr>
        <w:t>A empresa participante e seu representante legal são responsáveis pela autenticidade e veracidade dos documentos enviados eletronicamente.</w:t>
      </w:r>
    </w:p>
    <w:p>
      <w:pPr>
        <w:pStyle w:val="ListParagraph"/>
        <w:numPr>
          <w:ilvl w:val="1"/>
          <w:numId w:val="12"/>
        </w:numPr>
        <w:spacing w:lineRule="auto" w:line="360" w:before="0" w:after="0"/>
        <w:ind w:left="0" w:hanging="0"/>
        <w:jc w:val="both"/>
        <w:rPr>
          <w:rFonts w:ascii="Arial" w:hAnsi="Arial" w:cs="Arial"/>
        </w:rPr>
      </w:pPr>
      <w:r>
        <w:rPr>
          <w:rFonts w:cs="Arial" w:ascii="Arial" w:hAnsi="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9 - DA ATA DE REGISTRO DE PREÇOS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left="0" w:hanging="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left="0" w:hanging="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left="0" w:hanging="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left="0" w:hanging="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left="0" w:hanging="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left="0" w:hanging="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left="0" w:hanging="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left="0" w:hanging="0"/>
        <w:rPr>
          <w:sz w:val="22"/>
          <w:szCs w:val="22"/>
        </w:rPr>
      </w:pPr>
      <w:r>
        <w:rPr>
          <w:sz w:val="22"/>
          <w:szCs w:val="22"/>
        </w:rPr>
      </w:r>
    </w:p>
    <w:p>
      <w:pPr>
        <w:pStyle w:val="Nivel01"/>
        <w:numPr>
          <w:ilvl w:val="0"/>
          <w:numId w:val="5"/>
        </w:numPr>
        <w:spacing w:lineRule="auto" w:line="360" w:before="0" w:after="0"/>
        <w:rPr>
          <w:sz w:val="22"/>
          <w:szCs w:val="22"/>
        </w:rPr>
      </w:pPr>
      <w:r>
        <w:rPr>
          <w:sz w:val="22"/>
          <w:szCs w:val="22"/>
        </w:rPr>
        <w:t xml:space="preserve">- DA FORMAÇÃO DO CADASTRO DE RESERVA </w:t>
      </w:r>
    </w:p>
    <w:p>
      <w:pPr>
        <w:pStyle w:val="ListParagraph"/>
        <w:numPr>
          <w:ilvl w:val="0"/>
          <w:numId w:val="8"/>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lineRule="auto" w:line="360" w:before="0" w:after="0"/>
        <w:ind w:left="0" w:hanging="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left="567" w:hanging="0"/>
        <w:rPr>
          <w:sz w:val="22"/>
          <w:szCs w:val="22"/>
        </w:rPr>
      </w:pPr>
      <w:r>
        <w:rPr>
          <w:sz w:val="22"/>
          <w:szCs w:val="22"/>
        </w:rPr>
        <w:t xml:space="preserve">dos licitantes </w:t>
      </w:r>
      <w:bookmarkStart w:id="22" w:name="_Hlk132991372"/>
      <w:r>
        <w:rPr>
          <w:sz w:val="22"/>
          <w:szCs w:val="22"/>
        </w:rPr>
        <w:t xml:space="preserve">que </w:t>
      </w:r>
      <w:bookmarkStart w:id="23" w:name="_Hlk132989696"/>
      <w:r>
        <w:rPr>
          <w:sz w:val="22"/>
          <w:szCs w:val="22"/>
        </w:rPr>
        <w:t>aceitarem cotar o objeto com preço igual ao do adjudicatári</w:t>
      </w:r>
      <w:bookmarkEnd w:id="22"/>
      <w:r>
        <w:rPr>
          <w:sz w:val="22"/>
          <w:szCs w:val="22"/>
        </w:rPr>
        <w:t>o</w:t>
      </w:r>
      <w:bookmarkEnd w:id="23"/>
      <w:r>
        <w:rPr>
          <w:sz w:val="22"/>
          <w:szCs w:val="22"/>
        </w:rPr>
        <w:t xml:space="preserve">, observada a classificação na licitação; e </w:t>
      </w:r>
    </w:p>
    <w:p>
      <w:pPr>
        <w:pStyle w:val="Nivel3"/>
        <w:numPr>
          <w:ilvl w:val="2"/>
          <w:numId w:val="5"/>
        </w:numPr>
        <w:spacing w:lineRule="auto" w:line="360" w:before="0" w:after="0"/>
        <w:ind w:left="567" w:hanging="0"/>
        <w:rPr>
          <w:sz w:val="22"/>
          <w:szCs w:val="22"/>
        </w:rPr>
      </w:pPr>
      <w:r>
        <w:rPr>
          <w:sz w:val="22"/>
          <w:szCs w:val="22"/>
        </w:rPr>
        <w:t>dos licitantes que mantiverem sua proposta original</w:t>
      </w:r>
    </w:p>
    <w:p>
      <w:pPr>
        <w:pStyle w:val="Nivel2"/>
        <w:numPr>
          <w:ilvl w:val="1"/>
          <w:numId w:val="5"/>
        </w:numPr>
        <w:spacing w:lineRule="auto" w:line="360" w:before="0" w:after="0"/>
        <w:ind w:left="0" w:hanging="0"/>
        <w:rPr>
          <w:sz w:val="22"/>
          <w:szCs w:val="22"/>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left="567" w:hanging="0"/>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left="567" w:hanging="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left="0" w:hanging="0"/>
        <w:rPr>
          <w:sz w:val="22"/>
          <w:szCs w:val="22"/>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left="0" w:hanging="0"/>
        <w:rPr>
          <w:sz w:val="22"/>
          <w:szCs w:val="22"/>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left="0" w:hanging="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left="567" w:hanging="0"/>
        <w:rPr>
          <w:sz w:val="22"/>
          <w:szCs w:val="22"/>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left="567" w:hanging="0"/>
        <w:rPr>
          <w:sz w:val="22"/>
          <w:szCs w:val="22"/>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11 - DOS RECURSOS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left="567" w:hanging="0"/>
        <w:rPr>
          <w:sz w:val="22"/>
          <w:szCs w:val="22"/>
        </w:rPr>
      </w:pPr>
      <w:r>
        <w:rPr>
          <w:sz w:val="22"/>
          <w:szCs w:val="22"/>
        </w:rPr>
        <w:t>O prazo para a manifestação da intenção de recorrer será de 10 (dez) minutos;</w:t>
      </w:r>
    </w:p>
    <w:p>
      <w:pPr>
        <w:pStyle w:val="Nivel3"/>
        <w:numPr>
          <w:ilvl w:val="2"/>
          <w:numId w:val="5"/>
        </w:numPr>
        <w:spacing w:lineRule="auto" w:line="360" w:before="0" w:after="0"/>
        <w:ind w:left="567" w:hanging="0"/>
        <w:rPr>
          <w:sz w:val="22"/>
          <w:szCs w:val="22"/>
        </w:rPr>
      </w:pPr>
      <w:bookmarkStart w:id="24" w:name="_Hlk156913398"/>
      <w:bookmarkEnd w:id="24"/>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5"/>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12 - DAS INFRAÇÕES ADMINISTRATIVAS E SANÇÕES</w:t>
      </w:r>
    </w:p>
    <w:p>
      <w:pPr>
        <w:pStyle w:val="ListParagraph"/>
        <w:numPr>
          <w:ilvl w:val="0"/>
          <w:numId w:val="13"/>
        </w:numPr>
        <w:suppressAutoHyphens w:val="false"/>
        <w:spacing w:lineRule="auto" w:line="360" w:before="0" w:after="0"/>
        <w:jc w:val="both"/>
        <w:rPr>
          <w:rFonts w:ascii="Arial" w:hAnsi="Arial" w:eastAsia="MS Mincho;ＭＳ 明朝" w:cs="Arial"/>
          <w:vanish/>
          <w:color w:val="000000"/>
          <w:kern w:val="0"/>
        </w:rPr>
      </w:pPr>
      <w:r>
        <w:rPr>
          <w:rFonts w:eastAsia="MS Mincho;ＭＳ 明朝" w:cs="Arial" w:ascii="Arial" w:hAnsi="Arial"/>
          <w:vanish/>
          <w:color w:val="000000"/>
          <w:kern w:val="0"/>
        </w:rPr>
      </w:r>
    </w:p>
    <w:p>
      <w:pPr>
        <w:pStyle w:val="ListParagraph"/>
        <w:numPr>
          <w:ilvl w:val="0"/>
          <w:numId w:val="13"/>
        </w:numPr>
        <w:suppressAutoHyphens w:val="false"/>
        <w:spacing w:lineRule="auto" w:line="360" w:before="0" w:after="0"/>
        <w:jc w:val="both"/>
        <w:rPr>
          <w:rFonts w:ascii="Arial" w:hAnsi="Arial" w:eastAsia="MS Mincho;ＭＳ 明朝" w:cs="Arial"/>
          <w:vanish/>
          <w:color w:val="000000"/>
          <w:kern w:val="0"/>
        </w:rPr>
      </w:pPr>
      <w:r>
        <w:rPr>
          <w:rFonts w:eastAsia="MS Mincho;ＭＳ 明朝" w:cs="Arial" w:ascii="Arial" w:hAnsi="Arial"/>
          <w:vanish/>
          <w:color w:val="000000"/>
          <w:kern w:val="0"/>
        </w:rPr>
      </w:r>
    </w:p>
    <w:p>
      <w:pPr>
        <w:pStyle w:val="ListParagraph"/>
        <w:numPr>
          <w:ilvl w:val="0"/>
          <w:numId w:val="13"/>
        </w:numPr>
        <w:suppressAutoHyphens w:val="false"/>
        <w:spacing w:lineRule="auto" w:line="360" w:before="0" w:after="0"/>
        <w:jc w:val="both"/>
        <w:rPr>
          <w:rFonts w:ascii="Arial" w:hAnsi="Arial" w:eastAsia="MS Mincho;ＭＳ 明朝" w:cs="Arial"/>
          <w:vanish/>
          <w:color w:val="000000"/>
          <w:kern w:val="0"/>
        </w:rPr>
      </w:pPr>
      <w:r>
        <w:rPr>
          <w:rFonts w:eastAsia="MS Mincho;ＭＳ 明朝" w:cs="Arial" w:ascii="Arial" w:hAnsi="Arial"/>
          <w:vanish/>
          <w:color w:val="000000"/>
          <w:kern w:val="0"/>
        </w:rPr>
      </w:r>
    </w:p>
    <w:p>
      <w:pPr>
        <w:pStyle w:val="Nivel2"/>
        <w:numPr>
          <w:ilvl w:val="1"/>
          <w:numId w:val="13"/>
        </w:numPr>
        <w:tabs>
          <w:tab w:val="clear" w:pos="709"/>
          <w:tab w:val="left" w:pos="1073" w:leader="none"/>
        </w:tabs>
        <w:spacing w:lineRule="auto" w:line="360" w:before="0" w:after="0"/>
        <w:ind w:left="600" w:hanging="600"/>
        <w:rPr>
          <w:sz w:val="22"/>
          <w:szCs w:val="22"/>
        </w:rPr>
      </w:pPr>
      <w:r>
        <w:rPr>
          <w:sz w:val="22"/>
          <w:szCs w:val="22"/>
        </w:rPr>
        <w:t xml:space="preserve">Comete infração administrativa, nos termos da lei, o licitante que, com dolo ou culpa: </w:t>
      </w:r>
    </w:p>
    <w:p>
      <w:pPr>
        <w:pStyle w:val="Nivel3"/>
        <w:numPr>
          <w:ilvl w:val="2"/>
          <w:numId w:val="13"/>
        </w:numPr>
        <w:spacing w:lineRule="auto" w:line="360" w:before="0" w:after="0"/>
        <w:ind w:left="567" w:hanging="0"/>
        <w:rPr>
          <w:sz w:val="22"/>
          <w:szCs w:val="22"/>
        </w:rPr>
      </w:pPr>
      <w:bookmarkStart w:id="25" w:name="_Ref114668085"/>
      <w:r>
        <w:rPr>
          <w:sz w:val="22"/>
          <w:szCs w:val="22"/>
        </w:rPr>
        <w:t>deixar de entregar a documentação exigida para o certame ou não entregar qualquer documento que tenha sido solicitado pelo/a pregoeiro/a durante o certame;</w:t>
      </w:r>
      <w:bookmarkEnd w:id="25"/>
    </w:p>
    <w:p>
      <w:pPr>
        <w:pStyle w:val="Nivel3"/>
        <w:numPr>
          <w:ilvl w:val="2"/>
          <w:numId w:val="13"/>
        </w:numPr>
        <w:spacing w:lineRule="auto" w:line="360" w:before="0" w:after="0"/>
        <w:ind w:left="567" w:hanging="0"/>
        <w:rPr>
          <w:sz w:val="22"/>
          <w:szCs w:val="22"/>
        </w:rPr>
      </w:pPr>
      <w:bookmarkStart w:id="26" w:name="_Ref114668108"/>
      <w:r>
        <w:rPr>
          <w:sz w:val="22"/>
          <w:szCs w:val="22"/>
        </w:rPr>
        <w:t>Salvo em decorrência de fato superveniente devidamente justificado, não mantiver a proposta em especial quando:</w:t>
      </w:r>
      <w:bookmarkEnd w:id="26"/>
    </w:p>
    <w:p>
      <w:pPr>
        <w:pStyle w:val="Nivel4"/>
        <w:numPr>
          <w:ilvl w:val="3"/>
          <w:numId w:val="13"/>
        </w:numPr>
        <w:spacing w:lineRule="auto" w:line="360" w:before="0" w:after="0"/>
        <w:ind w:left="1134" w:hanging="0"/>
        <w:rPr>
          <w:sz w:val="22"/>
          <w:szCs w:val="22"/>
        </w:rPr>
      </w:pPr>
      <w:r>
        <w:rPr>
          <w:sz w:val="22"/>
          <w:szCs w:val="22"/>
        </w:rPr>
        <w:t xml:space="preserve">não enviar a proposta adequada ao último lance ofertado ou após a negociação; </w:t>
      </w:r>
    </w:p>
    <w:p>
      <w:pPr>
        <w:pStyle w:val="Nivel4"/>
        <w:numPr>
          <w:ilvl w:val="3"/>
          <w:numId w:val="13"/>
        </w:numPr>
        <w:spacing w:lineRule="auto" w:line="360" w:before="0" w:after="0"/>
        <w:ind w:left="1134" w:hanging="0"/>
        <w:rPr>
          <w:sz w:val="22"/>
          <w:szCs w:val="22"/>
        </w:rPr>
      </w:pPr>
      <w:r>
        <w:rPr>
          <w:sz w:val="22"/>
          <w:szCs w:val="22"/>
        </w:rPr>
        <w:t xml:space="preserve">recusar-se a enviar o detalhamento da proposta quando exigível; </w:t>
      </w:r>
    </w:p>
    <w:p>
      <w:pPr>
        <w:pStyle w:val="Nivel4"/>
        <w:numPr>
          <w:ilvl w:val="3"/>
          <w:numId w:val="13"/>
        </w:numPr>
        <w:spacing w:lineRule="auto" w:line="360" w:before="0" w:after="0"/>
        <w:ind w:left="1134" w:hanging="0"/>
        <w:rPr>
          <w:sz w:val="22"/>
          <w:szCs w:val="22"/>
        </w:rPr>
      </w:pPr>
      <w:r>
        <w:rPr>
          <w:sz w:val="22"/>
          <w:szCs w:val="22"/>
        </w:rPr>
        <w:t xml:space="preserve">pedir para ser desclassificado quando encerrada a etapa competitiva; ou </w:t>
      </w:r>
    </w:p>
    <w:p>
      <w:pPr>
        <w:pStyle w:val="Nivel3"/>
        <w:numPr>
          <w:ilvl w:val="2"/>
          <w:numId w:val="13"/>
        </w:numPr>
        <w:spacing w:lineRule="auto" w:line="360" w:before="0" w:after="0"/>
        <w:ind w:left="1134" w:hanging="0"/>
        <w:rPr>
          <w:sz w:val="22"/>
          <w:szCs w:val="22"/>
        </w:rPr>
      </w:pPr>
      <w:bookmarkStart w:id="27" w:name="_Ref114668139"/>
      <w:r>
        <w:rPr>
          <w:sz w:val="22"/>
          <w:szCs w:val="22"/>
        </w:rPr>
        <w:t>não celebrar o contrato ou não entregar a documentação exigida para a contratação, quando convocado dentro do prazo de validade de sua proposta;</w:t>
      </w:r>
      <w:bookmarkEnd w:id="27"/>
    </w:p>
    <w:p>
      <w:pPr>
        <w:pStyle w:val="Nivel4"/>
        <w:numPr>
          <w:ilvl w:val="3"/>
          <w:numId w:val="13"/>
        </w:numPr>
        <w:spacing w:lineRule="auto" w:line="360" w:before="0" w:after="0"/>
        <w:ind w:left="1134" w:hanging="0"/>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13"/>
        </w:numPr>
        <w:spacing w:lineRule="auto" w:line="360" w:before="0" w:after="0"/>
        <w:ind w:left="1134" w:hanging="0"/>
        <w:rPr>
          <w:sz w:val="22"/>
          <w:szCs w:val="22"/>
        </w:rPr>
      </w:pPr>
      <w:bookmarkStart w:id="28" w:name="_Ref114668249"/>
      <w:r>
        <w:rPr>
          <w:sz w:val="22"/>
          <w:szCs w:val="22"/>
        </w:rPr>
        <w:t>apresentar declaração ou documentação falsa exigida para o certame ou prestar declaração falsa durante a licitação</w:t>
      </w:r>
      <w:bookmarkEnd w:id="28"/>
    </w:p>
    <w:p>
      <w:pPr>
        <w:pStyle w:val="Nivel3"/>
        <w:numPr>
          <w:ilvl w:val="2"/>
          <w:numId w:val="13"/>
        </w:numPr>
        <w:spacing w:lineRule="auto" w:line="360" w:before="0" w:after="0"/>
        <w:ind w:left="1134" w:hanging="0"/>
        <w:rPr>
          <w:sz w:val="22"/>
          <w:szCs w:val="22"/>
        </w:rPr>
      </w:pPr>
      <w:bookmarkStart w:id="29" w:name="_Ref114668245"/>
      <w:r>
        <w:rPr>
          <w:sz w:val="22"/>
          <w:szCs w:val="22"/>
        </w:rPr>
        <w:t>fraudar a licitação</w:t>
      </w:r>
      <w:bookmarkEnd w:id="29"/>
    </w:p>
    <w:p>
      <w:pPr>
        <w:pStyle w:val="Nivel3"/>
        <w:numPr>
          <w:ilvl w:val="2"/>
          <w:numId w:val="13"/>
        </w:numPr>
        <w:spacing w:lineRule="auto" w:line="360" w:before="0" w:after="0"/>
        <w:ind w:left="1134" w:hanging="0"/>
        <w:rPr>
          <w:sz w:val="22"/>
          <w:szCs w:val="22"/>
        </w:rPr>
      </w:pPr>
      <w:bookmarkStart w:id="30" w:name="_Ref114668247"/>
      <w:r>
        <w:rPr>
          <w:sz w:val="22"/>
          <w:szCs w:val="22"/>
        </w:rPr>
        <w:t>comportar-se de modo inidôneo ou cometer fraude de qualquer natureza, em especial quando:</w:t>
      </w:r>
      <w:bookmarkEnd w:id="30"/>
    </w:p>
    <w:p>
      <w:pPr>
        <w:pStyle w:val="Nivel4"/>
        <w:numPr>
          <w:ilvl w:val="3"/>
          <w:numId w:val="13"/>
        </w:numPr>
        <w:spacing w:lineRule="auto" w:line="360" w:before="0" w:after="0"/>
        <w:ind w:left="1134" w:hanging="0"/>
        <w:rPr>
          <w:sz w:val="22"/>
          <w:szCs w:val="22"/>
        </w:rPr>
      </w:pPr>
      <w:r>
        <w:rPr>
          <w:sz w:val="22"/>
          <w:szCs w:val="22"/>
        </w:rPr>
        <w:t xml:space="preserve">agir em conluio ou em desconformidade com a lei; </w:t>
      </w:r>
    </w:p>
    <w:p>
      <w:pPr>
        <w:pStyle w:val="Nivel4"/>
        <w:numPr>
          <w:ilvl w:val="3"/>
          <w:numId w:val="13"/>
        </w:numPr>
        <w:spacing w:lineRule="auto" w:line="360" w:before="0" w:after="0"/>
        <w:ind w:left="1134" w:hanging="0"/>
        <w:rPr>
          <w:sz w:val="22"/>
          <w:szCs w:val="22"/>
        </w:rPr>
      </w:pPr>
      <w:r>
        <w:rPr>
          <w:sz w:val="22"/>
          <w:szCs w:val="22"/>
        </w:rPr>
        <w:t xml:space="preserve">induzir deliberadamente a erro no julgamento; </w:t>
      </w:r>
    </w:p>
    <w:p>
      <w:pPr>
        <w:pStyle w:val="Nivel4"/>
        <w:numPr>
          <w:ilvl w:val="3"/>
          <w:numId w:val="13"/>
        </w:numPr>
        <w:spacing w:lineRule="auto" w:line="360" w:before="0" w:after="0"/>
        <w:ind w:left="1134" w:hanging="0"/>
        <w:rPr>
          <w:sz w:val="22"/>
          <w:szCs w:val="22"/>
        </w:rPr>
      </w:pPr>
      <w:r>
        <w:rPr>
          <w:sz w:val="22"/>
          <w:szCs w:val="22"/>
        </w:rPr>
        <w:t xml:space="preserve">apresentar amostra falsificada ou deteriorada; </w:t>
      </w:r>
    </w:p>
    <w:p>
      <w:pPr>
        <w:pStyle w:val="Nivel3"/>
        <w:numPr>
          <w:ilvl w:val="2"/>
          <w:numId w:val="13"/>
        </w:numPr>
        <w:spacing w:lineRule="auto" w:line="360" w:before="0" w:after="0"/>
        <w:ind w:left="1134" w:hanging="0"/>
        <w:rPr>
          <w:sz w:val="22"/>
          <w:szCs w:val="22"/>
        </w:rPr>
      </w:pPr>
      <w:bookmarkStart w:id="31" w:name="_Ref114668251"/>
      <w:r>
        <w:rPr>
          <w:sz w:val="22"/>
          <w:szCs w:val="22"/>
        </w:rPr>
        <w:t>praticar atos ilícitos com vistas a frustrar os objetivos da licitação</w:t>
      </w:r>
      <w:bookmarkEnd w:id="31"/>
    </w:p>
    <w:p>
      <w:pPr>
        <w:pStyle w:val="Nivel3"/>
        <w:numPr>
          <w:ilvl w:val="2"/>
          <w:numId w:val="13"/>
        </w:numPr>
        <w:spacing w:lineRule="auto" w:line="360" w:before="0" w:after="0"/>
        <w:ind w:left="1134" w:hanging="0"/>
        <w:rPr>
          <w:sz w:val="22"/>
          <w:szCs w:val="22"/>
        </w:rPr>
      </w:pPr>
      <w:bookmarkStart w:id="32" w:name="_Ref114668252"/>
      <w:r>
        <w:rPr>
          <w:sz w:val="22"/>
          <w:szCs w:val="22"/>
        </w:rPr>
        <w:t xml:space="preserve">praticar ato lesivo previsto no </w:t>
      </w:r>
      <w:r>
        <w:fldChar w:fldCharType="begin"/>
      </w:r>
      <w:r>
        <w:rPr>
          <w:rStyle w:val="LinkdaInternet"/>
          <w:sz w:val="22"/>
          <w:szCs w:val="22"/>
          <w:color w:val="000000"/>
        </w:rPr>
        <w:instrText xml:space="preserve"> HYPERLINK "https://www.planalto.gov.br/ccivil_03/_ato2011-2014/2013/lei/l12846.htm" \l "art5"</w:instrText>
      </w:r>
      <w:r>
        <w:rPr>
          <w:rStyle w:val="LinkdaInternet"/>
          <w:sz w:val="22"/>
          <w:szCs w:val="22"/>
          <w:color w:val="000000"/>
        </w:rPr>
        <w:fldChar w:fldCharType="separate"/>
      </w:r>
      <w:r>
        <w:rPr>
          <w:rStyle w:val="LinkdaInternet"/>
          <w:color w:val="000000"/>
          <w:sz w:val="22"/>
          <w:szCs w:val="22"/>
        </w:rPr>
        <w:t>art. 5º da Lei n.º 12.846, de 2013</w:t>
      </w:r>
      <w:r>
        <w:rPr>
          <w:rStyle w:val="LinkdaInternet"/>
          <w:sz w:val="22"/>
          <w:szCs w:val="22"/>
          <w:color w:val="000000"/>
        </w:rPr>
        <w:fldChar w:fldCharType="end"/>
      </w:r>
      <w:r>
        <w:rPr>
          <w:sz w:val="22"/>
          <w:szCs w:val="22"/>
        </w:rPr>
        <w:t>.</w:t>
      </w:r>
      <w:bookmarkEnd w:id="32"/>
    </w:p>
    <w:p>
      <w:pPr>
        <w:pStyle w:val="Nivel2"/>
        <w:numPr>
          <w:ilvl w:val="1"/>
          <w:numId w:val="13"/>
        </w:numPr>
        <w:spacing w:lineRule="auto" w:line="360" w:before="0" w:after="0"/>
        <w:ind w:left="0" w:hanging="0"/>
        <w:rPr>
          <w:sz w:val="22"/>
          <w:szCs w:val="22"/>
        </w:rPr>
      </w:pPr>
      <w:bookmarkStart w:id="33" w:name="_Hlk114652595"/>
      <w:bookmarkEnd w:id="33"/>
      <w:r>
        <w:rPr>
          <w:sz w:val="22"/>
          <w:szCs w:val="22"/>
        </w:rPr>
        <w:t xml:space="preserve">Com fulcro na </w:t>
      </w:r>
      <w:hyperlink r:id="rId14">
        <w:r>
          <w:rPr>
            <w:rStyle w:val="LinkdaInternet"/>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13"/>
        </w:numPr>
        <w:spacing w:lineRule="auto" w:line="360" w:before="0" w:after="0"/>
        <w:ind w:left="567" w:hanging="0"/>
        <w:rPr>
          <w:sz w:val="22"/>
          <w:szCs w:val="22"/>
        </w:rPr>
      </w:pPr>
      <w:r>
        <w:rPr>
          <w:sz w:val="22"/>
          <w:szCs w:val="22"/>
        </w:rPr>
        <w:t xml:space="preserve">advertência; </w:t>
      </w:r>
    </w:p>
    <w:p>
      <w:pPr>
        <w:pStyle w:val="Nivel3"/>
        <w:numPr>
          <w:ilvl w:val="2"/>
          <w:numId w:val="13"/>
        </w:numPr>
        <w:spacing w:lineRule="auto" w:line="360" w:before="0" w:after="0"/>
        <w:ind w:left="567" w:hanging="0"/>
        <w:rPr>
          <w:sz w:val="22"/>
          <w:szCs w:val="22"/>
        </w:rPr>
      </w:pPr>
      <w:r>
        <w:rPr>
          <w:sz w:val="22"/>
          <w:szCs w:val="22"/>
        </w:rPr>
        <w:t>multa;</w:t>
      </w:r>
    </w:p>
    <w:p>
      <w:pPr>
        <w:pStyle w:val="Nivel3"/>
        <w:numPr>
          <w:ilvl w:val="2"/>
          <w:numId w:val="13"/>
        </w:numPr>
        <w:spacing w:lineRule="auto" w:line="360" w:before="0" w:after="0"/>
        <w:ind w:left="567" w:hanging="0"/>
        <w:rPr>
          <w:sz w:val="22"/>
          <w:szCs w:val="22"/>
        </w:rPr>
      </w:pPr>
      <w:r>
        <w:rPr>
          <w:sz w:val="22"/>
          <w:szCs w:val="22"/>
        </w:rPr>
        <w:t>impedimento de licitar e contratar e</w:t>
      </w:r>
    </w:p>
    <w:p>
      <w:pPr>
        <w:pStyle w:val="Nivel3"/>
        <w:numPr>
          <w:ilvl w:val="2"/>
          <w:numId w:val="13"/>
        </w:numPr>
        <w:spacing w:lineRule="auto" w:line="360" w:before="0" w:after="0"/>
        <w:ind w:left="567"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13"/>
        </w:numPr>
        <w:spacing w:lineRule="auto" w:line="360" w:before="0" w:after="0"/>
        <w:ind w:left="0" w:hanging="0"/>
        <w:rPr>
          <w:sz w:val="22"/>
          <w:szCs w:val="22"/>
        </w:rPr>
      </w:pPr>
      <w:r>
        <w:rPr>
          <w:sz w:val="22"/>
          <w:szCs w:val="22"/>
        </w:rPr>
        <w:t>Na aplicação das sanções serão considerados:</w:t>
      </w:r>
    </w:p>
    <w:p>
      <w:pPr>
        <w:pStyle w:val="Nivel3"/>
        <w:numPr>
          <w:ilvl w:val="2"/>
          <w:numId w:val="13"/>
        </w:numPr>
        <w:spacing w:lineRule="auto" w:line="360" w:before="0" w:after="0"/>
        <w:ind w:left="567" w:hanging="0"/>
        <w:rPr>
          <w:sz w:val="22"/>
          <w:szCs w:val="22"/>
        </w:rPr>
      </w:pPr>
      <w:r>
        <w:rPr>
          <w:sz w:val="22"/>
          <w:szCs w:val="22"/>
        </w:rPr>
        <w:t>a natureza e a gravidade da infração cometida.</w:t>
      </w:r>
    </w:p>
    <w:p>
      <w:pPr>
        <w:pStyle w:val="Nivel3"/>
        <w:numPr>
          <w:ilvl w:val="2"/>
          <w:numId w:val="13"/>
        </w:numPr>
        <w:spacing w:lineRule="auto" w:line="360" w:before="0" w:after="0"/>
        <w:ind w:left="567" w:hanging="0"/>
        <w:rPr>
          <w:sz w:val="22"/>
          <w:szCs w:val="22"/>
        </w:rPr>
      </w:pPr>
      <w:r>
        <w:rPr>
          <w:sz w:val="22"/>
          <w:szCs w:val="22"/>
        </w:rPr>
        <w:t>as peculiaridades do caso concreto</w:t>
      </w:r>
    </w:p>
    <w:p>
      <w:pPr>
        <w:pStyle w:val="Nivel3"/>
        <w:numPr>
          <w:ilvl w:val="2"/>
          <w:numId w:val="13"/>
        </w:numPr>
        <w:spacing w:lineRule="auto" w:line="360" w:before="0" w:after="0"/>
        <w:ind w:left="567" w:hanging="0"/>
        <w:rPr>
          <w:sz w:val="22"/>
          <w:szCs w:val="22"/>
        </w:rPr>
      </w:pPr>
      <w:r>
        <w:rPr>
          <w:sz w:val="22"/>
          <w:szCs w:val="22"/>
        </w:rPr>
        <w:t>as circunstâncias agravantes ou atenuantes</w:t>
      </w:r>
    </w:p>
    <w:p>
      <w:pPr>
        <w:pStyle w:val="Nivel3"/>
        <w:numPr>
          <w:ilvl w:val="2"/>
          <w:numId w:val="13"/>
        </w:numPr>
        <w:spacing w:lineRule="auto" w:line="360" w:before="0" w:after="0"/>
        <w:ind w:left="567" w:hanging="0"/>
        <w:rPr>
          <w:sz w:val="22"/>
          <w:szCs w:val="22"/>
        </w:rPr>
      </w:pPr>
      <w:r>
        <w:rPr>
          <w:sz w:val="22"/>
          <w:szCs w:val="22"/>
        </w:rPr>
        <w:t>os danos que dela provierem para a Administração Pública</w:t>
      </w:r>
    </w:p>
    <w:p>
      <w:pPr>
        <w:pStyle w:val="Nivel3"/>
        <w:numPr>
          <w:ilvl w:val="2"/>
          <w:numId w:val="13"/>
        </w:numPr>
        <w:spacing w:lineRule="auto" w:line="360" w:before="0" w:after="0"/>
        <w:ind w:left="567" w:hanging="0"/>
        <w:rPr>
          <w:sz w:val="22"/>
          <w:szCs w:val="22"/>
        </w:rPr>
      </w:pPr>
      <w:r>
        <w:rPr>
          <w:sz w:val="22"/>
          <w:szCs w:val="22"/>
        </w:rPr>
        <w:t>a implantação ou o aperfeiçoamento de programa de integridade, conforme normas e orientações dos órgãos de controle.</w:t>
      </w:r>
    </w:p>
    <w:p>
      <w:pPr>
        <w:pStyle w:val="Nivel2"/>
        <w:numPr>
          <w:ilvl w:val="1"/>
          <w:numId w:val="13"/>
        </w:numPr>
        <w:spacing w:lineRule="auto" w:line="360" w:before="0" w:after="0"/>
        <w:ind w:left="0" w:hanging="0"/>
        <w:rPr>
          <w:sz w:val="22"/>
          <w:szCs w:val="22"/>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13"/>
        </w:numPr>
        <w:spacing w:lineRule="auto" w:line="360" w:before="0" w:after="0"/>
        <w:ind w:left="0" w:hanging="0"/>
        <w:rPr>
          <w:sz w:val="22"/>
          <w:szCs w:val="22"/>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13"/>
        </w:numPr>
        <w:spacing w:lineRule="auto" w:line="360" w:before="0" w:after="0"/>
        <w:ind w:left="0" w:hanging="0"/>
        <w:rPr>
          <w:sz w:val="22"/>
          <w:szCs w:val="22"/>
        </w:rPr>
      </w:pPr>
      <w:bookmarkStart w:id="34" w:name="_Hlk113876035"/>
      <w:bookmarkEnd w:id="34"/>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13"/>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13"/>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13"/>
        </w:numPr>
        <w:spacing w:lineRule="auto" w:line="360" w:before="0" w:after="0"/>
        <w:ind w:left="0" w:hanging="0"/>
        <w:rPr>
          <w:sz w:val="22"/>
          <w:szCs w:val="22"/>
        </w:rPr>
      </w:pPr>
      <w:bookmarkStart w:id="35" w:name="_Hlk159229867"/>
      <w:bookmarkEnd w:id="35"/>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13"/>
        </w:numPr>
        <w:spacing w:lineRule="auto" w:line="360" w:before="0" w:after="0"/>
        <w:ind w:left="0" w:hanging="0"/>
        <w:rPr>
          <w:sz w:val="22"/>
          <w:szCs w:val="22"/>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000000"/>
        </w:rPr>
        <w:instrText xml:space="preserve"> HYPERLINK "http://www.planalto.gov.br/ccivil_03/_ato2019-2022/2021/lei/L14133.htm" \l "art156§5"</w:instrText>
      </w:r>
      <w:r>
        <w:rPr>
          <w:rStyle w:val="LinkdaInternet"/>
          <w:sz w:val="22"/>
          <w:szCs w:val="22"/>
          <w:color w:val="000000"/>
        </w:rPr>
        <w:fldChar w:fldCharType="separate"/>
      </w:r>
      <w:r>
        <w:rPr>
          <w:rStyle w:val="LinkdaInternet"/>
          <w:color w:val="000000"/>
          <w:sz w:val="22"/>
          <w:szCs w:val="22"/>
        </w:rPr>
        <w:t>art. 156, §5º, da Lei n.º 14.133/2021</w:t>
      </w:r>
      <w:r>
        <w:rPr>
          <w:rStyle w:val="LinkdaInternet"/>
          <w:sz w:val="22"/>
          <w:szCs w:val="22"/>
          <w:color w:val="000000"/>
        </w:rPr>
        <w:fldChar w:fldCharType="end"/>
      </w:r>
      <w:r>
        <w:rPr>
          <w:sz w:val="22"/>
          <w:szCs w:val="22"/>
        </w:rPr>
        <w:t>.</w:t>
      </w:r>
    </w:p>
    <w:p>
      <w:pPr>
        <w:pStyle w:val="Nivel2"/>
        <w:numPr>
          <w:ilvl w:val="1"/>
          <w:numId w:val="13"/>
        </w:numPr>
        <w:spacing w:lineRule="auto" w:line="360" w:before="0" w:after="0"/>
        <w:ind w:left="0" w:hanging="0"/>
        <w:rPr>
          <w:sz w:val="22"/>
          <w:szCs w:val="22"/>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5">
        <w:r>
          <w:rPr>
            <w:rStyle w:val="LinkdaInternet"/>
            <w:color w:val="000000"/>
            <w:sz w:val="22"/>
            <w:szCs w:val="22"/>
          </w:rPr>
          <w:t>art. 45, §4º da IN SEGES/ME n.º 73, de 2022</w:t>
        </w:r>
      </w:hyperlink>
      <w:r>
        <w:rPr>
          <w:sz w:val="22"/>
          <w:szCs w:val="22"/>
        </w:rPr>
        <w:t xml:space="preserve">. </w:t>
      </w:r>
    </w:p>
    <w:p>
      <w:pPr>
        <w:pStyle w:val="Nivel2"/>
        <w:numPr>
          <w:ilvl w:val="1"/>
          <w:numId w:val="13"/>
        </w:numPr>
        <w:spacing w:lineRule="auto" w:line="360" w:before="0" w:after="0"/>
        <w:ind w:left="0" w:hanging="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13"/>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13"/>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13"/>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13"/>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ormal"/>
        <w:spacing w:lineRule="auto" w:line="360"/>
        <w:jc w:val="both"/>
        <w:rPr>
          <w:rFonts w:ascii="Arial" w:hAnsi="Arial" w:cs="Arial"/>
          <w:b/>
          <w:b/>
          <w:bCs/>
          <w:smallCaps/>
          <w:sz w:val="22"/>
          <w:szCs w:val="22"/>
          <w:shd w:fill="FFFF00" w:val="clear"/>
        </w:rPr>
      </w:pPr>
      <w:r>
        <w:rPr>
          <w:rFonts w:cs="Arial" w:ascii="Arial" w:hAnsi="Arial"/>
          <w:b/>
          <w:bCs/>
          <w:smallCaps/>
          <w:sz w:val="22"/>
          <w:szCs w:val="22"/>
          <w:shd w:fill="FFFF00" w:val="clear"/>
        </w:rPr>
      </w:r>
    </w:p>
    <w:p>
      <w:pPr>
        <w:pStyle w:val="Nivel01"/>
        <w:spacing w:lineRule="auto" w:line="360" w:before="0" w:after="0"/>
        <w:ind w:left="0" w:hanging="0"/>
        <w:rPr>
          <w:sz w:val="22"/>
          <w:szCs w:val="22"/>
        </w:rPr>
      </w:pPr>
      <w:r>
        <w:rPr>
          <w:sz w:val="22"/>
          <w:szCs w:val="22"/>
        </w:rPr>
        <w:t>13 - DA IMPUGNAÇÃO AO EDITAL E DO PEDIDO DE ESCLARECIMENTO</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sz w:val="22"/>
          <w:szCs w:val="22"/>
        </w:rPr>
      </w:pPr>
      <w:r>
        <w:rPr>
          <w:sz w:val="22"/>
          <w:szCs w:val="22"/>
        </w:rPr>
        <w:t xml:space="preserve">Qualquer pessoa é parte legítima para impugnar este Edital por irregularidade na aplicação da </w:t>
      </w:r>
      <w:hyperlink r:id="rId16">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left="0" w:hanging="0"/>
        <w:rPr>
          <w:sz w:val="22"/>
          <w:szCs w:val="22"/>
        </w:rPr>
      </w:pPr>
      <w:r>
        <w:rPr>
          <w:sz w:val="22"/>
          <w:szCs w:val="22"/>
        </w:rPr>
        <w:t xml:space="preserve">A impugnação e o pedido de esclarecimento poderão ser realizados por forma eletrônica, através do sistema da BBMnet ou e-mail; </w:t>
      </w:r>
      <w:hyperlink r:id="rId17">
        <w:r>
          <w:rPr>
            <w:rStyle w:val="LinkdaInternet"/>
            <w:sz w:val="22"/>
            <w:szCs w:val="22"/>
          </w:rPr>
          <w:t>licitacoes@licitacoes.itatiba.sp.gov.br</w:t>
        </w:r>
      </w:hyperlink>
      <w:r>
        <w:rPr>
          <w:sz w:val="22"/>
          <w:szCs w:val="22"/>
        </w:rPr>
        <w:t>.</w:t>
      </w:r>
    </w:p>
    <w:p>
      <w:pPr>
        <w:pStyle w:val="Nivel2"/>
        <w:numPr>
          <w:ilvl w:val="1"/>
          <w:numId w:val="5"/>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14 - DAS DISPOSIÇÕES GERAIS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0" w:hanging="600"/>
        <w:rPr>
          <w:sz w:val="22"/>
          <w:szCs w:val="22"/>
        </w:rPr>
      </w:pPr>
      <w:r>
        <w:rPr>
          <w:sz w:val="22"/>
          <w:szCs w:val="22"/>
        </w:rPr>
        <w:t>Será divulgada ata da sessão pública no sistema eletrônico.</w:t>
      </w:r>
    </w:p>
    <w:p>
      <w:pPr>
        <w:pStyle w:val="Nivel2"/>
        <w:numPr>
          <w:ilvl w:val="1"/>
          <w:numId w:val="5"/>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5"/>
        </w:numPr>
        <w:spacing w:lineRule="auto" w:line="360" w:before="0" w:after="0"/>
        <w:ind w:left="567" w:hanging="0"/>
        <w:rPr>
          <w:sz w:val="22"/>
          <w:szCs w:val="22"/>
        </w:rPr>
      </w:pPr>
      <w:r>
        <w:rPr>
          <w:sz w:val="22"/>
          <w:szCs w:val="22"/>
        </w:rPr>
        <w:t>ANEXO I - Termo de Referência</w:t>
      </w:r>
    </w:p>
    <w:p>
      <w:pPr>
        <w:pStyle w:val="Nivel3"/>
        <w:numPr>
          <w:ilvl w:val="2"/>
          <w:numId w:val="5"/>
        </w:numPr>
        <w:spacing w:lineRule="auto" w:line="360" w:before="0" w:after="0"/>
        <w:ind w:left="567" w:right="-54" w:hanging="0"/>
        <w:rPr>
          <w:sz w:val="22"/>
          <w:szCs w:val="22"/>
        </w:rPr>
      </w:pPr>
      <w:r>
        <w:rPr>
          <w:sz w:val="22"/>
          <w:szCs w:val="22"/>
        </w:rPr>
        <w:t>ANEXO II – Modelo de Procuração</w:t>
      </w:r>
    </w:p>
    <w:p>
      <w:pPr>
        <w:pStyle w:val="Nivel3"/>
        <w:numPr>
          <w:ilvl w:val="2"/>
          <w:numId w:val="5"/>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left="567" w:hanging="0"/>
        <w:rPr>
          <w:sz w:val="22"/>
          <w:szCs w:val="22"/>
        </w:rPr>
      </w:pPr>
      <w:r>
        <w:rPr>
          <w:sz w:val="22"/>
          <w:szCs w:val="22"/>
        </w:rPr>
        <w:t>ANEXO V – Modelo de Proposta</w:t>
      </w:r>
    </w:p>
    <w:p>
      <w:pPr>
        <w:pStyle w:val="Nivel3"/>
        <w:numPr>
          <w:ilvl w:val="2"/>
          <w:numId w:val="5"/>
        </w:numPr>
        <w:spacing w:lineRule="auto" w:line="360" w:before="0" w:after="0"/>
        <w:ind w:left="567" w:hanging="0"/>
        <w:rPr>
          <w:sz w:val="22"/>
          <w:szCs w:val="22"/>
        </w:rPr>
      </w:pPr>
      <w:r>
        <w:rPr>
          <w:sz w:val="22"/>
          <w:szCs w:val="22"/>
        </w:rPr>
        <w:t>ANEXO VI - Minuta de Ata de Registro de Preços</w:t>
      </w:r>
    </w:p>
    <w:p>
      <w:pPr>
        <w:pStyle w:val="Nivel3"/>
        <w:numPr>
          <w:ilvl w:val="2"/>
          <w:numId w:val="5"/>
        </w:numPr>
        <w:spacing w:lineRule="auto" w:line="360" w:before="0" w:after="0"/>
        <w:ind w:left="567" w:hanging="0"/>
        <w:rPr>
          <w:sz w:val="22"/>
          <w:szCs w:val="22"/>
        </w:rPr>
      </w:pPr>
      <w:r>
        <w:rPr>
          <w:sz w:val="22"/>
          <w:szCs w:val="22"/>
        </w:rPr>
        <w:t>ANEXO VII – Minuta de Autorização de Fornecimento.</w:t>
      </w:r>
    </w:p>
    <w:p>
      <w:pPr>
        <w:pStyle w:val="Nivel3"/>
        <w:tabs>
          <w:tab w:val="clear" w:pos="0"/>
        </w:tabs>
        <w:spacing w:lineRule="auto" w:line="360" w:before="0" w:after="0"/>
        <w:ind w:left="567" w:hanging="0"/>
        <w:rPr>
          <w:sz w:val="22"/>
          <w:szCs w:val="22"/>
        </w:rPr>
      </w:pPr>
      <w:r>
        <w:rPr>
          <w:sz w:val="22"/>
          <w:szCs w:val="22"/>
        </w:rPr>
      </w:r>
    </w:p>
    <w:p>
      <w:pPr>
        <w:pStyle w:val="Normal"/>
        <w:spacing w:lineRule="auto" w:line="360"/>
        <w:rPr>
          <w:rFonts w:ascii="Arial" w:hAnsi="Arial" w:cs="Arial"/>
          <w:sz w:val="22"/>
          <w:szCs w:val="22"/>
        </w:rPr>
      </w:pPr>
      <w:r>
        <w:rPr>
          <w:rFonts w:eastAsia="MS Mincho;ＭＳ 明朝" w:cs="Arial" w:ascii="Arial" w:hAnsi="Arial"/>
          <w:sz w:val="22"/>
          <w:szCs w:val="22"/>
        </w:rPr>
        <w:t xml:space="preserve">Itatiba, </w:t>
      </w:r>
      <w:r>
        <w:rPr>
          <w:rFonts w:eastAsia="MS Mincho;ＭＳ 明朝" w:cs="Arial" w:ascii="Arial" w:hAnsi="Arial"/>
          <w:sz w:val="22"/>
          <w:szCs w:val="22"/>
        </w:rPr>
        <w:t>09</w:t>
      </w:r>
      <w:r>
        <w:rPr>
          <w:rFonts w:eastAsia="MS Mincho;ＭＳ 明朝" w:cs="Arial" w:ascii="Arial" w:hAnsi="Arial"/>
          <w:sz w:val="22"/>
          <w:szCs w:val="22"/>
        </w:rPr>
        <w:t xml:space="preserve"> de </w:t>
      </w:r>
      <w:r>
        <w:rPr>
          <w:rFonts w:eastAsia="MS Mincho;ＭＳ 明朝" w:cs="Arial" w:ascii="Arial" w:hAnsi="Arial"/>
          <w:sz w:val="22"/>
          <w:szCs w:val="22"/>
        </w:rPr>
        <w:t>agosto</w:t>
      </w:r>
      <w:r>
        <w:rPr>
          <w:rFonts w:eastAsia="MS Mincho;ＭＳ 明朝" w:cs="Arial" w:ascii="Arial" w:hAnsi="Arial"/>
          <w:sz w:val="22"/>
          <w:szCs w:val="22"/>
        </w:rPr>
        <w:t xml:space="preserve"> de 2024.</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r>
      <w:bookmarkStart w:id="36" w:name="_Hlk82473550"/>
      <w:bookmarkStart w:id="37" w:name="_Hlk82473550"/>
      <w:bookmarkEnd w:id="37"/>
    </w:p>
    <w:p>
      <w:pPr>
        <w:pStyle w:val="Normal"/>
        <w:spacing w:lineRule="auto" w:line="360"/>
        <w:jc w:val="center"/>
        <w:rPr>
          <w:rFonts w:ascii="Arial" w:hAnsi="Arial" w:cs="Arial"/>
          <w:b/>
          <w:b/>
          <w:bCs/>
          <w:sz w:val="22"/>
          <w:szCs w:val="22"/>
        </w:rPr>
      </w:pPr>
      <w:r>
        <w:rPr>
          <w:rFonts w:cs="Arial" w:ascii="Arial" w:hAnsi="Arial"/>
          <w:b/>
          <w:bCs/>
          <w:sz w:val="22"/>
          <w:szCs w:val="22"/>
        </w:rPr>
      </w:r>
    </w:p>
    <w:p>
      <w:pPr>
        <w:pStyle w:val="Normal"/>
        <w:spacing w:lineRule="auto" w:line="360"/>
        <w:jc w:val="center"/>
        <w:rPr>
          <w:rFonts w:ascii="Arial" w:hAnsi="Arial" w:cs="Arial"/>
          <w:sz w:val="22"/>
          <w:szCs w:val="22"/>
        </w:rPr>
      </w:pPr>
      <w:r>
        <w:rPr>
          <w:rFonts w:cs="Arial" w:ascii="Arial" w:hAnsi="Arial"/>
          <w:b/>
          <w:bCs/>
          <w:sz w:val="22"/>
          <w:szCs w:val="22"/>
        </w:rPr>
        <w:t>ADILSON FRANCO PENTEADO</w:t>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sz w:val="22"/>
          <w:szCs w:val="22"/>
        </w:rPr>
        <w:t>Secretário Municipal de Obras e Serviços Públicos</w:t>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69/2024</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90/2024</w:t>
      </w:r>
    </w:p>
    <w:p>
      <w:pPr>
        <w:pStyle w:val="Normal"/>
        <w:spacing w:lineRule="auto" w:line="360"/>
        <w:ind w:right="-57" w:hanging="0"/>
        <w:jc w:val="both"/>
        <w:rPr>
          <w:rFonts w:ascii="Arial" w:hAnsi="Arial" w:cs="Arial"/>
          <w:sz w:val="22"/>
          <w:szCs w:val="22"/>
        </w:rPr>
      </w:pPr>
      <w:r>
        <w:rPr>
          <w:rFonts w:cs="Arial" w:ascii="Arial" w:hAnsi="Arial"/>
          <w:b/>
          <w:bCs/>
          <w:sz w:val="22"/>
          <w:szCs w:val="22"/>
        </w:rPr>
        <w:t>Processo nº 6.429/2024</w:t>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t>TERMO DE REFERÊNCIA</w:t>
      </w:r>
    </w:p>
    <w:p>
      <w:pPr>
        <w:pStyle w:val="Normal"/>
        <w:spacing w:lineRule="auto" w:line="360"/>
        <w:ind w:right="-54" w:hanging="0"/>
        <w:rPr>
          <w:rFonts w:ascii="Arial" w:hAnsi="Arial" w:cs="Arial"/>
          <w:b/>
          <w:b/>
          <w:sz w:val="22"/>
          <w:szCs w:val="22"/>
          <w:u w:val="single"/>
        </w:rPr>
      </w:pPr>
      <w:r>
        <w:rPr>
          <w:rFonts w:cs="Arial" w:ascii="Arial" w:hAnsi="Arial"/>
          <w:b/>
          <w:sz w:val="22"/>
          <w:szCs w:val="22"/>
          <w:u w:val="single"/>
        </w:rPr>
      </w:r>
    </w:p>
    <w:p>
      <w:pPr>
        <w:pStyle w:val="Nivel01"/>
        <w:numPr>
          <w:ilvl w:val="0"/>
          <w:numId w:val="3"/>
        </w:numPr>
        <w:spacing w:lineRule="auto" w:line="360" w:before="0" w:after="0"/>
        <w:ind w:left="0" w:hanging="0"/>
        <w:rPr>
          <w:sz w:val="22"/>
          <w:szCs w:val="22"/>
        </w:rPr>
      </w:pPr>
      <w:r>
        <w:rPr>
          <w:sz w:val="22"/>
          <w:szCs w:val="22"/>
        </w:rPr>
        <w:t>- CONDIÇÕES GERAIS DA CONTRATAÇÃO</w:t>
      </w:r>
    </w:p>
    <w:p>
      <w:pPr>
        <w:pStyle w:val="Nivel2"/>
        <w:numPr>
          <w:ilvl w:val="1"/>
          <w:numId w:val="10"/>
        </w:numPr>
        <w:spacing w:lineRule="auto" w:line="360" w:before="0" w:after="0"/>
        <w:ind w:left="0" w:hanging="0"/>
        <w:rPr>
          <w:bCs/>
          <w:sz w:val="22"/>
          <w:szCs w:val="22"/>
        </w:rPr>
      </w:pPr>
      <w:r>
        <w:rPr>
          <w:b/>
          <w:sz w:val="22"/>
          <w:szCs w:val="22"/>
        </w:rPr>
        <w:t xml:space="preserve">- </w:t>
      </w:r>
      <w:r>
        <w:rPr>
          <w:bCs/>
          <w:sz w:val="22"/>
          <w:szCs w:val="22"/>
        </w:rPr>
        <w:t xml:space="preserve">Constitui objeto deste Termo de Referência o Registro de Preços com vistas à eventual </w:t>
      </w:r>
      <w:r>
        <w:rPr>
          <w:sz w:val="22"/>
          <w:szCs w:val="22"/>
        </w:rPr>
        <w:t>Aquisição de agregado reciclado misto (ARM)</w:t>
      </w:r>
      <w:r>
        <w:rPr>
          <w:bCs/>
          <w:sz w:val="22"/>
          <w:szCs w:val="22"/>
        </w:rPr>
        <w:t>, de acordo com as especificações, quantitativos máximos e condições mínimas abaixo apresentadas.</w:t>
      </w:r>
    </w:p>
    <w:p>
      <w:pPr>
        <w:pStyle w:val="ListParagraph"/>
        <w:numPr>
          <w:ilvl w:val="1"/>
          <w:numId w:val="10"/>
        </w:numPr>
        <w:spacing w:lineRule="auto" w:line="360" w:before="0" w:after="0"/>
        <w:ind w:left="0" w:hanging="0"/>
        <w:jc w:val="both"/>
        <w:rPr>
          <w:rFonts w:ascii="Arial" w:hAnsi="Arial" w:cs="Arial"/>
        </w:rPr>
      </w:pPr>
      <w:r>
        <w:rPr>
          <w:rFonts w:cs="Arial" w:ascii="Arial" w:hAnsi="Arial"/>
        </w:rPr>
        <w:t xml:space="preserve">- Os quantitativos dos </w:t>
      </w:r>
      <w:r>
        <w:rPr>
          <w:rFonts w:cs="Arial" w:ascii="Arial" w:hAnsi="Arial"/>
          <w:b/>
        </w:rPr>
        <w:t>itens</w:t>
      </w:r>
      <w:r>
        <w:rPr>
          <w:rFonts w:cs="Arial" w:ascii="Arial" w:hAnsi="Arial"/>
        </w:rPr>
        <w:t xml:space="preserve"> desta licitação estão divididos em </w:t>
      </w:r>
      <w:r>
        <w:rPr>
          <w:rFonts w:cs="Arial" w:ascii="Arial" w:hAnsi="Arial"/>
          <w:b/>
        </w:rPr>
        <w:t>Cota Principal</w:t>
      </w:r>
      <w:r>
        <w:rPr>
          <w:rFonts w:cs="Arial" w:ascii="Arial" w:hAnsi="Arial"/>
        </w:rPr>
        <w:t xml:space="preserve">, correspondente a 75% (setenta e cinco por cento) das quantidades dos itens do objeto, destinado à participação dos interessados que atendam aos requisitos deste edital; e em </w:t>
      </w:r>
      <w:r>
        <w:rPr>
          <w:rFonts w:cs="Arial" w:ascii="Arial" w:hAnsi="Arial"/>
          <w:b/>
        </w:rPr>
        <w:t>Cota Reservada</w:t>
      </w:r>
      <w:r>
        <w:rPr>
          <w:rFonts w:cs="Arial" w:ascii="Arial" w:hAnsi="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pPr>
        <w:pStyle w:val="ListParagraph"/>
        <w:spacing w:lineRule="auto" w:line="360" w:before="0" w:after="0"/>
        <w:ind w:left="0" w:hanging="0"/>
        <w:jc w:val="both"/>
        <w:rPr>
          <w:rFonts w:ascii="Arial" w:hAnsi="Arial" w:cs="Arial"/>
        </w:rPr>
      </w:pPr>
      <w:r>
        <w:rPr>
          <w:rFonts w:cs="Arial" w:ascii="Arial" w:hAnsi="Arial"/>
        </w:rPr>
      </w:r>
    </w:p>
    <w:p>
      <w:pPr>
        <w:pStyle w:val="ListParagraph"/>
        <w:spacing w:lineRule="auto" w:line="360" w:before="0" w:after="0"/>
        <w:ind w:left="0" w:hanging="0"/>
        <w:jc w:val="both"/>
        <w:rPr>
          <w:rFonts w:ascii="Arial" w:hAnsi="Arial" w:cs="Arial"/>
        </w:rPr>
      </w:pPr>
      <w:r>
        <w:rPr>
          <w:rFonts w:cs="Arial" w:ascii="Arial" w:hAnsi="Arial"/>
          <w:b/>
        </w:rPr>
        <w:t>2 - ITENS E QUANTITATIVOS</w:t>
      </w:r>
    </w:p>
    <w:p>
      <w:pPr>
        <w:pStyle w:val="Nivel01"/>
        <w:spacing w:lineRule="auto" w:line="276"/>
        <w:ind w:left="360" w:hanging="0"/>
        <w:jc w:val="center"/>
        <w:rPr>
          <w:sz w:val="22"/>
          <w:szCs w:val="22"/>
        </w:rPr>
      </w:pPr>
      <w:r>
        <w:rPr>
          <w:sz w:val="22"/>
          <w:szCs w:val="22"/>
        </w:rPr>
        <w:t>COTA PRINCIPAL - AMPLA PARTICIPAÇÃO</w:t>
      </w:r>
    </w:p>
    <w:p>
      <w:pPr>
        <w:pStyle w:val="Normal"/>
        <w:rPr>
          <w:rFonts w:ascii="Arial" w:hAnsi="Arial" w:cs="Arial"/>
          <w:sz w:val="22"/>
          <w:szCs w:val="22"/>
        </w:rPr>
      </w:pPr>
      <w:r>
        <w:rPr>
          <w:rFonts w:cs="Arial" w:ascii="Arial" w:hAnsi="Arial"/>
          <w:sz w:val="22"/>
          <w:szCs w:val="22"/>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1"/>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1.17.01.3868-0 - AGREGADO RECICLADO - CLASSE A - MISTO(ARM)</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M3</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66,83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601.470,00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AGREGADO RECICLADO - CLASSE A - MISTO(ARM)</w:t>
            </w:r>
          </w:p>
          <w:p>
            <w:pPr>
              <w:pStyle w:val="Normal"/>
              <w:widowControl w:val="false"/>
              <w:pBdr/>
              <w:rPr>
                <w:rFonts w:ascii="Arial" w:hAnsi="Arial" w:cs="Arial"/>
                <w:sz w:val="18"/>
                <w:szCs w:val="18"/>
              </w:rPr>
            </w:pPr>
            <w:r>
              <w:rPr>
                <w:rFonts w:cs="Arial" w:ascii="Arial" w:hAnsi="Arial"/>
                <w:sz w:val="18"/>
                <w:szCs w:val="18"/>
              </w:rPr>
              <w:t>Especificações:</w:t>
            </w:r>
          </w:p>
          <w:p>
            <w:pPr>
              <w:pStyle w:val="Normal"/>
              <w:widowControl w:val="false"/>
              <w:pBdr/>
              <w:rPr>
                <w:rFonts w:ascii="Arial" w:hAnsi="Arial" w:cs="Arial"/>
                <w:sz w:val="18"/>
                <w:szCs w:val="18"/>
              </w:rPr>
            </w:pPr>
            <w:r>
              <w:rPr>
                <w:rFonts w:cs="Arial" w:ascii="Arial" w:hAnsi="Arial"/>
                <w:sz w:val="18"/>
                <w:szCs w:val="18"/>
              </w:rPr>
              <w:t>Coeficiente de uniformidade - Maior que 10</w:t>
            </w:r>
          </w:p>
          <w:p>
            <w:pPr>
              <w:pStyle w:val="Normal"/>
              <w:widowControl w:val="false"/>
              <w:pBdr/>
              <w:rPr>
                <w:rFonts w:ascii="Arial" w:hAnsi="Arial" w:cs="Arial"/>
                <w:sz w:val="18"/>
                <w:szCs w:val="18"/>
              </w:rPr>
            </w:pPr>
            <w:r>
              <w:rPr>
                <w:rFonts w:cs="Arial" w:ascii="Arial" w:hAnsi="Arial"/>
                <w:sz w:val="18"/>
                <w:szCs w:val="18"/>
              </w:rPr>
              <w:t>Índice de Forma - Menor ou igual a 3</w:t>
            </w:r>
          </w:p>
          <w:p>
            <w:pPr>
              <w:pStyle w:val="Normal"/>
              <w:widowControl w:val="false"/>
              <w:pBdr/>
              <w:rPr>
                <w:rFonts w:ascii="Arial" w:hAnsi="Arial" w:cs="Arial"/>
                <w:sz w:val="18"/>
                <w:szCs w:val="18"/>
              </w:rPr>
            </w:pPr>
            <w:r>
              <w:rPr>
                <w:rFonts w:cs="Arial" w:ascii="Arial" w:hAnsi="Arial"/>
                <w:sz w:val="18"/>
                <w:szCs w:val="18"/>
              </w:rPr>
              <w:t>Dimensão Máxima Característica - Menor ou igual a 63mm</w:t>
            </w:r>
          </w:p>
          <w:p>
            <w:pPr>
              <w:pStyle w:val="Normal"/>
              <w:widowControl w:val="false"/>
              <w:pBdr/>
              <w:rPr>
                <w:rFonts w:ascii="Arial" w:hAnsi="Arial" w:cs="Arial"/>
                <w:sz w:val="18"/>
                <w:szCs w:val="18"/>
              </w:rPr>
            </w:pPr>
            <w:r>
              <w:rPr>
                <w:rFonts w:cs="Arial" w:ascii="Arial" w:hAnsi="Arial"/>
                <w:sz w:val="18"/>
                <w:szCs w:val="18"/>
              </w:rPr>
              <w:t>Teor de material passante na peneira de 0,42mm - 10 a 40%</w:t>
            </w:r>
          </w:p>
          <w:p>
            <w:pPr>
              <w:pStyle w:val="Normal"/>
              <w:widowControl w:val="false"/>
              <w:pBdr/>
              <w:rPr>
                <w:rFonts w:ascii="Arial" w:hAnsi="Arial" w:cs="Arial"/>
                <w:sz w:val="18"/>
                <w:szCs w:val="18"/>
              </w:rPr>
            </w:pPr>
            <w:r>
              <w:rPr>
                <w:rFonts w:cs="Arial" w:ascii="Arial" w:hAnsi="Arial"/>
                <w:sz w:val="18"/>
                <w:szCs w:val="18"/>
              </w:rPr>
              <w:t>Contaminantes - materiais não minerais  de mesmas características - Até 2%</w:t>
            </w:r>
          </w:p>
          <w:p>
            <w:pPr>
              <w:pStyle w:val="Normal"/>
              <w:widowControl w:val="false"/>
              <w:pBdr/>
              <w:rPr>
                <w:rFonts w:ascii="Arial" w:hAnsi="Arial" w:cs="Arial"/>
                <w:sz w:val="18"/>
                <w:szCs w:val="18"/>
              </w:rPr>
            </w:pPr>
            <w:r>
              <w:rPr>
                <w:rFonts w:cs="Arial" w:ascii="Arial" w:hAnsi="Arial"/>
                <w:sz w:val="18"/>
                <w:szCs w:val="18"/>
              </w:rPr>
              <w:t>Contaminantes - materiais não minerais de características distintas - Até 3%</w:t>
            </w:r>
          </w:p>
          <w:p>
            <w:pPr>
              <w:pStyle w:val="Normal"/>
              <w:widowControl w:val="false"/>
              <w:pBdr/>
              <w:rPr>
                <w:rFonts w:ascii="Arial" w:hAnsi="Arial" w:cs="Arial"/>
                <w:sz w:val="18"/>
                <w:szCs w:val="18"/>
              </w:rPr>
            </w:pPr>
            <w:r>
              <w:rPr>
                <w:rFonts w:cs="Arial" w:ascii="Arial" w:hAnsi="Arial"/>
                <w:sz w:val="18"/>
                <w:szCs w:val="18"/>
              </w:rPr>
              <w:t xml:space="preserve">Contaminantes - Sulfatos - Até 2% </w:t>
            </w:r>
          </w:p>
          <w:p>
            <w:pPr>
              <w:pStyle w:val="Normal"/>
              <w:widowControl w:val="false"/>
              <w:pBdr/>
              <w:rPr>
                <w:rFonts w:ascii="Arial" w:hAnsi="Arial" w:cs="Arial"/>
                <w:sz w:val="18"/>
                <w:szCs w:val="18"/>
              </w:rPr>
            </w:pPr>
            <w:r>
              <w:rPr>
                <w:rFonts w:cs="Arial" w:ascii="Arial" w:hAnsi="Arial"/>
                <w:sz w:val="18"/>
                <w:szCs w:val="18"/>
              </w:rPr>
              <w:t>Índice de Suporte Califórnia(CRB) - Maior ou igual a 20%</w:t>
            </w:r>
          </w:p>
          <w:p>
            <w:pPr>
              <w:pStyle w:val="Normal"/>
              <w:widowControl w:val="false"/>
              <w:pBdr/>
              <w:rPr>
                <w:rFonts w:ascii="Arial" w:hAnsi="Arial" w:cs="Arial"/>
                <w:sz w:val="18"/>
                <w:szCs w:val="18"/>
              </w:rPr>
            </w:pPr>
            <w:r>
              <w:rPr>
                <w:rFonts w:cs="Arial" w:ascii="Arial" w:hAnsi="Arial"/>
                <w:sz w:val="18"/>
                <w:szCs w:val="18"/>
              </w:rPr>
              <w:t>Expansibilidade - Menor ou igual a 1,0%</w:t>
            </w:r>
          </w:p>
        </w:tc>
      </w:tr>
    </w:tbl>
    <w:p>
      <w:pPr>
        <w:pStyle w:val="Normal"/>
        <w:rPr>
          <w:rFonts w:ascii="Arial" w:hAnsi="Arial" w:cs="Arial"/>
          <w:sz w:val="22"/>
          <w:szCs w:val="22"/>
        </w:rPr>
      </w:pPr>
      <w:r>
        <w:rPr>
          <w:rFonts w:cs="Arial" w:ascii="Arial" w:hAnsi="Arial"/>
          <w:sz w:val="22"/>
          <w:szCs w:val="22"/>
        </w:rPr>
      </w:r>
    </w:p>
    <w:p>
      <w:pPr>
        <w:pStyle w:val="Nivel2"/>
        <w:numPr>
          <w:ilvl w:val="0"/>
          <w:numId w:val="0"/>
        </w:numPr>
        <w:spacing w:before="120" w:after="288"/>
        <w:ind w:left="0" w:hanging="0"/>
        <w:jc w:val="center"/>
        <w:rPr>
          <w:b/>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1"/>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1.17.01.3868-0 - AGREGADO RECICLADO - CLASSE A - MISTO(ARM)</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M3</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66,83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200.490,00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AGREGADO RECICLADO - CLASSE A - MISTO(ARM)</w:t>
            </w:r>
          </w:p>
          <w:p>
            <w:pPr>
              <w:pStyle w:val="Normal"/>
              <w:widowControl w:val="false"/>
              <w:pBdr/>
              <w:rPr>
                <w:rFonts w:ascii="Arial" w:hAnsi="Arial" w:cs="Arial"/>
                <w:sz w:val="18"/>
                <w:szCs w:val="18"/>
              </w:rPr>
            </w:pPr>
            <w:r>
              <w:rPr>
                <w:rFonts w:cs="Arial" w:ascii="Arial" w:hAnsi="Arial"/>
                <w:sz w:val="18"/>
                <w:szCs w:val="18"/>
              </w:rPr>
              <w:t>Especificações:</w:t>
            </w:r>
          </w:p>
          <w:p>
            <w:pPr>
              <w:pStyle w:val="Normal"/>
              <w:widowControl w:val="false"/>
              <w:pBdr/>
              <w:rPr>
                <w:rFonts w:ascii="Arial" w:hAnsi="Arial" w:cs="Arial"/>
                <w:sz w:val="18"/>
                <w:szCs w:val="18"/>
              </w:rPr>
            </w:pPr>
            <w:r>
              <w:rPr>
                <w:rFonts w:cs="Arial" w:ascii="Arial" w:hAnsi="Arial"/>
                <w:sz w:val="18"/>
                <w:szCs w:val="18"/>
              </w:rPr>
              <w:t>Coeficiente de uniformidade - Maior que 10</w:t>
            </w:r>
          </w:p>
          <w:p>
            <w:pPr>
              <w:pStyle w:val="Normal"/>
              <w:widowControl w:val="false"/>
              <w:pBdr/>
              <w:rPr>
                <w:rFonts w:ascii="Arial" w:hAnsi="Arial" w:cs="Arial"/>
                <w:sz w:val="18"/>
                <w:szCs w:val="18"/>
              </w:rPr>
            </w:pPr>
            <w:r>
              <w:rPr>
                <w:rFonts w:cs="Arial" w:ascii="Arial" w:hAnsi="Arial"/>
                <w:sz w:val="18"/>
                <w:szCs w:val="18"/>
              </w:rPr>
              <w:t>Índice de Forma - Menor ou igual a 3</w:t>
            </w:r>
          </w:p>
          <w:p>
            <w:pPr>
              <w:pStyle w:val="Normal"/>
              <w:widowControl w:val="false"/>
              <w:pBdr/>
              <w:rPr>
                <w:rFonts w:ascii="Arial" w:hAnsi="Arial" w:cs="Arial"/>
                <w:sz w:val="18"/>
                <w:szCs w:val="18"/>
              </w:rPr>
            </w:pPr>
            <w:r>
              <w:rPr>
                <w:rFonts w:cs="Arial" w:ascii="Arial" w:hAnsi="Arial"/>
                <w:sz w:val="18"/>
                <w:szCs w:val="18"/>
              </w:rPr>
              <w:t>Dimensão Máxima Característica - Menor ou igual a 63mm</w:t>
            </w:r>
          </w:p>
          <w:p>
            <w:pPr>
              <w:pStyle w:val="Normal"/>
              <w:widowControl w:val="false"/>
              <w:pBdr/>
              <w:rPr>
                <w:rFonts w:ascii="Arial" w:hAnsi="Arial" w:cs="Arial"/>
                <w:sz w:val="18"/>
                <w:szCs w:val="18"/>
              </w:rPr>
            </w:pPr>
            <w:r>
              <w:rPr>
                <w:rFonts w:cs="Arial" w:ascii="Arial" w:hAnsi="Arial"/>
                <w:sz w:val="18"/>
                <w:szCs w:val="18"/>
              </w:rPr>
              <w:t>Teor de material passante na peneira de 0,42mm - 10 a 40%</w:t>
            </w:r>
          </w:p>
          <w:p>
            <w:pPr>
              <w:pStyle w:val="Normal"/>
              <w:widowControl w:val="false"/>
              <w:pBdr/>
              <w:rPr>
                <w:rFonts w:ascii="Arial" w:hAnsi="Arial" w:cs="Arial"/>
                <w:sz w:val="18"/>
                <w:szCs w:val="18"/>
              </w:rPr>
            </w:pPr>
            <w:r>
              <w:rPr>
                <w:rFonts w:cs="Arial" w:ascii="Arial" w:hAnsi="Arial"/>
                <w:sz w:val="18"/>
                <w:szCs w:val="18"/>
              </w:rPr>
              <w:t>Contaminantes - materiais não minerais  de mesmas características - Até 2%</w:t>
            </w:r>
          </w:p>
          <w:p>
            <w:pPr>
              <w:pStyle w:val="Normal"/>
              <w:widowControl w:val="false"/>
              <w:pBdr/>
              <w:rPr>
                <w:rFonts w:ascii="Arial" w:hAnsi="Arial" w:cs="Arial"/>
                <w:sz w:val="18"/>
                <w:szCs w:val="18"/>
              </w:rPr>
            </w:pPr>
            <w:r>
              <w:rPr>
                <w:rFonts w:cs="Arial" w:ascii="Arial" w:hAnsi="Arial"/>
                <w:sz w:val="18"/>
                <w:szCs w:val="18"/>
              </w:rPr>
              <w:t>Contaminantes - materiais não minerais de características distintas - Até 3%</w:t>
            </w:r>
          </w:p>
          <w:p>
            <w:pPr>
              <w:pStyle w:val="Normal"/>
              <w:widowControl w:val="false"/>
              <w:pBdr/>
              <w:rPr>
                <w:rFonts w:ascii="Arial" w:hAnsi="Arial" w:cs="Arial"/>
                <w:sz w:val="18"/>
                <w:szCs w:val="18"/>
              </w:rPr>
            </w:pPr>
            <w:r>
              <w:rPr>
                <w:rFonts w:cs="Arial" w:ascii="Arial" w:hAnsi="Arial"/>
                <w:sz w:val="18"/>
                <w:szCs w:val="18"/>
              </w:rPr>
              <w:t xml:space="preserve">Contaminantes - Sulfatos - Até 2% </w:t>
            </w:r>
          </w:p>
          <w:p>
            <w:pPr>
              <w:pStyle w:val="Normal"/>
              <w:widowControl w:val="false"/>
              <w:pBdr/>
              <w:rPr>
                <w:rFonts w:ascii="Arial" w:hAnsi="Arial" w:cs="Arial"/>
                <w:sz w:val="18"/>
                <w:szCs w:val="18"/>
              </w:rPr>
            </w:pPr>
            <w:r>
              <w:rPr>
                <w:rFonts w:cs="Arial" w:ascii="Arial" w:hAnsi="Arial"/>
                <w:sz w:val="18"/>
                <w:szCs w:val="18"/>
              </w:rPr>
              <w:t>Índice de Suporte Califórnia(CRB) - Maior ou igual a 20%</w:t>
            </w:r>
          </w:p>
          <w:p>
            <w:pPr>
              <w:pStyle w:val="Normal"/>
              <w:widowControl w:val="false"/>
              <w:pBdr/>
              <w:rPr>
                <w:rFonts w:ascii="Arial" w:hAnsi="Arial" w:cs="Arial"/>
                <w:sz w:val="18"/>
                <w:szCs w:val="18"/>
              </w:rPr>
            </w:pPr>
            <w:r>
              <w:rPr>
                <w:rFonts w:cs="Arial" w:ascii="Arial" w:hAnsi="Arial"/>
                <w:sz w:val="18"/>
                <w:szCs w:val="18"/>
              </w:rPr>
              <w:t>Expansibilidade - Menor ou igual a 1,0%</w:t>
            </w:r>
          </w:p>
        </w:tc>
      </w:tr>
    </w:tbl>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b/>
          <w:sz w:val="22"/>
          <w:szCs w:val="22"/>
        </w:rPr>
        <w:t>3 – PRAZOS</w:t>
      </w:r>
    </w:p>
    <w:p>
      <w:pPr>
        <w:pStyle w:val="Corpodetexto21"/>
        <w:spacing w:lineRule="auto" w:line="360" w:before="0" w:after="0"/>
        <w:jc w:val="both"/>
        <w:rPr>
          <w:rFonts w:ascii="Arial" w:hAnsi="Arial" w:cs="Arial"/>
          <w:sz w:val="22"/>
          <w:szCs w:val="22"/>
        </w:rPr>
      </w:pPr>
      <w:r>
        <w:rPr>
          <w:rFonts w:cs="Arial" w:ascii="Arial" w:hAnsi="Arial"/>
          <w:sz w:val="22"/>
          <w:szCs w:val="22"/>
        </w:rPr>
        <w:t>3.1 - Os quantitativos totais expressos neste Anexo, são estimados e representa a previsão da Secretaria requisitante, pelo prazo de 12 (doze) meses.</w:t>
      </w:r>
    </w:p>
    <w:p>
      <w:pPr>
        <w:pStyle w:val="Corpodetexto21"/>
        <w:spacing w:lineRule="auto" w:line="360" w:before="0" w:after="0"/>
        <w:ind w:firstLine="709"/>
        <w:jc w:val="both"/>
        <w:rPr>
          <w:rFonts w:ascii="Arial" w:hAnsi="Arial" w:cs="Arial"/>
          <w:sz w:val="22"/>
          <w:szCs w:val="22"/>
        </w:rPr>
      </w:pPr>
      <w:r>
        <w:rPr>
          <w:rFonts w:cs="Arial" w:ascii="Arial" w:hAnsi="Arial"/>
          <w:sz w:val="22"/>
          <w:szCs w:val="22"/>
        </w:rPr>
        <w:t>3.1.1 – Expectativa de consumo mensal de 1.000m³.</w:t>
      </w:r>
    </w:p>
    <w:p>
      <w:pPr>
        <w:pStyle w:val="Corpodetexto32"/>
        <w:spacing w:lineRule="auto" w:line="360"/>
        <w:rPr>
          <w:rFonts w:ascii="Arial" w:hAnsi="Arial" w:cs="Arial"/>
          <w:sz w:val="22"/>
          <w:szCs w:val="22"/>
        </w:rPr>
      </w:pPr>
      <w:r>
        <w:rPr>
          <w:rFonts w:cs="Arial" w:ascii="Arial" w:hAnsi="Arial"/>
          <w:sz w:val="22"/>
          <w:szCs w:val="22"/>
        </w:rPr>
        <w:t>3.2 – A entrega dos itens efetivamente contratados deverá ser efetuada em até 48 (quarenta e oito) horas após a expedição da Autorização de Fornecimento, contando-se o prazo a partir da comunicação formal ao licitante vencedor que será efetuada via e-mail ou outro meio hábil.</w:t>
      </w:r>
    </w:p>
    <w:p>
      <w:pPr>
        <w:pStyle w:val="Normal"/>
        <w:spacing w:lineRule="auto" w:line="360"/>
        <w:rPr>
          <w:rFonts w:ascii="Arial" w:hAnsi="Arial" w:cs="Arial"/>
          <w:b/>
          <w:b/>
          <w:bCs/>
          <w:sz w:val="22"/>
          <w:szCs w:val="22"/>
          <w:u w:val="single"/>
        </w:rPr>
      </w:pPr>
      <w:r>
        <w:rPr>
          <w:rFonts w:cs="Arial" w:ascii="Arial" w:hAnsi="Arial"/>
          <w:b/>
          <w:bCs/>
          <w:sz w:val="22"/>
          <w:szCs w:val="22"/>
          <w:u w:val="single"/>
        </w:rPr>
      </w:r>
    </w:p>
    <w:p>
      <w:pPr>
        <w:pStyle w:val="Normal"/>
        <w:spacing w:lineRule="auto" w:line="360"/>
        <w:rPr>
          <w:rFonts w:ascii="Arial" w:hAnsi="Arial" w:cs="Arial"/>
          <w:sz w:val="22"/>
          <w:szCs w:val="22"/>
        </w:rPr>
      </w:pPr>
      <w:r>
        <w:rPr>
          <w:rFonts w:cs="Arial" w:ascii="Arial" w:hAnsi="Arial"/>
          <w:b/>
          <w:sz w:val="22"/>
          <w:szCs w:val="22"/>
        </w:rPr>
        <w:t>4 – CONDIÇÕES DE ENTREGA E RECEBIMENTO</w:t>
      </w:r>
    </w:p>
    <w:p>
      <w:pPr>
        <w:pStyle w:val="Normal"/>
        <w:spacing w:lineRule="auto" w:line="360"/>
        <w:jc w:val="both"/>
        <w:rPr>
          <w:rFonts w:ascii="Arial" w:hAnsi="Arial" w:cs="Arial"/>
          <w:sz w:val="22"/>
          <w:szCs w:val="22"/>
        </w:rPr>
      </w:pPr>
      <w:r>
        <w:rPr>
          <w:rFonts w:cs="Arial" w:ascii="Arial" w:hAnsi="Arial"/>
          <w:sz w:val="22"/>
          <w:szCs w:val="22"/>
        </w:rPr>
        <w:t xml:space="preserve">4.1 – </w:t>
      </w:r>
      <w:r>
        <w:rPr>
          <w:rStyle w:val="Nfase"/>
          <w:rFonts w:cs="Arial" w:ascii="Arial" w:hAnsi="Arial"/>
          <w:i w:val="false"/>
          <w:sz w:val="22"/>
          <w:szCs w:val="22"/>
        </w:rPr>
        <w:t>O material deverá ser entregue no posto/obra, quando solicitado pela Secretaria de Obras e Serviços Públicos. As entregas serão realizadas conforme cronograma acordado, podendo variar de acordo com o andamento das obras.</w:t>
      </w:r>
    </w:p>
    <w:p>
      <w:pPr>
        <w:pStyle w:val="Western"/>
        <w:spacing w:lineRule="auto" w:line="360" w:before="0" w:after="0"/>
        <w:jc w:val="both"/>
        <w:rPr>
          <w:rFonts w:ascii="Arial" w:hAnsi="Arial" w:cs="Arial"/>
          <w:sz w:val="22"/>
          <w:szCs w:val="22"/>
        </w:rPr>
      </w:pPr>
      <w:r>
        <w:rPr>
          <w:rFonts w:cs="Arial" w:ascii="Arial" w:hAnsi="Arial"/>
          <w:sz w:val="22"/>
          <w:szCs w:val="22"/>
        </w:rPr>
        <w:t>4.2 - A Contratante poderá rejeitar, no todo ou em parte, o objeto contratado em desacordo com as especificações e condições deste Termo de Referência.</w:t>
      </w:r>
    </w:p>
    <w:p>
      <w:pPr>
        <w:pStyle w:val="Western"/>
        <w:spacing w:lineRule="auto" w:line="360" w:before="0" w:after="0"/>
        <w:jc w:val="both"/>
        <w:rPr>
          <w:rFonts w:ascii="Arial" w:hAnsi="Arial" w:cs="Arial"/>
          <w:sz w:val="22"/>
          <w:szCs w:val="22"/>
        </w:rPr>
      </w:pPr>
      <w:r>
        <w:rPr>
          <w:rFonts w:cs="Arial" w:ascii="Arial" w:hAnsi="Arial"/>
          <w:sz w:val="22"/>
          <w:szCs w:val="22"/>
        </w:rPr>
        <w:t>4.3 -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Western"/>
        <w:spacing w:lineRule="auto" w:line="360" w:before="0" w:after="0"/>
        <w:jc w:val="both"/>
        <w:rPr>
          <w:rFonts w:ascii="Arial" w:hAnsi="Arial" w:cs="Arial"/>
          <w:sz w:val="22"/>
          <w:szCs w:val="22"/>
        </w:rPr>
      </w:pPr>
      <w:r>
        <w:rPr>
          <w:rFonts w:cs="Arial" w:ascii="Arial" w:hAnsi="Arial"/>
          <w:sz w:val="22"/>
          <w:szCs w:val="22"/>
        </w:rPr>
        <w:t>4.4 – O fornecimento será feito de acordo com a demanda, mediante solicitação formal da Secretaria de Obras, com antecedência mínima de 48 horas, contando-se o prazo a partir da comunicação formal ao licitante que será feita via e-mail ou outro meio hábil.</w:t>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r>
    </w:p>
    <w:p>
      <w:pPr>
        <w:pStyle w:val="Normal"/>
        <w:tabs>
          <w:tab w:val="clear" w:pos="709"/>
          <w:tab w:val="left" w:pos="3656" w:leader="none"/>
        </w:tabs>
        <w:spacing w:lineRule="auto" w:line="360"/>
        <w:rPr>
          <w:rFonts w:ascii="Arial" w:hAnsi="Arial" w:cs="Arial"/>
          <w:sz w:val="22"/>
          <w:szCs w:val="22"/>
        </w:rPr>
      </w:pPr>
      <w:r>
        <w:rPr>
          <w:rFonts w:cs="Arial" w:ascii="Arial" w:hAnsi="Arial"/>
          <w:b/>
          <w:sz w:val="22"/>
          <w:szCs w:val="22"/>
        </w:rPr>
        <w:t xml:space="preserve">5 – CONDIÇÕES DE PAGAMENTO </w:t>
      </w:r>
    </w:p>
    <w:p>
      <w:pPr>
        <w:pStyle w:val="NormalWeb"/>
        <w:spacing w:lineRule="auto" w:line="360" w:before="0" w:after="0"/>
        <w:jc w:val="both"/>
        <w:rPr>
          <w:rFonts w:ascii="Arial" w:hAnsi="Arial" w:cs="Arial"/>
          <w:sz w:val="22"/>
          <w:szCs w:val="22"/>
        </w:rPr>
      </w:pPr>
      <w:r>
        <w:rPr>
          <w:rFonts w:cs="Arial" w:ascii="Arial" w:hAnsi="Arial"/>
          <w:sz w:val="22"/>
          <w:szCs w:val="22"/>
        </w:rPr>
        <w:t>5.1 - O pagamento será efetuado em 10 (dez) dias após a manifestação favorável do Setor fiscalizante na Nota Fiscal Eletrônica (NFe) apresentada, ficando assegurado o prazo de 05 (cinco) dias para a emissão de tal manifestação.</w:t>
      </w:r>
    </w:p>
    <w:p>
      <w:pPr>
        <w:pStyle w:val="NormalWeb"/>
        <w:spacing w:lineRule="auto" w:line="360" w:before="0" w:after="0"/>
        <w:jc w:val="both"/>
        <w:rPr>
          <w:rFonts w:ascii="Arial" w:hAnsi="Arial" w:cs="Arial"/>
          <w:sz w:val="22"/>
          <w:szCs w:val="22"/>
        </w:rPr>
      </w:pPr>
      <w:r>
        <w:rPr>
          <w:rFonts w:cs="Arial" w:ascii="Arial" w:hAnsi="Arial"/>
          <w:sz w:val="22"/>
          <w:szCs w:val="22"/>
        </w:rPr>
        <w:t>5.1.1- Para a aquisição de bens a NFe deverá ser emitida em acordo com o estabelecido no protocolo ICMS nº 1 de 03/02/2011.</w:t>
      </w:r>
    </w:p>
    <w:p>
      <w:pPr>
        <w:pStyle w:val="NormalWeb"/>
        <w:spacing w:lineRule="auto" w:line="360" w:before="0" w:after="0"/>
        <w:jc w:val="both"/>
        <w:rPr>
          <w:rFonts w:ascii="Arial" w:hAnsi="Arial" w:cs="Arial"/>
          <w:sz w:val="22"/>
          <w:szCs w:val="22"/>
        </w:rPr>
      </w:pPr>
      <w:r>
        <w:rPr>
          <w:rFonts w:cs="Arial" w:ascii="Arial" w:hAnsi="Arial"/>
          <w:sz w:val="22"/>
          <w:szCs w:val="22"/>
        </w:rPr>
        <w:t>5.1.2 - Os pagamentos serão realizados mediante procedimento bancário, em conta do fornecedor contratado.</w:t>
      </w:r>
    </w:p>
    <w:p>
      <w:pPr>
        <w:pStyle w:val="NormalWeb"/>
        <w:spacing w:lineRule="auto" w:line="360" w:before="0" w:after="0"/>
        <w:jc w:val="both"/>
        <w:rPr>
          <w:rFonts w:ascii="Arial" w:hAnsi="Arial" w:cs="Arial"/>
          <w:sz w:val="22"/>
          <w:szCs w:val="22"/>
        </w:rPr>
      </w:pPr>
      <w:r>
        <w:rPr>
          <w:rFonts w:cs="Arial" w:ascii="Arial" w:hAnsi="Arial"/>
          <w:sz w:val="22"/>
          <w:szCs w:val="22"/>
        </w:rPr>
        <w:t xml:space="preserve">5.2 -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ormalWeb"/>
        <w:spacing w:lineRule="auto" w:line="360" w:before="0" w:after="0"/>
        <w:jc w:val="both"/>
        <w:rPr>
          <w:rFonts w:ascii="Arial" w:hAnsi="Arial" w:cs="Arial"/>
          <w:sz w:val="22"/>
          <w:szCs w:val="22"/>
        </w:rPr>
      </w:pPr>
      <w:r>
        <w:rPr>
          <w:rFonts w:cs="Arial" w:ascii="Arial" w:hAnsi="Arial"/>
          <w:sz w:val="22"/>
          <w:szCs w:val="22"/>
        </w:rPr>
        <w:t xml:space="preserve">5.3 - Quaisquer pagamentos não isentarão a Contratada das responsabilidades contratuais. </w:t>
      </w:r>
    </w:p>
    <w:p>
      <w:pPr>
        <w:pStyle w:val="NormalWeb"/>
        <w:spacing w:lineRule="auto" w:line="360" w:before="0" w:after="0"/>
        <w:jc w:val="both"/>
        <w:rPr>
          <w:rFonts w:ascii="Arial" w:hAnsi="Arial" w:cs="Arial"/>
          <w:sz w:val="22"/>
          <w:szCs w:val="22"/>
        </w:rPr>
      </w:pPr>
      <w:r>
        <w:rPr>
          <w:rFonts w:cs="Arial" w:ascii="Arial" w:hAnsi="Arial"/>
          <w:sz w:val="22"/>
          <w:szCs w:val="22"/>
        </w:rPr>
        <w:t xml:space="preserve">5.4 - 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5.2. </w:t>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r>
    </w:p>
    <w:p>
      <w:pPr>
        <w:pStyle w:val="Nvel2Red"/>
        <w:spacing w:lineRule="auto" w:line="360" w:before="0" w:after="0"/>
        <w:ind w:left="0" w:hanging="0"/>
        <w:rPr>
          <w:b/>
          <w:b/>
          <w:bCs/>
          <w:i w:val="false"/>
          <w:i w:val="false"/>
          <w:iCs w:val="false"/>
          <w:color w:val="auto"/>
          <w:sz w:val="22"/>
          <w:szCs w:val="22"/>
        </w:rPr>
      </w:pPr>
      <w:r>
        <w:rPr>
          <w:b/>
          <w:bCs/>
          <w:i w:val="false"/>
          <w:iCs w:val="false"/>
          <w:color w:val="auto"/>
          <w:sz w:val="22"/>
          <w:szCs w:val="22"/>
        </w:rPr>
        <w:t>6. REQUISITOS DA CONTRATAÇÃO</w:t>
      </w:r>
    </w:p>
    <w:p>
      <w:pPr>
        <w:pStyle w:val="Nvel2Red"/>
        <w:spacing w:lineRule="auto" w:line="360" w:before="0" w:after="0"/>
        <w:ind w:left="0" w:hanging="0"/>
        <w:rPr>
          <w:i w:val="false"/>
          <w:i w:val="false"/>
          <w:iCs w:val="false"/>
          <w:color w:val="000000"/>
          <w:sz w:val="22"/>
          <w:szCs w:val="22"/>
        </w:rPr>
      </w:pPr>
      <w:r>
        <w:rPr>
          <w:i w:val="false"/>
          <w:iCs w:val="false"/>
          <w:color w:val="000000"/>
          <w:sz w:val="22"/>
          <w:szCs w:val="22"/>
        </w:rPr>
        <w:t>6.1. O objeto deverá ser entregue após a emissão da Nota de Empenho e contato do gestor do contrato, que informará a quantidade parcial relativa ao empenho a ser recebida e o local de entrega. A entrega e descarga será às expensas da detentora, inclusive com o pessoal para descarregamento do material.</w:t>
      </w:r>
    </w:p>
    <w:p>
      <w:pPr>
        <w:pStyle w:val="Nvel2Red"/>
        <w:spacing w:lineRule="auto" w:line="360" w:before="0" w:after="0"/>
        <w:ind w:left="0" w:hanging="0"/>
        <w:rPr>
          <w:i w:val="false"/>
          <w:i w:val="false"/>
          <w:iCs w:val="false"/>
          <w:color w:val="000000"/>
          <w:sz w:val="22"/>
          <w:szCs w:val="22"/>
        </w:rPr>
      </w:pPr>
      <w:r>
        <w:rPr>
          <w:i w:val="false"/>
          <w:iCs w:val="false"/>
          <w:color w:val="000000"/>
          <w:sz w:val="22"/>
          <w:szCs w:val="22"/>
        </w:rPr>
        <w:t>6.2. A licitante será responsável pelos encargos sociais, taxas, encargos ou tributos, alvarás e qualquer outra despesa que vier a incidir sobre o fornecimento do item, bem como qualquer responsabilidade de vínculo empregatício e obrigações previdenciárias, referente ao pessoal utilizado para esta finalidade, no caso de reclamações trabalhistas, ações de responsabilidade civil e penal decorrentes dos serviços de qualquer tipo de demanda, devendo atender o disposto na legislação trabalhista e previdenciária.</w:t>
      </w:r>
    </w:p>
    <w:p>
      <w:pPr>
        <w:pStyle w:val="Nvel2Red"/>
        <w:spacing w:lineRule="auto" w:line="360" w:before="0" w:after="0"/>
        <w:ind w:left="0" w:hanging="0"/>
        <w:rPr>
          <w:i w:val="false"/>
          <w:i w:val="false"/>
          <w:iCs w:val="false"/>
          <w:color w:val="000000"/>
          <w:sz w:val="22"/>
          <w:szCs w:val="22"/>
        </w:rPr>
      </w:pPr>
      <w:r>
        <w:rPr>
          <w:i w:val="false"/>
          <w:iCs w:val="false"/>
          <w:color w:val="000000"/>
          <w:sz w:val="22"/>
          <w:szCs w:val="22"/>
        </w:rPr>
        <w:t>6.3. A licitante deverá assumir o compromisso formal de entregar o objeto do presente certame, conforme as especificações detalhadas no Edital e seus anexos, em estrita observância aos prazos, locais, quantidades e demais condições estabelecidas no instrumento convocatório e no contrato a ser firmado</w:t>
      </w:r>
    </w:p>
    <w:p>
      <w:pPr>
        <w:pStyle w:val="Nvel2Red"/>
        <w:spacing w:lineRule="auto" w:line="360" w:before="0" w:after="0"/>
        <w:ind w:left="0" w:hanging="0"/>
        <w:rPr>
          <w:i w:val="false"/>
          <w:i w:val="false"/>
          <w:iCs w:val="false"/>
          <w:sz w:val="22"/>
          <w:szCs w:val="22"/>
        </w:rPr>
      </w:pPr>
      <w:r>
        <w:rPr>
          <w:i w:val="false"/>
          <w:iCs w:val="false"/>
          <w:color w:val="000000"/>
          <w:sz w:val="22"/>
          <w:szCs w:val="22"/>
        </w:rPr>
        <w:t>6.4. Garante que o material fornecido seja de qualidade e atenda todas as especificações técnicas requeridas, estando em conformidade com as normas da ABNT e demais regulamentos pertinentes.</w:t>
      </w:r>
    </w:p>
    <w:p>
      <w:pPr>
        <w:pStyle w:val="Nvel1SemNumPreto"/>
        <w:spacing w:lineRule="auto" w:line="360" w:before="0" w:after="0"/>
        <w:ind w:left="0" w:hanging="0"/>
        <w:rPr>
          <w:rFonts w:eastAsia="Arial"/>
          <w:b w:val="false"/>
          <w:b w:val="false"/>
          <w:bCs w:val="false"/>
          <w:sz w:val="22"/>
          <w:szCs w:val="22"/>
        </w:rPr>
      </w:pPr>
      <w:r>
        <w:rPr>
          <w:b w:val="false"/>
          <w:bCs w:val="false"/>
          <w:sz w:val="22"/>
          <w:szCs w:val="22"/>
        </w:rPr>
        <w:t>6.5. Devem ser prestados todos os esclarecimentos que forem solicitados pelo MUNICÍPIO DE ITATIBA-SP, e suas reclamações devem ser atendidas prontamente, mantendo a disposição contato telefônico atualizado do preposto da empresa, em horário comercial.</w:t>
      </w:r>
    </w:p>
    <w:p>
      <w:pPr>
        <w:pStyle w:val="Nvel1SemNumPreto"/>
        <w:spacing w:lineRule="auto" w:line="360" w:before="0" w:after="0"/>
        <w:ind w:left="0" w:hanging="0"/>
        <w:rPr>
          <w:b w:val="false"/>
          <w:b w:val="false"/>
          <w:bCs w:val="false"/>
          <w:sz w:val="22"/>
          <w:szCs w:val="22"/>
        </w:rPr>
      </w:pPr>
      <w:r>
        <w:rPr>
          <w:rFonts w:eastAsia="Arial"/>
          <w:b w:val="false"/>
          <w:bCs w:val="false"/>
          <w:sz w:val="22"/>
          <w:szCs w:val="22"/>
        </w:rPr>
        <w:t xml:space="preserve">6.6. </w:t>
      </w:r>
      <w:r>
        <w:rPr>
          <w:b w:val="false"/>
          <w:bCs w:val="false"/>
          <w:sz w:val="22"/>
          <w:szCs w:val="22"/>
        </w:rPr>
        <w:t xml:space="preserve">Durante a vigência do contrato, deverão ser mantidas as obrigações assumidas, as condições básicas de habilitação e qualificação exigidas pelo presente certame. </w:t>
      </w:r>
    </w:p>
    <w:p>
      <w:pPr>
        <w:pStyle w:val="Nvel1SemNumPreto"/>
        <w:spacing w:lineRule="auto" w:line="360" w:before="0" w:after="0"/>
        <w:ind w:left="0" w:hanging="0"/>
        <w:rPr>
          <w:b w:val="false"/>
          <w:b w:val="false"/>
          <w:bCs w:val="false"/>
          <w:sz w:val="22"/>
          <w:szCs w:val="22"/>
        </w:rPr>
      </w:pPr>
      <w:r>
        <w:rPr>
          <w:b w:val="false"/>
          <w:bCs w:val="false"/>
          <w:sz w:val="22"/>
          <w:szCs w:val="22"/>
        </w:rPr>
      </w:r>
    </w:p>
    <w:p>
      <w:pPr>
        <w:pStyle w:val="Nvel1SemNumPreto"/>
        <w:spacing w:lineRule="auto" w:line="360" w:before="0" w:after="0"/>
        <w:ind w:left="0" w:hanging="0"/>
        <w:rPr>
          <w:i/>
          <w:i/>
          <w:iCs/>
          <w:sz w:val="22"/>
          <w:szCs w:val="22"/>
        </w:rPr>
      </w:pPr>
      <w:r>
        <w:rPr>
          <w:sz w:val="22"/>
          <w:szCs w:val="22"/>
        </w:rPr>
        <w:t>7 - SUBCONTRATAÇÃO</w:t>
      </w:r>
    </w:p>
    <w:p>
      <w:pPr>
        <w:pStyle w:val="Nivel2"/>
        <w:numPr>
          <w:ilvl w:val="0"/>
          <w:numId w:val="0"/>
        </w:numPr>
        <w:spacing w:lineRule="auto" w:line="360" w:before="0" w:after="0"/>
        <w:ind w:left="0" w:hanging="0"/>
        <w:rPr>
          <w:sz w:val="22"/>
          <w:szCs w:val="22"/>
        </w:rPr>
      </w:pPr>
      <w:r>
        <w:rPr>
          <w:b/>
          <w:bCs/>
          <w:i/>
          <w:iCs/>
          <w:sz w:val="22"/>
          <w:szCs w:val="22"/>
        </w:rPr>
        <w:t xml:space="preserve">7.1. </w:t>
      </w:r>
      <w:r>
        <w:rPr>
          <w:sz w:val="22"/>
          <w:szCs w:val="22"/>
        </w:rPr>
        <w:t>Não é admitida a subcontratação do objeto contratual.</w:t>
      </w:r>
    </w:p>
    <w:p>
      <w:pPr>
        <w:pStyle w:val="Nvel1SemNumPreto"/>
        <w:spacing w:lineRule="auto" w:line="360" w:before="0" w:after="0"/>
        <w:ind w:left="0" w:hanging="0"/>
        <w:rPr>
          <w:sz w:val="22"/>
          <w:szCs w:val="22"/>
        </w:rPr>
      </w:pPr>
      <w:r>
        <w:rPr>
          <w:sz w:val="22"/>
          <w:szCs w:val="22"/>
        </w:rPr>
      </w:r>
    </w:p>
    <w:p>
      <w:pPr>
        <w:pStyle w:val="Nvel1SemNumPreto"/>
        <w:spacing w:lineRule="auto" w:line="360" w:before="0" w:after="0"/>
        <w:ind w:left="0" w:hanging="0"/>
        <w:rPr>
          <w:i/>
          <w:i/>
          <w:iCs/>
          <w:color w:val="auto"/>
          <w:sz w:val="22"/>
          <w:szCs w:val="22"/>
        </w:rPr>
      </w:pPr>
      <w:r>
        <w:rPr>
          <w:sz w:val="22"/>
          <w:szCs w:val="22"/>
        </w:rPr>
        <w:t>8. GARANTIA DA CONTRATAÇÃO</w:t>
      </w:r>
    </w:p>
    <w:p>
      <w:pPr>
        <w:pStyle w:val="Nvel2Red"/>
        <w:spacing w:lineRule="auto" w:line="360" w:before="0" w:after="0"/>
        <w:ind w:left="0" w:hanging="0"/>
        <w:rPr>
          <w:rStyle w:val="LinkdaInternet"/>
          <w:i w:val="false"/>
          <w:i w:val="false"/>
          <w:iCs w:val="false"/>
          <w:color w:val="auto"/>
          <w:sz w:val="22"/>
          <w:szCs w:val="22"/>
        </w:rPr>
      </w:pPr>
      <w:r>
        <w:rPr>
          <w:b/>
          <w:bCs/>
          <w:i w:val="false"/>
          <w:iCs w:val="false"/>
          <w:color w:val="auto"/>
          <w:sz w:val="22"/>
          <w:szCs w:val="22"/>
        </w:rPr>
        <w:t xml:space="preserve">8.1 - </w:t>
      </w:r>
      <w:r>
        <w:rPr>
          <w:i w:val="false"/>
          <w:iCs w:val="false"/>
          <w:color w:val="auto"/>
          <w:sz w:val="22"/>
          <w:szCs w:val="22"/>
        </w:rPr>
        <w:t xml:space="preserve">Não haverá exigência da garantia da contratação dos </w:t>
      </w:r>
      <w:r>
        <w:fldChar w:fldCharType="begin"/>
      </w:r>
      <w:r>
        <w:rPr>
          <w:rStyle w:val="LinkdaInternet"/>
          <w:sz w:val="22"/>
          <w:i w:val="false"/>
          <w:szCs w:val="22"/>
          <w:iCs w:val="false"/>
          <w:color w:val="auto"/>
        </w:rPr>
        <w:instrText xml:space="preserve"> HYPERLINK "http://www.planalto.gov.br/ccivil_03/_ato2019-2022/2021/lei/L14133.htm" \l "art96"</w:instrText>
      </w:r>
      <w:r>
        <w:rPr>
          <w:rStyle w:val="LinkdaInternet"/>
          <w:sz w:val="22"/>
          <w:i w:val="false"/>
          <w:szCs w:val="22"/>
          <w:iCs w:val="false"/>
          <w:color w:val="auto"/>
        </w:rPr>
        <w:fldChar w:fldCharType="separate"/>
      </w:r>
      <w:r>
        <w:rPr>
          <w:rStyle w:val="LinkdaInternet"/>
          <w:i w:val="false"/>
          <w:iCs w:val="false"/>
          <w:color w:val="auto"/>
          <w:sz w:val="22"/>
          <w:szCs w:val="22"/>
        </w:rPr>
        <w:t>artigos 96 e seguintes da Lei nº 14.133, de 2021</w:t>
      </w:r>
      <w:r>
        <w:rPr>
          <w:rStyle w:val="LinkdaInternet"/>
          <w:sz w:val="22"/>
          <w:i w:val="false"/>
          <w:szCs w:val="22"/>
          <w:iCs w:val="false"/>
          <w:color w:val="auto"/>
        </w:rPr>
        <w:fldChar w:fldCharType="end"/>
      </w:r>
      <w:r>
        <w:rPr>
          <w:rStyle w:val="LinkdaInternet"/>
          <w:i w:val="false"/>
          <w:iCs w:val="false"/>
          <w:color w:val="auto"/>
          <w:sz w:val="22"/>
          <w:szCs w:val="22"/>
        </w:rPr>
        <w:t>.</w:t>
      </w:r>
    </w:p>
    <w:p>
      <w:pPr>
        <w:pStyle w:val="Nvel2Red"/>
        <w:spacing w:lineRule="auto" w:line="360" w:before="0" w:after="0"/>
        <w:ind w:left="0" w:hanging="0"/>
        <w:rPr>
          <w:rStyle w:val="LinkdaInternet"/>
          <w:b/>
          <w:b/>
          <w:bCs/>
          <w:i w:val="false"/>
          <w:i w:val="false"/>
          <w:iCs w:val="false"/>
          <w:color w:val="auto"/>
          <w:sz w:val="22"/>
          <w:szCs w:val="22"/>
        </w:rPr>
      </w:pPr>
      <w:r>
        <w:rPr>
          <w:b/>
          <w:bCs/>
          <w:i w:val="false"/>
          <w:iCs w:val="false"/>
          <w:color w:val="auto"/>
          <w:sz w:val="22"/>
          <w:szCs w:val="22"/>
        </w:rPr>
      </w:r>
    </w:p>
    <w:p>
      <w:pPr>
        <w:pStyle w:val="Nvel2Red"/>
        <w:spacing w:lineRule="auto" w:line="360" w:before="0" w:after="0"/>
        <w:ind w:left="0" w:hanging="0"/>
        <w:rPr>
          <w:b/>
          <w:b/>
          <w:bCs/>
          <w:i w:val="false"/>
          <w:i w:val="false"/>
          <w:iCs w:val="false"/>
          <w:color w:val="auto"/>
          <w:sz w:val="22"/>
          <w:szCs w:val="22"/>
        </w:rPr>
      </w:pPr>
      <w:r>
        <w:rPr>
          <w:b/>
          <w:bCs/>
          <w:i w:val="false"/>
          <w:iCs w:val="false"/>
          <w:color w:val="auto"/>
          <w:sz w:val="22"/>
          <w:szCs w:val="22"/>
        </w:rPr>
        <w:t>9 - MODELO DE EXECUÇÃO DO OBJETO</w:t>
      </w:r>
    </w:p>
    <w:p>
      <w:pPr>
        <w:pStyle w:val="Nvel2Red"/>
        <w:spacing w:lineRule="auto" w:line="360" w:before="0" w:after="0"/>
        <w:ind w:left="0" w:hanging="0"/>
        <w:rPr>
          <w:b/>
          <w:b/>
          <w:bCs/>
          <w:i w:val="false"/>
          <w:i w:val="false"/>
          <w:iCs w:val="false"/>
          <w:color w:val="auto"/>
          <w:sz w:val="22"/>
          <w:szCs w:val="22"/>
        </w:rPr>
      </w:pPr>
      <w:r>
        <w:rPr>
          <w:b/>
          <w:bCs/>
          <w:i w:val="false"/>
          <w:iCs w:val="false"/>
          <w:color w:val="auto"/>
          <w:sz w:val="22"/>
          <w:szCs w:val="22"/>
        </w:rPr>
        <w:t>9.1 - DESCRIÇÃO DO RECEBIMENTO</w:t>
      </w:r>
    </w:p>
    <w:p>
      <w:pPr>
        <w:pStyle w:val="Nvel2Red"/>
        <w:spacing w:lineRule="auto" w:line="360" w:before="0" w:after="0"/>
        <w:ind w:left="0" w:hanging="0"/>
        <w:rPr>
          <w:rFonts w:eastAsia="Arial"/>
          <w:b/>
          <w:b/>
          <w:bCs/>
          <w:i w:val="false"/>
          <w:i w:val="false"/>
          <w:iCs w:val="false"/>
          <w:color w:val="000000"/>
          <w:sz w:val="22"/>
          <w:szCs w:val="22"/>
        </w:rPr>
      </w:pPr>
      <w:r>
        <w:rPr>
          <w:i w:val="false"/>
          <w:iCs w:val="false"/>
          <w:color w:val="000000"/>
          <w:sz w:val="22"/>
          <w:szCs w:val="22"/>
        </w:rPr>
        <w:t>9.1.1. Após a emissão da Nota de Empenho que normalmente será por estimativa para determinado período, ou seja, os materiais empenhadas não serão necessariamente solicitados de uma só vez, e sim de forma fracionada, a secretaria requisitante, representada pelo gestor do contrato ou fiscal designado contatará a detentora do item através de e-mail, indicando o número do empenho, endereços de entrega e quantitativos.</w:t>
      </w:r>
    </w:p>
    <w:p>
      <w:pPr>
        <w:pStyle w:val="Nvel1SemNum"/>
        <w:spacing w:lineRule="auto" w:line="360" w:before="0" w:after="0"/>
        <w:ind w:left="0" w:hanging="0"/>
        <w:rPr>
          <w:color w:val="000000"/>
          <w:sz w:val="22"/>
          <w:szCs w:val="22"/>
        </w:rPr>
      </w:pPr>
      <w:r>
        <w:rPr>
          <w:rFonts w:eastAsia="Arial"/>
          <w:b w:val="false"/>
          <w:bCs w:val="false"/>
          <w:color w:val="000000"/>
          <w:sz w:val="22"/>
          <w:szCs w:val="22"/>
        </w:rPr>
        <w:t xml:space="preserve">9.1.2. </w:t>
      </w:r>
      <w:r>
        <w:rPr>
          <w:b w:val="false"/>
          <w:bCs w:val="false"/>
          <w:color w:val="000000"/>
          <w:sz w:val="22"/>
          <w:szCs w:val="22"/>
        </w:rPr>
        <w:t>É de responsabilidade do fornecedor controlar as entregas realizadas com o objetivo de não ultrapassar ao solicitado bem como não desatender ao solicitado;</w:t>
      </w:r>
    </w:p>
    <w:p>
      <w:pPr>
        <w:pStyle w:val="Nvel1SemNum"/>
        <w:spacing w:lineRule="auto" w:line="360" w:before="0" w:after="0"/>
        <w:ind w:left="0" w:hanging="0"/>
        <w:rPr>
          <w:b w:val="false"/>
          <w:b w:val="false"/>
          <w:bCs w:val="false"/>
          <w:color w:val="000000"/>
          <w:sz w:val="22"/>
          <w:szCs w:val="22"/>
        </w:rPr>
      </w:pPr>
      <w:r>
        <w:rPr>
          <w:b w:val="false"/>
          <w:bCs w:val="false"/>
          <w:color w:val="000000"/>
          <w:sz w:val="22"/>
          <w:szCs w:val="22"/>
        </w:rPr>
        <w:t>9.2</w:t>
      </w:r>
      <w:r>
        <w:rPr>
          <w:color w:val="000000"/>
          <w:sz w:val="22"/>
          <w:szCs w:val="22"/>
        </w:rPr>
        <w:t xml:space="preserve">. </w:t>
      </w:r>
      <w:r>
        <w:rPr>
          <w:b w:val="false"/>
          <w:bCs w:val="false"/>
          <w:color w:val="000000"/>
          <w:sz w:val="22"/>
          <w:szCs w:val="22"/>
        </w:rPr>
        <w:t>Os materiais poderão ser rejeitados, no todo ou em parte, quando em desacordo com as especificações constantes neste Termo de Referência e na proposta, devendo ser substituídos no prazo de 10 (dez) dia, a contar da notificação da contratada, às suas custas, sem prejuízo da aplicação das penalidades;</w:t>
      </w:r>
    </w:p>
    <w:p>
      <w:pPr>
        <w:pStyle w:val="Nivel01"/>
        <w:ind w:left="0" w:hanging="0"/>
        <w:rPr>
          <w:i/>
          <w:i/>
          <w:iCs/>
          <w:sz w:val="22"/>
          <w:szCs w:val="22"/>
        </w:rPr>
      </w:pPr>
      <w:r>
        <w:rPr>
          <w:sz w:val="22"/>
          <w:szCs w:val="22"/>
        </w:rPr>
        <w:t>10. MODELO DE GESTÃO DO CONTRATO</w:t>
      </w:r>
    </w:p>
    <w:p>
      <w:pPr>
        <w:pStyle w:val="Nivel2"/>
        <w:numPr>
          <w:ilvl w:val="0"/>
          <w:numId w:val="0"/>
        </w:numPr>
        <w:ind w:left="0" w:hanging="0"/>
        <w:rPr>
          <w:sz w:val="22"/>
          <w:szCs w:val="22"/>
        </w:rPr>
      </w:pPr>
      <w:r>
        <w:rPr>
          <w:sz w:val="22"/>
          <w:szCs w:val="22"/>
        </w:rPr>
        <w:t>10.1. O contrato deverá ser executado fielmente pelas partes, de acordo com as cláusulas avençadas e as normas da Lei nº 14.133, de 2021, e cada parte responderá pelas consequências de sua inexecução total ou parcial.</w:t>
      </w:r>
    </w:p>
    <w:p>
      <w:pPr>
        <w:pStyle w:val="Nivel2"/>
        <w:numPr>
          <w:ilvl w:val="0"/>
          <w:numId w:val="0"/>
        </w:numPr>
        <w:ind w:left="0" w:hanging="0"/>
        <w:rPr>
          <w:sz w:val="22"/>
          <w:szCs w:val="22"/>
        </w:rPr>
      </w:pPr>
      <w:r>
        <w:rPr>
          <w:sz w:val="22"/>
          <w:szCs w:val="22"/>
        </w:rPr>
        <w:t>10.2. Em caso de impedimento, ordem de paralisação ou suspensão do contrato, o cronograma de execução será prorrogado automaticamente pelo tempo correspondente, anotadas tais circunstâncias mediante simples apostila.</w:t>
      </w:r>
    </w:p>
    <w:p>
      <w:pPr>
        <w:pStyle w:val="Nivel2"/>
        <w:numPr>
          <w:ilvl w:val="0"/>
          <w:numId w:val="0"/>
        </w:numPr>
        <w:ind w:left="0" w:hanging="0"/>
        <w:rPr>
          <w:sz w:val="22"/>
          <w:szCs w:val="22"/>
        </w:rPr>
      </w:pPr>
      <w:r>
        <w:rPr>
          <w:sz w:val="22"/>
          <w:szCs w:val="22"/>
        </w:rPr>
        <w:t>10.3. As comunicações entre o órgão ou entidade e a contratada devem ser realizadas por escrito sempre que o ato exigir tal formalidade, admitindo-se o uso de mensagem eletrônica para esse fim.</w:t>
      </w:r>
    </w:p>
    <w:p>
      <w:pPr>
        <w:pStyle w:val="Nivel2"/>
        <w:numPr>
          <w:ilvl w:val="0"/>
          <w:numId w:val="0"/>
        </w:numPr>
        <w:ind w:left="0" w:hanging="0"/>
        <w:rPr>
          <w:sz w:val="22"/>
          <w:szCs w:val="22"/>
        </w:rPr>
      </w:pPr>
      <w:r>
        <w:rPr>
          <w:sz w:val="22"/>
          <w:szCs w:val="22"/>
        </w:rPr>
        <w:t>10.4. O órgão ou entidade poderá convocar representante da empresa para adoção de providências que devam ser cumpridas de imediato.</w:t>
      </w:r>
    </w:p>
    <w:p>
      <w:pPr>
        <w:pStyle w:val="Nivel2"/>
        <w:numPr>
          <w:ilvl w:val="0"/>
          <w:numId w:val="0"/>
        </w:numPr>
        <w:ind w:left="0" w:hanging="0"/>
        <w:rPr>
          <w:sz w:val="22"/>
          <w:szCs w:val="22"/>
        </w:rPr>
      </w:pPr>
      <w:r>
        <w:rPr>
          <w:sz w:val="22"/>
          <w:szCs w:val="22"/>
        </w:rPr>
        <w:t>10.5. Após a assinatura do contrato ou instrumento equivalente</w:t>
      </w:r>
      <w:r>
        <w:rPr>
          <w:strike/>
          <w:sz w:val="22"/>
          <w:szCs w:val="22"/>
        </w:rPr>
        <w:t>,</w:t>
      </w:r>
      <w:r>
        <w:rPr>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ivel2"/>
        <w:numPr>
          <w:ilvl w:val="0"/>
          <w:numId w:val="0"/>
        </w:numPr>
        <w:ind w:left="0" w:hanging="0"/>
        <w:rPr>
          <w:b/>
          <w:b/>
          <w:bCs/>
          <w:i/>
          <w:i/>
          <w:iCs/>
          <w:sz w:val="22"/>
          <w:szCs w:val="22"/>
        </w:rPr>
      </w:pPr>
      <w:r>
        <w:rPr>
          <w:b/>
          <w:bCs/>
          <w:sz w:val="22"/>
          <w:szCs w:val="22"/>
        </w:rPr>
        <w:t>Fiscalização</w:t>
      </w:r>
    </w:p>
    <w:p>
      <w:pPr>
        <w:pStyle w:val="Nivel2"/>
        <w:numPr>
          <w:ilvl w:val="0"/>
          <w:numId w:val="0"/>
        </w:numPr>
        <w:ind w:left="0" w:hanging="0"/>
        <w:rPr>
          <w:sz w:val="22"/>
          <w:szCs w:val="22"/>
        </w:rPr>
      </w:pPr>
      <w:r>
        <w:rPr>
          <w:sz w:val="22"/>
          <w:szCs w:val="22"/>
        </w:rPr>
        <w:t>10.6. A execução do contrato deverá ser acompanhada e fiscalizada pelo(s) fiscal(is) do contrato, ou pelos respectivos substitutos (</w:t>
      </w:r>
      <w:r>
        <w:fldChar w:fldCharType="begin"/>
      </w:r>
      <w:r>
        <w:rPr>
          <w:rStyle w:val="LinkdaInternet"/>
          <w:sz w:val="22"/>
          <w:szCs w:val="22"/>
        </w:rPr>
        <w:instrText xml:space="preserve"> HYPERLINK "http://www.planalto.gov.br/ccivil_03/_ato2019-2022/2021/lei/L14133.htm" \l "art117"</w:instrText>
      </w:r>
      <w:r>
        <w:rPr>
          <w:rStyle w:val="LinkdaInternet"/>
          <w:sz w:val="22"/>
          <w:szCs w:val="22"/>
        </w:rPr>
        <w:fldChar w:fldCharType="separate"/>
      </w:r>
      <w:r>
        <w:rPr>
          <w:rStyle w:val="LinkdaInternet"/>
          <w:sz w:val="22"/>
          <w:szCs w:val="22"/>
        </w:rPr>
        <w:t>Lei nº 14.133, de 2021, art. 117, caput</w:t>
      </w:r>
      <w:r>
        <w:rPr>
          <w:rStyle w:val="LinkdaInternet"/>
          <w:sz w:val="22"/>
          <w:szCs w:val="22"/>
        </w:rPr>
        <w:fldChar w:fldCharType="end"/>
      </w:r>
      <w:r>
        <w:rPr>
          <w:sz w:val="22"/>
          <w:szCs w:val="22"/>
        </w:rPr>
        <w:t>).</w:t>
      </w:r>
    </w:p>
    <w:p>
      <w:pPr>
        <w:pStyle w:val="Nvel1SemNumPreto"/>
        <w:ind w:left="0" w:hanging="0"/>
        <w:rPr>
          <w:i/>
          <w:i/>
          <w:iCs/>
          <w:sz w:val="22"/>
          <w:szCs w:val="22"/>
        </w:rPr>
      </w:pPr>
      <w:r>
        <w:rPr>
          <w:sz w:val="22"/>
          <w:szCs w:val="22"/>
        </w:rPr>
        <w:t>Fiscalização Técnica</w:t>
      </w:r>
    </w:p>
    <w:p>
      <w:pPr>
        <w:pStyle w:val="Nvel1SemNumPreto"/>
        <w:ind w:left="0" w:hanging="0"/>
        <w:rPr>
          <w:b w:val="false"/>
          <w:b w:val="false"/>
          <w:bCs w:val="false"/>
          <w:sz w:val="22"/>
          <w:szCs w:val="22"/>
        </w:rPr>
      </w:pPr>
      <w:r>
        <w:rPr>
          <w:b w:val="false"/>
          <w:bCs w:val="false"/>
          <w:sz w:val="22"/>
          <w:szCs w:val="22"/>
        </w:rPr>
        <w:t>10.7. O fiscal técnico do contrato acompanhará a execução do contrato, para que sejam cumpridas todas as condições estabelecidas no contrato, de modo a assegurar os melhores resultados para a Administração. (Decreto nº 11.246, de 2022, art. 22, VI);</w:t>
      </w:r>
    </w:p>
    <w:p>
      <w:pPr>
        <w:pStyle w:val="Nivel3"/>
        <w:ind w:left="1004" w:hanging="0"/>
        <w:rPr>
          <w:sz w:val="22"/>
          <w:szCs w:val="22"/>
        </w:rPr>
      </w:pPr>
      <w:r>
        <w:rPr>
          <w:sz w:val="22"/>
          <w:szCs w:val="22"/>
        </w:rPr>
        <w:t>10.7.1. 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LinkdaInternet"/>
          <w:sz w:val="22"/>
          <w:szCs w:val="22"/>
        </w:rPr>
        <w:instrText xml:space="preserve"> HYPERLINK "http://www.planalto.gov.br/ccivil_03/_ato2019-2022/2021/lei/L14133.htm" \l "art117§1"</w:instrText>
      </w:r>
      <w:r>
        <w:rPr>
          <w:rStyle w:val="LinkdaInternet"/>
          <w:sz w:val="22"/>
          <w:szCs w:val="22"/>
        </w:rPr>
        <w:fldChar w:fldCharType="separate"/>
      </w:r>
      <w:r>
        <w:rPr>
          <w:rStyle w:val="LinkdaInternet"/>
          <w:sz w:val="22"/>
          <w:szCs w:val="22"/>
        </w:rPr>
        <w:t>Lei nº 14.133, de 2021, art. 117, §1º</w:t>
      </w:r>
      <w:r>
        <w:rPr>
          <w:rStyle w:val="LinkdaInternet"/>
          <w:sz w:val="22"/>
          <w:szCs w:val="22"/>
        </w:rPr>
        <w:fldChar w:fldCharType="end"/>
      </w:r>
      <w:r>
        <w:rPr>
          <w:sz w:val="22"/>
          <w:szCs w:val="22"/>
        </w:rPr>
        <w:t xml:space="preserve">, </w:t>
      </w:r>
    </w:p>
    <w:p>
      <w:pPr>
        <w:pStyle w:val="Nivel3"/>
        <w:ind w:left="1004" w:hanging="0"/>
        <w:rPr>
          <w:sz w:val="22"/>
          <w:szCs w:val="22"/>
        </w:rPr>
      </w:pPr>
      <w:r>
        <w:rPr>
          <w:sz w:val="22"/>
          <w:szCs w:val="22"/>
        </w:rPr>
        <w:t>10.7.2. Identificada qualquer inexatidão ou irregularidade, o fiscal técnico do contrato emitirá notificações para a correção da execução do contrato, determinando prazo para a correção.</w:t>
      </w:r>
    </w:p>
    <w:p>
      <w:pPr>
        <w:pStyle w:val="Nivel3"/>
        <w:ind w:left="1020" w:hanging="0"/>
        <w:rPr>
          <w:sz w:val="22"/>
          <w:szCs w:val="22"/>
        </w:rPr>
      </w:pPr>
      <w:r>
        <w:rPr>
          <w:sz w:val="22"/>
          <w:szCs w:val="22"/>
        </w:rPr>
        <w:t xml:space="preserve">10.7.3. O fiscal técnico do contrato informará ao gestor do contato, em tempo hábil, a situação que demandar decisão ou adoção de medidas que ultrapassem sua competência, para que adote as medidas necessárias e saneadoras, se for o caso. </w:t>
      </w:r>
    </w:p>
    <w:p>
      <w:pPr>
        <w:pStyle w:val="Nivel3"/>
        <w:ind w:left="1020" w:hanging="0"/>
        <w:rPr>
          <w:sz w:val="22"/>
          <w:szCs w:val="22"/>
        </w:rPr>
      </w:pPr>
      <w:r>
        <w:rPr>
          <w:sz w:val="22"/>
          <w:szCs w:val="22"/>
        </w:rPr>
        <w:t xml:space="preserve">10.7.4. No caso de ocorrências que possam inviabilizar a execução do contrato nas datas aprazadas, o fiscal técnico do contrato comunicará o fato imediatamente ao gestor do contrato. </w:t>
      </w:r>
    </w:p>
    <w:p>
      <w:pPr>
        <w:pStyle w:val="Nivel3"/>
        <w:ind w:left="1020" w:hanging="0"/>
        <w:rPr>
          <w:b/>
          <w:b/>
          <w:bCs/>
          <w:sz w:val="22"/>
          <w:szCs w:val="22"/>
        </w:rPr>
      </w:pPr>
      <w:r>
        <w:rPr>
          <w:sz w:val="22"/>
          <w:szCs w:val="22"/>
        </w:rPr>
        <w:t>10.7.5. O fiscal técnico do contrato comunicará ao gestor do contrato, em tempo hábil, o término do contrato sob sua responsabilidade, com vistas à renovação tempestiva ou à prorrogação contratual.</w:t>
      </w:r>
    </w:p>
    <w:p>
      <w:pPr>
        <w:pStyle w:val="Nivel3"/>
        <w:ind w:left="0" w:hanging="0"/>
        <w:rPr>
          <w:b/>
          <w:b/>
          <w:bCs/>
          <w:i/>
          <w:i/>
          <w:iCs/>
          <w:sz w:val="22"/>
          <w:szCs w:val="22"/>
        </w:rPr>
      </w:pPr>
      <w:r>
        <w:rPr>
          <w:b/>
          <w:bCs/>
          <w:sz w:val="22"/>
          <w:szCs w:val="22"/>
        </w:rPr>
        <w:t>Fiscalização Administrativa</w:t>
      </w:r>
    </w:p>
    <w:p>
      <w:pPr>
        <w:pStyle w:val="Nivel2"/>
        <w:numPr>
          <w:ilvl w:val="0"/>
          <w:numId w:val="0"/>
        </w:numPr>
        <w:ind w:left="0" w:hanging="0"/>
        <w:rPr>
          <w:sz w:val="22"/>
          <w:szCs w:val="22"/>
        </w:rPr>
      </w:pPr>
      <w:r>
        <w:rPr>
          <w:sz w:val="22"/>
          <w:szCs w:val="22"/>
        </w:rPr>
        <w:t>10.8.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ivel3"/>
        <w:ind w:left="0" w:hanging="0"/>
        <w:rPr>
          <w:sz w:val="22"/>
          <w:szCs w:val="22"/>
        </w:rPr>
      </w:pPr>
      <w:r>
        <w:rPr>
          <w:sz w:val="22"/>
          <w:szCs w:val="22"/>
        </w:rPr>
        <w:t xml:space="preserve">10.9. Caso ocorra descumprimento das obrigações contratuais, o fiscal administrativo do contrato atuará tempestivamente na solução do problema, reportando ao gestor do contrato para que tome as providências cabíveis, quando ultrapassar a sua competência; </w:t>
      </w:r>
    </w:p>
    <w:p>
      <w:pPr>
        <w:pStyle w:val="Nvel1SemNum"/>
        <w:spacing w:lineRule="auto" w:line="360" w:before="0" w:after="0"/>
        <w:ind w:left="0" w:hanging="0"/>
        <w:rPr>
          <w:color w:val="auto"/>
          <w:sz w:val="22"/>
          <w:szCs w:val="22"/>
        </w:rPr>
      </w:pPr>
      <w:r>
        <w:rPr>
          <w:color w:val="auto"/>
          <w:sz w:val="22"/>
          <w:szCs w:val="22"/>
        </w:rPr>
      </w:r>
    </w:p>
    <w:p>
      <w:pPr>
        <w:pStyle w:val="Nvel1SemNumPreto"/>
        <w:spacing w:lineRule="auto" w:line="360" w:before="0" w:after="0"/>
        <w:ind w:left="0" w:hanging="0"/>
        <w:rPr>
          <w:color w:val="auto"/>
          <w:sz w:val="22"/>
          <w:szCs w:val="22"/>
        </w:rPr>
      </w:pPr>
      <w:r>
        <w:rPr>
          <w:sz w:val="22"/>
          <w:szCs w:val="22"/>
        </w:rPr>
        <w:t>11. GARANTIA, MANUTENÇÃO E ASSISTÊNCIA TÉCNICA</w:t>
      </w:r>
    </w:p>
    <w:p>
      <w:pPr>
        <w:pStyle w:val="Nvel2Red"/>
        <w:spacing w:lineRule="auto" w:line="360" w:before="0" w:after="0"/>
        <w:ind w:left="0" w:hanging="0"/>
        <w:rPr>
          <w:i w:val="false"/>
          <w:i w:val="false"/>
          <w:iCs w:val="false"/>
          <w:color w:val="auto"/>
          <w:sz w:val="22"/>
          <w:szCs w:val="22"/>
        </w:rPr>
      </w:pPr>
      <w:r>
        <w:rPr>
          <w:i w:val="false"/>
          <w:iCs w:val="false"/>
          <w:color w:val="auto"/>
          <w:sz w:val="22"/>
          <w:szCs w:val="22"/>
        </w:rPr>
        <w:t>11.1</w:t>
      </w:r>
      <w:r>
        <w:rPr>
          <w:b/>
          <w:bCs/>
          <w:i w:val="false"/>
          <w:iCs w:val="false"/>
          <w:color w:val="auto"/>
          <w:sz w:val="22"/>
          <w:szCs w:val="22"/>
        </w:rPr>
        <w:t xml:space="preserve">. </w:t>
      </w:r>
      <w:r>
        <w:rPr>
          <w:i w:val="false"/>
          <w:iCs w:val="false"/>
          <w:color w:val="auto"/>
          <w:sz w:val="22"/>
          <w:szCs w:val="22"/>
        </w:rPr>
        <w:t>O prazo de garantia é aquele estabelecido na Lei nº 8.078, de 11 de setembro de 1990 (Código de Defesa do Consumidor)</w:t>
      </w:r>
    </w:p>
    <w:p>
      <w:pPr>
        <w:pStyle w:val="Nvel2Red"/>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b/>
          <w:b/>
          <w:bCs/>
          <w:i/>
          <w:i/>
          <w:iCs/>
          <w:sz w:val="22"/>
          <w:szCs w:val="22"/>
        </w:rPr>
      </w:pPr>
      <w:r>
        <w:rPr>
          <w:b/>
          <w:bCs/>
          <w:sz w:val="22"/>
          <w:szCs w:val="22"/>
        </w:rPr>
        <w:t>12. - FISCALIZAÇÃO</w:t>
      </w:r>
    </w:p>
    <w:p>
      <w:pPr>
        <w:pStyle w:val="Nivel2"/>
        <w:numPr>
          <w:ilvl w:val="0"/>
          <w:numId w:val="0"/>
        </w:numPr>
        <w:spacing w:lineRule="auto" w:line="360" w:before="0" w:after="0"/>
        <w:ind w:left="0" w:hanging="0"/>
        <w:rPr>
          <w:sz w:val="22"/>
          <w:szCs w:val="22"/>
        </w:rPr>
      </w:pPr>
      <w:r>
        <w:rPr>
          <w:sz w:val="22"/>
          <w:szCs w:val="22"/>
        </w:rPr>
        <w:t>12.1 - A execução do contrato deverá ser acompanhada e fiscalizada pelo(s) fiscal(is) do contrato, ou pelos respectivos substitutos (</w:t>
      </w:r>
      <w:r>
        <w:fldChar w:fldCharType="begin"/>
      </w:r>
      <w:r>
        <w:rPr>
          <w:rStyle w:val="LinkdaInternet"/>
          <w:sz w:val="22"/>
          <w:szCs w:val="22"/>
        </w:rPr>
        <w:instrText xml:space="preserve"> HYPERLINK "http://www.planalto.gov.br/ccivil_03/_ato2019-2022/2021/lei/L14133.htm" \l "art117"</w:instrText>
      </w:r>
      <w:r>
        <w:rPr>
          <w:rStyle w:val="LinkdaInternet"/>
          <w:sz w:val="22"/>
          <w:szCs w:val="22"/>
        </w:rPr>
        <w:fldChar w:fldCharType="separate"/>
      </w:r>
      <w:r>
        <w:rPr>
          <w:rStyle w:val="LinkdaInternet"/>
          <w:sz w:val="22"/>
          <w:szCs w:val="22"/>
        </w:rPr>
        <w:t>Lei nº 14.133, de 2021, art. 117, caput</w:t>
      </w:r>
      <w:r>
        <w:rPr>
          <w:rStyle w:val="LinkdaInternet"/>
          <w:sz w:val="22"/>
          <w:szCs w:val="22"/>
        </w:rPr>
        <w:fldChar w:fldCharType="end"/>
      </w:r>
      <w:r>
        <w:rPr>
          <w:sz w:val="22"/>
          <w:szCs w:val="22"/>
        </w:rPr>
        <w:t>).</w:t>
      </w:r>
    </w:p>
    <w:p>
      <w:pPr>
        <w:pStyle w:val="Nivel2"/>
        <w:numPr>
          <w:ilvl w:val="0"/>
          <w:numId w:val="0"/>
        </w:numPr>
        <w:spacing w:lineRule="auto" w:line="360" w:before="0" w:after="0"/>
        <w:ind w:left="0" w:hanging="0"/>
        <w:rPr>
          <w:sz w:val="22"/>
          <w:szCs w:val="22"/>
        </w:rPr>
      </w:pPr>
      <w:r>
        <w:rPr>
          <w:sz w:val="22"/>
          <w:szCs w:val="22"/>
        </w:rPr>
        <w:t>12.2 - Fiscalização Técnica</w:t>
      </w:r>
    </w:p>
    <w:p>
      <w:pPr>
        <w:pStyle w:val="Nvel1SemNumPreto"/>
        <w:spacing w:lineRule="auto" w:line="360" w:before="0" w:after="0"/>
        <w:ind w:left="0" w:hanging="0"/>
        <w:rPr>
          <w:sz w:val="22"/>
          <w:szCs w:val="22"/>
        </w:rPr>
      </w:pPr>
      <w:r>
        <w:rPr>
          <w:b w:val="false"/>
          <w:bCs w:val="false"/>
          <w:sz w:val="22"/>
          <w:szCs w:val="22"/>
        </w:rPr>
        <w:t>12.2.2 - O fiscal técnico do contrato acompanhará a execução do contrato, para que sejam cumpridas todas as condições estabelecidas no contrato, de modo a assegurar os melhores resultados para a Administração. (Decreto nº 11.246, de 2022, art. 22, VI);</w:t>
      </w:r>
    </w:p>
    <w:p>
      <w:pPr>
        <w:pStyle w:val="Nivel3"/>
        <w:spacing w:lineRule="auto" w:line="360" w:before="0" w:after="0"/>
        <w:ind w:left="0" w:hanging="0"/>
        <w:rPr>
          <w:sz w:val="22"/>
          <w:szCs w:val="22"/>
        </w:rPr>
      </w:pPr>
      <w:r>
        <w:rPr>
          <w:sz w:val="22"/>
          <w:szCs w:val="22"/>
        </w:rPr>
        <w:t>12.2.3 - 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LinkdaInternet"/>
          <w:sz w:val="22"/>
          <w:szCs w:val="22"/>
        </w:rPr>
        <w:instrText xml:space="preserve"> HYPERLINK "http://www.planalto.gov.br/ccivil_03/_ato2019-2022/2021/lei/L14133.htm" \l "art117§1"</w:instrText>
      </w:r>
      <w:r>
        <w:rPr>
          <w:rStyle w:val="LinkdaInternet"/>
          <w:sz w:val="22"/>
          <w:szCs w:val="22"/>
        </w:rPr>
        <w:fldChar w:fldCharType="separate"/>
      </w:r>
      <w:r>
        <w:rPr>
          <w:rStyle w:val="LinkdaInternet"/>
          <w:sz w:val="22"/>
          <w:szCs w:val="22"/>
        </w:rPr>
        <w:t>Lei nº 14.133, de 2021, art. 117, §1º</w:t>
      </w:r>
      <w:r>
        <w:rPr>
          <w:rStyle w:val="LinkdaInternet"/>
          <w:sz w:val="22"/>
          <w:szCs w:val="22"/>
        </w:rPr>
        <w:fldChar w:fldCharType="end"/>
      </w:r>
      <w:r>
        <w:rPr>
          <w:sz w:val="22"/>
          <w:szCs w:val="22"/>
        </w:rPr>
        <w:t xml:space="preserve">, </w:t>
      </w:r>
    </w:p>
    <w:p>
      <w:pPr>
        <w:pStyle w:val="Nivel3"/>
        <w:spacing w:lineRule="auto" w:line="360" w:before="0" w:after="0"/>
        <w:ind w:left="0" w:hanging="0"/>
        <w:rPr>
          <w:sz w:val="22"/>
          <w:szCs w:val="22"/>
        </w:rPr>
      </w:pPr>
      <w:r>
        <w:rPr>
          <w:sz w:val="22"/>
          <w:szCs w:val="22"/>
        </w:rPr>
        <w:t>12.2.4 - Identificada qualquer inexatidão ou irregularidade, o fiscal técnico do contrato emitirá notificações para a correção da execução do contrato, determinando prazo para a correção.</w:t>
      </w:r>
    </w:p>
    <w:p>
      <w:pPr>
        <w:pStyle w:val="Nivel3"/>
        <w:spacing w:lineRule="auto" w:line="360" w:before="0" w:after="0"/>
        <w:ind w:left="0" w:hanging="0"/>
        <w:rPr>
          <w:sz w:val="22"/>
          <w:szCs w:val="22"/>
        </w:rPr>
      </w:pPr>
      <w:r>
        <w:rPr>
          <w:sz w:val="22"/>
          <w:szCs w:val="22"/>
        </w:rPr>
        <w:t xml:space="preserve">12.2.5 - O fiscal técnico do contrato informará ao gestor do contato, em tempo hábil, a situação que demandar decisão ou adoção de medidas que ultrapassem sua competência, para que adote as medidas necessárias e saneadoras, se for o caso. </w:t>
      </w:r>
    </w:p>
    <w:p>
      <w:pPr>
        <w:pStyle w:val="Nivel3"/>
        <w:spacing w:lineRule="auto" w:line="360" w:before="0" w:after="0"/>
        <w:ind w:left="0" w:hanging="0"/>
        <w:rPr>
          <w:sz w:val="22"/>
          <w:szCs w:val="22"/>
        </w:rPr>
      </w:pPr>
      <w:r>
        <w:rPr>
          <w:sz w:val="22"/>
          <w:szCs w:val="22"/>
        </w:rPr>
        <w:t xml:space="preserve">12.2.6 - No caso de ocorrências que possam inviabilizar a execução do contrato nas datas aprazadas, o fiscal técnico do contrato comunicará o fato imediatamente ao gestor do contrato. </w:t>
      </w:r>
    </w:p>
    <w:p>
      <w:pPr>
        <w:pStyle w:val="Nivel3"/>
        <w:spacing w:lineRule="auto" w:line="360" w:before="0" w:after="0"/>
        <w:ind w:left="0" w:hanging="0"/>
        <w:rPr>
          <w:b/>
          <w:b/>
          <w:bCs/>
          <w:sz w:val="22"/>
          <w:szCs w:val="22"/>
        </w:rPr>
      </w:pPr>
      <w:r>
        <w:rPr>
          <w:sz w:val="22"/>
          <w:szCs w:val="22"/>
        </w:rPr>
        <w:t>12.2.7 - O fiscal técnico do contrato comunicará ao gestor do contrato, em tempo hábil, o término do contrato sob sua responsabilidade, com vistas à renovação tempestiva ou à prorrogação contratual.</w:t>
      </w:r>
    </w:p>
    <w:p>
      <w:pPr>
        <w:pStyle w:val="Nivel3"/>
        <w:spacing w:lineRule="auto" w:line="360" w:before="0" w:after="0"/>
        <w:ind w:left="0" w:hanging="0"/>
        <w:rPr>
          <w:b/>
          <w:b/>
          <w:bCs/>
          <w:i/>
          <w:i/>
          <w:iCs/>
          <w:sz w:val="22"/>
          <w:szCs w:val="22"/>
        </w:rPr>
      </w:pPr>
      <w:r>
        <w:rPr>
          <w:b/>
          <w:bCs/>
          <w:sz w:val="22"/>
          <w:szCs w:val="22"/>
        </w:rPr>
        <w:t>12.3 - Fiscalização Administrativa</w:t>
      </w:r>
    </w:p>
    <w:p>
      <w:pPr>
        <w:pStyle w:val="Nivel2"/>
        <w:numPr>
          <w:ilvl w:val="0"/>
          <w:numId w:val="0"/>
        </w:numPr>
        <w:spacing w:lineRule="auto" w:line="360" w:before="0" w:after="0"/>
        <w:ind w:left="0" w:hanging="0"/>
        <w:rPr>
          <w:i/>
          <w:i/>
          <w:iCs/>
          <w:sz w:val="22"/>
          <w:szCs w:val="22"/>
        </w:rPr>
      </w:pPr>
      <w:r>
        <w:rPr>
          <w:i/>
          <w:iCs/>
          <w:sz w:val="22"/>
          <w:szCs w:val="22"/>
        </w:rPr>
        <w:t xml:space="preserve">12.3.1 - </w:t>
      </w:r>
      <w:r>
        <w:rPr>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ivel3"/>
        <w:spacing w:lineRule="auto" w:line="360" w:before="0" w:after="0"/>
        <w:ind w:left="0" w:hanging="0"/>
        <w:rPr>
          <w:sz w:val="22"/>
          <w:szCs w:val="22"/>
        </w:rPr>
      </w:pPr>
      <w:r>
        <w:rPr>
          <w:i/>
          <w:iCs/>
          <w:sz w:val="22"/>
          <w:szCs w:val="22"/>
        </w:rPr>
        <w:t xml:space="preserve">12.3.2 - </w:t>
      </w:r>
      <w:r>
        <w:rPr>
          <w:sz w:val="22"/>
          <w:szCs w:val="22"/>
        </w:rP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pPr>
        <w:pStyle w:val="Nivel3"/>
        <w:spacing w:lineRule="auto" w:line="360" w:before="0" w:after="0"/>
        <w:ind w:left="0" w:hanging="0"/>
        <w:rPr>
          <w:sz w:val="22"/>
          <w:szCs w:val="22"/>
        </w:rPr>
      </w:pPr>
      <w:r>
        <w:rPr>
          <w:sz w:val="22"/>
          <w:szCs w:val="22"/>
        </w:rPr>
      </w:r>
    </w:p>
    <w:p>
      <w:pPr>
        <w:pStyle w:val="Nvel1SemNumPreto"/>
        <w:spacing w:lineRule="auto" w:line="360" w:before="0" w:after="0"/>
        <w:ind w:left="0" w:hanging="0"/>
        <w:rPr>
          <w:i/>
          <w:i/>
          <w:iCs/>
          <w:sz w:val="22"/>
          <w:szCs w:val="22"/>
        </w:rPr>
      </w:pPr>
      <w:r>
        <w:rPr>
          <w:sz w:val="22"/>
          <w:szCs w:val="22"/>
        </w:rPr>
        <w:t>13. GESTOR DO CONTRATO</w:t>
      </w:r>
    </w:p>
    <w:p>
      <w:pPr>
        <w:pStyle w:val="Nivel2"/>
        <w:numPr>
          <w:ilvl w:val="0"/>
          <w:numId w:val="0"/>
        </w:numPr>
        <w:spacing w:lineRule="auto" w:line="360" w:before="0" w:after="0"/>
        <w:ind w:left="0" w:hanging="0"/>
        <w:rPr>
          <w:b/>
          <w:b/>
          <w:bCs/>
          <w:i/>
          <w:i/>
          <w:iCs/>
          <w:sz w:val="22"/>
          <w:szCs w:val="22"/>
        </w:rPr>
      </w:pPr>
      <w:r>
        <w:rPr>
          <w:sz w:val="22"/>
          <w:szCs w:val="22"/>
        </w:rPr>
        <w:t xml:space="preserve">13.1.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pStyle w:val="Nivel2"/>
        <w:numPr>
          <w:ilvl w:val="0"/>
          <w:numId w:val="0"/>
        </w:numPr>
        <w:spacing w:lineRule="auto" w:line="360" w:before="0" w:after="0"/>
        <w:ind w:left="0" w:hanging="0"/>
        <w:rPr>
          <w:sz w:val="22"/>
          <w:szCs w:val="22"/>
        </w:rPr>
      </w:pPr>
      <w:r>
        <w:rPr>
          <w:sz w:val="22"/>
          <w:szCs w:val="22"/>
        </w:rPr>
        <w:t xml:space="preserve">13.2. 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Nivel2"/>
        <w:numPr>
          <w:ilvl w:val="0"/>
          <w:numId w:val="0"/>
        </w:numPr>
        <w:spacing w:lineRule="auto" w:line="360" w:before="0" w:after="0"/>
        <w:ind w:left="0" w:hanging="0"/>
        <w:rPr>
          <w:sz w:val="22"/>
          <w:szCs w:val="22"/>
        </w:rPr>
      </w:pPr>
      <w:r>
        <w:rPr>
          <w:sz w:val="22"/>
          <w:szCs w:val="22"/>
        </w:rPr>
        <w:t xml:space="preserve">13.3.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Nivel2"/>
        <w:numPr>
          <w:ilvl w:val="0"/>
          <w:numId w:val="0"/>
        </w:numPr>
        <w:spacing w:lineRule="auto" w:line="360" w:before="0" w:after="0"/>
        <w:ind w:left="0" w:hanging="0"/>
        <w:rPr>
          <w:sz w:val="22"/>
          <w:szCs w:val="22"/>
        </w:rPr>
      </w:pPr>
      <w:r>
        <w:rPr>
          <w:sz w:val="22"/>
          <w:szCs w:val="22"/>
        </w:rPr>
        <w:t xml:space="preserve">13.4.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pPr>
        <w:pStyle w:val="Nivel2"/>
        <w:numPr>
          <w:ilvl w:val="0"/>
          <w:numId w:val="0"/>
        </w:numPr>
        <w:spacing w:lineRule="auto" w:line="360" w:before="0" w:after="0"/>
        <w:ind w:left="0" w:hanging="0"/>
        <w:rPr>
          <w:sz w:val="22"/>
          <w:szCs w:val="22"/>
        </w:rPr>
      </w:pPr>
      <w:r>
        <w:rPr>
          <w:sz w:val="22"/>
          <w:szCs w:val="22"/>
        </w:rPr>
        <w:t>13.5.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Nivel2"/>
        <w:numPr>
          <w:ilvl w:val="0"/>
          <w:numId w:val="0"/>
        </w:numPr>
        <w:spacing w:lineRule="auto" w:line="360" w:before="0" w:after="0"/>
        <w:ind w:left="0" w:hanging="0"/>
        <w:rPr>
          <w:sz w:val="22"/>
          <w:szCs w:val="22"/>
        </w:rPr>
      </w:pPr>
      <w:r>
        <w:rPr>
          <w:sz w:val="22"/>
          <w:szCs w:val="22"/>
        </w:rPr>
        <w:t xml:space="preserve">13.6. O gestor do contrato deverá elaborar relatório final com informações sobre a consecução dos objetivos que tenham justificado a contratação e eventuais condutas a serem adotadas para o aprimoramento das atividades da Administração. </w:t>
      </w:r>
    </w:p>
    <w:p>
      <w:pPr>
        <w:pStyle w:val="Nivel2"/>
        <w:numPr>
          <w:ilvl w:val="0"/>
          <w:numId w:val="0"/>
        </w:numPr>
        <w:spacing w:lineRule="auto" w:line="360" w:before="0" w:after="0"/>
        <w:ind w:left="0" w:hanging="0"/>
        <w:rPr>
          <w:sz w:val="22"/>
          <w:szCs w:val="22"/>
        </w:rPr>
      </w:pPr>
      <w:r>
        <w:rPr>
          <w:sz w:val="22"/>
          <w:szCs w:val="22"/>
        </w:rPr>
        <w:t>13.7</w:t>
        <w:tab/>
        <w:t>O gestor do contrato deverá enviar a documentação pertinente ao setor de contratos para a formalização dos procedimentos de liquidação e pagamento, no valor dimensionado pela fiscalização e gestão nos termos do contrato.</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14. CRITÉRIOS DE MEDIÇÃO E DE PAGAMENTO</w:t>
      </w:r>
    </w:p>
    <w:p>
      <w:pPr>
        <w:pStyle w:val="Nivel01"/>
        <w:spacing w:lineRule="auto" w:line="360" w:before="0" w:after="0"/>
        <w:ind w:left="0" w:hanging="0"/>
        <w:rPr>
          <w:i/>
          <w:i/>
          <w:iCs/>
          <w:sz w:val="22"/>
          <w:szCs w:val="22"/>
          <w:lang w:eastAsia="en-US"/>
        </w:rPr>
      </w:pPr>
      <w:r>
        <w:rPr>
          <w:sz w:val="22"/>
          <w:szCs w:val="22"/>
        </w:rPr>
        <w:t>Recebimento</w:t>
      </w:r>
    </w:p>
    <w:p>
      <w:pPr>
        <w:pStyle w:val="Nivel2"/>
        <w:numPr>
          <w:ilvl w:val="0"/>
          <w:numId w:val="0"/>
        </w:numPr>
        <w:spacing w:lineRule="auto" w:line="360" w:before="0" w:after="0"/>
        <w:ind w:left="0" w:hanging="0"/>
        <w:rPr>
          <w:sz w:val="22"/>
          <w:szCs w:val="22"/>
          <w:lang w:eastAsia="en-US"/>
        </w:rPr>
      </w:pPr>
      <w:r>
        <w:rPr>
          <w:sz w:val="22"/>
          <w:szCs w:val="22"/>
          <w:lang w:eastAsia="en-US"/>
        </w:rPr>
        <w:t xml:space="preserve">14.1. Os bens serão recebidos provisoriamente, de forma sumária, no ato da entrega, com a </w:t>
      </w:r>
      <w:r>
        <w:rPr>
          <w:rFonts w:eastAsia="Calibri"/>
          <w:sz w:val="22"/>
          <w:szCs w:val="22"/>
          <w:lang w:eastAsia="en-US"/>
        </w:rPr>
        <w:t>nota</w:t>
      </w:r>
      <w:r>
        <w:rPr>
          <w:sz w:val="22"/>
          <w:szCs w:val="22"/>
          <w:lang w:eastAsia="en-US"/>
        </w:rPr>
        <w:t xml:space="preserve"> fiscal ou instrumento de cobrança equivalente, pelo(a) responsável pelo acompanhamento e fiscalização do contrato, para efeito de posterior verificação, no prazo de 05 (cinco) dias, de sua conformidade com as especificações constantes no Termo de Referência</w:t>
      </w:r>
      <w:r>
        <w:rPr>
          <w:color w:val="FF0000"/>
          <w:sz w:val="22"/>
          <w:szCs w:val="22"/>
          <w:lang w:eastAsia="en-US"/>
        </w:rPr>
        <w:t xml:space="preserve"> </w:t>
      </w:r>
      <w:r>
        <w:rPr>
          <w:sz w:val="22"/>
          <w:szCs w:val="22"/>
          <w:lang w:eastAsia="en-US"/>
        </w:rPr>
        <w:t>e na proposta.</w:t>
      </w:r>
    </w:p>
    <w:p>
      <w:pPr>
        <w:pStyle w:val="Nivel2"/>
        <w:numPr>
          <w:ilvl w:val="0"/>
          <w:numId w:val="0"/>
        </w:numPr>
        <w:spacing w:lineRule="auto" w:line="360" w:before="0" w:after="0"/>
        <w:ind w:left="0" w:hanging="0"/>
        <w:rPr>
          <w:sz w:val="22"/>
          <w:szCs w:val="22"/>
          <w:lang w:eastAsia="en-US"/>
        </w:rPr>
      </w:pPr>
      <w:r>
        <w:rPr>
          <w:sz w:val="22"/>
          <w:szCs w:val="22"/>
          <w:lang w:eastAsia="en-US"/>
        </w:rPr>
        <w:t>14.2. Os bens poderão ser rejeitados, no todo ou em parte, inclusive antes do recebimento provisório, quando em desacordo com as especificações constantes no Termo de Referência</w:t>
      </w:r>
      <w:r>
        <w:rPr>
          <w:color w:val="FF0000"/>
          <w:sz w:val="22"/>
          <w:szCs w:val="22"/>
          <w:lang w:eastAsia="en-US"/>
        </w:rPr>
        <w:t xml:space="preserve"> </w:t>
      </w:r>
      <w:r>
        <w:rPr>
          <w:sz w:val="22"/>
          <w:szCs w:val="22"/>
          <w:lang w:eastAsia="en-US"/>
        </w:rPr>
        <w:t>e na proposta, devendo ser substituídos no prazo de 10 (dez) dias, a contar da notificação da contratada, às suas custas, sem prejuízo da aplicação das penalidades.</w:t>
      </w:r>
    </w:p>
    <w:p>
      <w:pPr>
        <w:pStyle w:val="Nivel2"/>
        <w:numPr>
          <w:ilvl w:val="0"/>
          <w:numId w:val="0"/>
        </w:numPr>
        <w:spacing w:lineRule="auto" w:line="360" w:before="0" w:after="0"/>
        <w:ind w:left="0" w:hanging="0"/>
        <w:rPr>
          <w:sz w:val="22"/>
          <w:szCs w:val="22"/>
          <w:lang w:eastAsia="en-US"/>
        </w:rPr>
      </w:pPr>
      <w:r>
        <w:rPr>
          <w:sz w:val="22"/>
          <w:szCs w:val="22"/>
          <w:lang w:eastAsia="en-US"/>
        </w:rPr>
        <w:t>14.3. O prazo para recebimento definitivo poderá ser excepcionalmente prorrogado, de forma justificada, por igual período, quando houver necessidade de diligências para a aferição do atendimento das exigências contratuais.</w:t>
      </w:r>
    </w:p>
    <w:p>
      <w:pPr>
        <w:pStyle w:val="Nivel2"/>
        <w:numPr>
          <w:ilvl w:val="0"/>
          <w:numId w:val="0"/>
        </w:numPr>
        <w:spacing w:lineRule="auto" w:line="360" w:before="0" w:after="0"/>
        <w:ind w:left="0" w:hanging="0"/>
        <w:rPr>
          <w:sz w:val="22"/>
          <w:szCs w:val="22"/>
          <w:lang w:eastAsia="en-US"/>
        </w:rPr>
      </w:pPr>
      <w:r>
        <w:rPr>
          <w:sz w:val="22"/>
          <w:szCs w:val="22"/>
          <w:lang w:eastAsia="en-US"/>
        </w:rPr>
        <w:t xml:space="preserve">14.4. No caso de controvérsia sobre a execução do objeto, quanto à dimensão, qualidade e quantidade, deverá ser observado o teor do </w:t>
      </w:r>
      <w:r>
        <w:fldChar w:fldCharType="begin"/>
      </w:r>
      <w:r>
        <w:rPr>
          <w:rStyle w:val="LinkdaInternet"/>
          <w:sz w:val="22"/>
          <w:szCs w:val="22"/>
          <w:lang w:eastAsia="en-US"/>
        </w:rPr>
        <w:instrText xml:space="preserve"> HYPERLINK "http://www.planalto.gov.br/ccivil_03/_ato2019-2022/2021/lei/L14133.htm" \l "art143"</w:instrText>
      </w:r>
      <w:r>
        <w:rPr>
          <w:rStyle w:val="LinkdaInternet"/>
          <w:sz w:val="22"/>
          <w:szCs w:val="22"/>
          <w:lang w:eastAsia="en-US"/>
        </w:rPr>
        <w:fldChar w:fldCharType="separate"/>
      </w:r>
      <w:r>
        <w:rPr>
          <w:rStyle w:val="LinkdaInternet"/>
          <w:sz w:val="22"/>
          <w:szCs w:val="22"/>
          <w:lang w:eastAsia="en-US"/>
        </w:rPr>
        <w:t>art. 143 da Lei nº 14.133, de 2021</w:t>
      </w:r>
      <w:r>
        <w:rPr>
          <w:rStyle w:val="LinkdaInternet"/>
          <w:sz w:val="22"/>
          <w:szCs w:val="22"/>
          <w:lang w:eastAsia="en-US"/>
        </w:rPr>
        <w:fldChar w:fldCharType="end"/>
      </w:r>
      <w:r>
        <w:rPr>
          <w:sz w:val="22"/>
          <w:szCs w:val="22"/>
          <w:lang w:eastAsia="en-US"/>
        </w:rPr>
        <w:t>, comunicando-se à empresa para emissão de Nota Fiscal no que pertine à parcela incontroversa da execução do objeto, para efeito de liquidação e pagamento.</w:t>
      </w:r>
    </w:p>
    <w:p>
      <w:pPr>
        <w:pStyle w:val="Nivel2"/>
        <w:numPr>
          <w:ilvl w:val="0"/>
          <w:numId w:val="0"/>
        </w:numPr>
        <w:spacing w:lineRule="auto" w:line="360" w:before="0" w:after="0"/>
        <w:ind w:left="0" w:hanging="0"/>
        <w:rPr>
          <w:sz w:val="22"/>
          <w:szCs w:val="22"/>
          <w:lang w:eastAsia="en-US"/>
        </w:rPr>
      </w:pPr>
      <w:r>
        <w:rPr>
          <w:sz w:val="22"/>
          <w:szCs w:val="22"/>
          <w:lang w:eastAsia="en-US"/>
        </w:rPr>
        <w:t>14.5.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Nivel2"/>
        <w:numPr>
          <w:ilvl w:val="0"/>
          <w:numId w:val="0"/>
        </w:numPr>
        <w:spacing w:lineRule="auto" w:line="360" w:before="0" w:after="0"/>
        <w:ind w:left="0" w:hanging="0"/>
        <w:rPr>
          <w:sz w:val="22"/>
          <w:szCs w:val="22"/>
          <w:lang w:eastAsia="en-US"/>
        </w:rPr>
      </w:pPr>
      <w:r>
        <w:rPr>
          <w:sz w:val="22"/>
          <w:szCs w:val="22"/>
          <w:lang w:eastAsia="en-US"/>
        </w:rPr>
        <w:t>14.6. O recebimento provisório ou definitivo não excluirá a responsabilidade civil pela solidez e pela segurança dos bens nem a responsabilidade ético-profissional pela perfeita execução do contrato.</w:t>
      </w:r>
    </w:p>
    <w:p>
      <w:pPr>
        <w:pStyle w:val="Nivel2"/>
        <w:numPr>
          <w:ilvl w:val="0"/>
          <w:numId w:val="0"/>
        </w:numPr>
        <w:spacing w:lineRule="auto" w:line="360" w:before="0" w:after="0"/>
        <w:ind w:left="0" w:hanging="0"/>
        <w:rPr>
          <w:sz w:val="22"/>
          <w:szCs w:val="22"/>
        </w:rPr>
      </w:pPr>
      <w:r>
        <w:rPr>
          <w:sz w:val="22"/>
          <w:szCs w:val="22"/>
        </w:rPr>
      </w:r>
    </w:p>
    <w:p>
      <w:pPr>
        <w:pStyle w:val="Nvel1SemNumPreto"/>
        <w:spacing w:lineRule="auto" w:line="360" w:before="0" w:after="0"/>
        <w:ind w:left="0" w:hanging="0"/>
        <w:rPr>
          <w:i/>
          <w:i/>
          <w:iCs/>
          <w:sz w:val="22"/>
          <w:szCs w:val="22"/>
          <w:lang w:eastAsia="en-US"/>
        </w:rPr>
      </w:pPr>
      <w:r>
        <w:rPr>
          <w:sz w:val="22"/>
          <w:szCs w:val="22"/>
        </w:rPr>
        <w:t>15. LIQUIDAÇÃO</w:t>
      </w:r>
    </w:p>
    <w:p>
      <w:pPr>
        <w:pStyle w:val="Nivel2"/>
        <w:numPr>
          <w:ilvl w:val="0"/>
          <w:numId w:val="0"/>
        </w:numPr>
        <w:spacing w:lineRule="auto" w:line="360" w:before="0" w:after="0"/>
        <w:ind w:left="0" w:hanging="0"/>
        <w:rPr>
          <w:sz w:val="22"/>
          <w:szCs w:val="22"/>
          <w:lang w:eastAsia="en-US"/>
        </w:rPr>
      </w:pPr>
      <w:r>
        <w:rPr>
          <w:sz w:val="22"/>
          <w:szCs w:val="22"/>
          <w:lang w:eastAsia="en-US"/>
        </w:rPr>
        <w:t xml:space="preserve">15.1. Recebida a Nota Fiscal ou documento de cobrança equivalente, correrá o prazo de dez dias úteis para fins de liquidação, na forma desta seção, prorrogáveis por igual período, </w:t>
      </w:r>
    </w:p>
    <w:p>
      <w:pPr>
        <w:pStyle w:val="Nivel2"/>
        <w:numPr>
          <w:ilvl w:val="0"/>
          <w:numId w:val="0"/>
        </w:numPr>
        <w:spacing w:lineRule="auto" w:line="360" w:before="0" w:after="0"/>
        <w:ind w:left="0" w:hanging="0"/>
        <w:rPr>
          <w:rFonts w:eastAsia="Arial"/>
          <w:sz w:val="22"/>
          <w:szCs w:val="22"/>
          <w:lang w:eastAsia="en-US"/>
        </w:rPr>
      </w:pPr>
      <w:r>
        <w:rPr>
          <w:sz w:val="22"/>
          <w:szCs w:val="22"/>
          <w:lang w:eastAsia="en-US"/>
        </w:rPr>
        <w:t xml:space="preserve">15.2. Para fins de liquidação, o setor competente deverá verificar se a nota fiscal ou instrumento de cobrança equivalente apresentado expressa os elementos necessários e essenciais do documento, tais como: </w:t>
      </w:r>
    </w:p>
    <w:p>
      <w:pPr>
        <w:pStyle w:val="Nivel3"/>
        <w:spacing w:lineRule="auto" w:line="360" w:before="0" w:after="0"/>
        <w:ind w:left="0" w:hanging="0"/>
        <w:jc w:val="left"/>
        <w:rPr>
          <w:sz w:val="22"/>
          <w:szCs w:val="22"/>
          <w:lang w:eastAsia="en-US"/>
        </w:rPr>
      </w:pPr>
      <w:r>
        <w:rPr>
          <w:rFonts w:eastAsia="Arial"/>
          <w:sz w:val="22"/>
          <w:szCs w:val="22"/>
          <w:lang w:eastAsia="en-US"/>
        </w:rPr>
        <w:t xml:space="preserve">15.2.1. </w:t>
      </w:r>
      <w:r>
        <w:rPr>
          <w:sz w:val="22"/>
          <w:szCs w:val="22"/>
          <w:lang w:eastAsia="en-US"/>
        </w:rPr>
        <w:t>o prazo de validade;</w:t>
      </w:r>
    </w:p>
    <w:p>
      <w:pPr>
        <w:pStyle w:val="Nivel3"/>
        <w:spacing w:lineRule="auto" w:line="360" w:before="0" w:after="0"/>
        <w:ind w:left="0" w:hanging="0"/>
        <w:jc w:val="left"/>
        <w:rPr>
          <w:rFonts w:eastAsia="Arial"/>
          <w:sz w:val="22"/>
          <w:szCs w:val="22"/>
          <w:lang w:eastAsia="en-US"/>
        </w:rPr>
      </w:pPr>
      <w:r>
        <w:rPr>
          <w:sz w:val="22"/>
          <w:szCs w:val="22"/>
          <w:lang w:eastAsia="en-US"/>
        </w:rPr>
        <w:t xml:space="preserve">15.2.3. a data da emissão; </w:t>
      </w:r>
    </w:p>
    <w:p>
      <w:pPr>
        <w:pStyle w:val="Nivel3"/>
        <w:spacing w:lineRule="auto" w:line="360" w:before="0" w:after="0"/>
        <w:ind w:left="0" w:hanging="0"/>
        <w:jc w:val="left"/>
        <w:rPr>
          <w:rFonts w:eastAsia="Arial"/>
          <w:sz w:val="22"/>
          <w:szCs w:val="22"/>
          <w:lang w:eastAsia="en-US"/>
        </w:rPr>
      </w:pPr>
      <w:r>
        <w:rPr>
          <w:rFonts w:eastAsia="Arial"/>
          <w:sz w:val="22"/>
          <w:szCs w:val="22"/>
          <w:lang w:eastAsia="en-US"/>
        </w:rPr>
        <w:t xml:space="preserve">15.2.4. </w:t>
      </w:r>
      <w:r>
        <w:rPr>
          <w:sz w:val="22"/>
          <w:szCs w:val="22"/>
          <w:lang w:eastAsia="en-US"/>
        </w:rPr>
        <w:t xml:space="preserve">os dados do contrato e do órgão contratante; </w:t>
      </w:r>
    </w:p>
    <w:p>
      <w:pPr>
        <w:pStyle w:val="Nivel3"/>
        <w:spacing w:lineRule="auto" w:line="360" w:before="0" w:after="0"/>
        <w:ind w:left="0" w:hanging="0"/>
        <w:jc w:val="left"/>
        <w:rPr>
          <w:rFonts w:eastAsia="Arial"/>
          <w:sz w:val="22"/>
          <w:szCs w:val="22"/>
          <w:lang w:eastAsia="en-US"/>
        </w:rPr>
      </w:pPr>
      <w:r>
        <w:rPr>
          <w:rFonts w:eastAsia="Arial"/>
          <w:sz w:val="22"/>
          <w:szCs w:val="22"/>
          <w:lang w:eastAsia="en-US"/>
        </w:rPr>
        <w:t xml:space="preserve">15.2.5. </w:t>
      </w:r>
      <w:r>
        <w:rPr>
          <w:sz w:val="22"/>
          <w:szCs w:val="22"/>
          <w:lang w:eastAsia="en-US"/>
        </w:rPr>
        <w:t xml:space="preserve">o período respectivo de execução do contrato; </w:t>
      </w:r>
    </w:p>
    <w:p>
      <w:pPr>
        <w:pStyle w:val="Nivel3"/>
        <w:spacing w:lineRule="auto" w:line="360" w:before="0" w:after="0"/>
        <w:ind w:left="0" w:hanging="0"/>
        <w:jc w:val="left"/>
        <w:rPr>
          <w:rFonts w:eastAsia="Arial"/>
          <w:sz w:val="22"/>
          <w:szCs w:val="22"/>
          <w:lang w:eastAsia="en-US"/>
        </w:rPr>
      </w:pPr>
      <w:r>
        <w:rPr>
          <w:rFonts w:eastAsia="Arial"/>
          <w:sz w:val="22"/>
          <w:szCs w:val="22"/>
          <w:lang w:eastAsia="en-US"/>
        </w:rPr>
        <w:t xml:space="preserve">15.2.6. </w:t>
      </w:r>
      <w:r>
        <w:rPr>
          <w:sz w:val="22"/>
          <w:szCs w:val="22"/>
          <w:lang w:eastAsia="en-US"/>
        </w:rPr>
        <w:t xml:space="preserve">o valor a pagar; e </w:t>
      </w:r>
    </w:p>
    <w:p>
      <w:pPr>
        <w:pStyle w:val="Nivel3"/>
        <w:spacing w:lineRule="auto" w:line="360" w:before="0" w:after="0"/>
        <w:ind w:left="0" w:hanging="0"/>
        <w:rPr>
          <w:rFonts w:eastAsia="Arial"/>
          <w:sz w:val="22"/>
          <w:szCs w:val="22"/>
          <w:lang w:eastAsia="en-US"/>
        </w:rPr>
      </w:pPr>
      <w:r>
        <w:rPr>
          <w:rFonts w:eastAsia="Arial"/>
          <w:sz w:val="22"/>
          <w:szCs w:val="22"/>
          <w:lang w:eastAsia="en-US"/>
        </w:rPr>
        <w:t xml:space="preserve">15.3.7. </w:t>
      </w:r>
      <w:r>
        <w:rPr>
          <w:sz w:val="22"/>
          <w:szCs w:val="22"/>
          <w:lang w:eastAsia="en-US"/>
        </w:rPr>
        <w:t>eventual destaque do valor de retenções tributárias cabíveis.</w:t>
      </w:r>
    </w:p>
    <w:p>
      <w:pPr>
        <w:pStyle w:val="Nivel2"/>
        <w:numPr>
          <w:ilvl w:val="0"/>
          <w:numId w:val="0"/>
        </w:numPr>
        <w:spacing w:lineRule="auto" w:line="360" w:before="0" w:after="0"/>
        <w:ind w:left="0" w:hanging="0"/>
        <w:rPr>
          <w:sz w:val="22"/>
          <w:szCs w:val="22"/>
          <w:lang w:eastAsia="en-US"/>
        </w:rPr>
      </w:pPr>
      <w:r>
        <w:rPr>
          <w:rFonts w:eastAsia="Arial"/>
          <w:sz w:val="22"/>
          <w:szCs w:val="22"/>
          <w:lang w:eastAsia="en-US"/>
        </w:rPr>
        <w:t xml:space="preserve">15.3. </w:t>
      </w:r>
      <w:r>
        <w:rPr>
          <w:rFonts w:eastAsia="Calibri"/>
          <w:sz w:val="22"/>
          <w:szCs w:val="22"/>
          <w:lang w:eastAsia="en-US"/>
        </w:rPr>
        <w:t xml:space="preserve">Havendo erro na apresentação da nota fiscal ou instrumento de cobrança equivalente, ou circunstância que impeça a </w:t>
      </w:r>
      <w:r>
        <w:rPr>
          <w:sz w:val="22"/>
          <w:szCs w:val="22"/>
          <w:lang w:eastAsia="en-US"/>
        </w:rPr>
        <w:t>liquidação da despesa, esta ficará sobrestada até que o contratado providencie as medidas saneadoras, reiniciando-se o prazo após a comprovação da regularização da situação, sem ônus ao contratante;</w:t>
      </w:r>
    </w:p>
    <w:p>
      <w:pPr>
        <w:pStyle w:val="Nivel2"/>
        <w:numPr>
          <w:ilvl w:val="0"/>
          <w:numId w:val="0"/>
        </w:numPr>
        <w:spacing w:lineRule="auto" w:line="360" w:before="0" w:after="0"/>
        <w:ind w:left="0" w:hanging="0"/>
        <w:rPr>
          <w:sz w:val="22"/>
          <w:szCs w:val="22"/>
        </w:rPr>
      </w:pPr>
      <w:r>
        <w:rPr>
          <w:sz w:val="22"/>
          <w:szCs w:val="22"/>
          <w:lang w:eastAsia="en-US"/>
        </w:rPr>
        <w:t>15.4</w:t>
      </w:r>
      <w:r>
        <w:rPr>
          <w:b/>
          <w:bCs/>
          <w:i/>
          <w:iCs/>
          <w:sz w:val="22"/>
          <w:szCs w:val="22"/>
          <w:lang w:eastAsia="en-US"/>
        </w:rPr>
        <w:t xml:space="preserve">. </w:t>
      </w:r>
      <w:r>
        <w:rPr>
          <w:sz w:val="22"/>
          <w:szCs w:val="22"/>
          <w:lang w:eastAsia="en-US"/>
        </w:rPr>
        <w:t xml:space="preserve">A nota fiscal ou instrumento de cobrança equivalente deverá ser obrigatoriamente acompanhado da comprovação da regularidade fiscal, mediante consulta aos sítios eletrônicos oficiais ou à documentação mencionada no </w:t>
      </w:r>
      <w:r>
        <w:fldChar w:fldCharType="begin"/>
      </w:r>
      <w:r>
        <w:rPr>
          <w:rStyle w:val="LinkdaInternet"/>
          <w:sz w:val="22"/>
          <w:szCs w:val="22"/>
          <w:lang w:eastAsia="en-US"/>
        </w:rPr>
        <w:instrText xml:space="preserve"> HYPERLINK "http://www.planalto.gov.br/ccivil_03/_ato2019-2022/2021/lei/L14133.htm" \l "art68"</w:instrText>
      </w:r>
      <w:r>
        <w:rPr>
          <w:rStyle w:val="LinkdaInternet"/>
          <w:sz w:val="22"/>
          <w:szCs w:val="22"/>
          <w:lang w:eastAsia="en-US"/>
        </w:rPr>
        <w:fldChar w:fldCharType="separate"/>
      </w:r>
      <w:r>
        <w:rPr>
          <w:rStyle w:val="LinkdaInternet"/>
          <w:sz w:val="22"/>
          <w:szCs w:val="22"/>
          <w:lang w:eastAsia="en-US"/>
        </w:rPr>
        <w:t>art. 68 da Lei nº 14.133, de 2021.</w:t>
      </w:r>
      <w:r>
        <w:rPr>
          <w:rStyle w:val="LinkdaInternet"/>
          <w:sz w:val="22"/>
          <w:szCs w:val="22"/>
          <w:lang w:eastAsia="en-US"/>
        </w:rPr>
        <w:fldChar w:fldCharType="end"/>
      </w:r>
    </w:p>
    <w:p>
      <w:pPr>
        <w:pStyle w:val="Nivel01"/>
        <w:spacing w:lineRule="auto" w:line="360" w:before="0" w:after="0"/>
        <w:ind w:left="0" w:hanging="0"/>
        <w:rPr>
          <w:rStyle w:val="Fontepargpadro1"/>
          <w:sz w:val="22"/>
          <w:szCs w:val="22"/>
        </w:rPr>
      </w:pPr>
      <w:r>
        <w:rPr>
          <w:sz w:val="22"/>
          <w:szCs w:val="22"/>
        </w:rPr>
      </w:r>
    </w:p>
    <w:p>
      <w:pPr>
        <w:pStyle w:val="Normal"/>
        <w:spacing w:lineRule="auto" w:line="360"/>
        <w:jc w:val="both"/>
        <w:rPr>
          <w:rStyle w:val="Fontepargpadro1"/>
          <w:rFonts w:ascii="Arial" w:hAnsi="Arial" w:eastAsia="Arial" w:cs="Arial"/>
          <w:b/>
          <w:b/>
          <w:bCs/>
          <w:sz w:val="22"/>
          <w:szCs w:val="22"/>
        </w:rPr>
      </w:pPr>
      <w:r>
        <w:rPr>
          <w:rStyle w:val="Fontepargpadro1"/>
          <w:rFonts w:cs="Arial" w:ascii="Arial" w:hAnsi="Arial"/>
          <w:b/>
          <w:sz w:val="22"/>
          <w:szCs w:val="22"/>
        </w:rPr>
        <w:t>16. SANÇÕES</w:t>
      </w:r>
    </w:p>
    <w:p>
      <w:pPr>
        <w:pStyle w:val="Nivel2"/>
        <w:numPr>
          <w:ilvl w:val="0"/>
          <w:numId w:val="0"/>
        </w:numPr>
        <w:spacing w:lineRule="auto" w:line="360" w:before="0" w:after="0"/>
        <w:ind w:left="0" w:hanging="0"/>
        <w:rPr>
          <w:rStyle w:val="Fontepargpadro1"/>
          <w:rFonts w:eastAsia="Arial"/>
          <w:sz w:val="22"/>
          <w:szCs w:val="22"/>
        </w:rPr>
      </w:pPr>
      <w:r>
        <w:rPr>
          <w:rStyle w:val="Fontepargpadro1"/>
          <w:rFonts w:eastAsia="Arial"/>
          <w:sz w:val="22"/>
          <w:szCs w:val="22"/>
        </w:rPr>
        <w:t xml:space="preserve"> </w:t>
      </w:r>
      <w:r>
        <w:rPr>
          <w:rStyle w:val="Fontepargpadro1"/>
          <w:rFonts w:eastAsia="Arial"/>
          <w:sz w:val="22"/>
          <w:szCs w:val="22"/>
        </w:rPr>
        <w:t>16. 1</w:t>
      </w:r>
      <w:r>
        <w:rPr>
          <w:rStyle w:val="Fontepargpadro1"/>
          <w:sz w:val="22"/>
          <w:szCs w:val="22"/>
        </w:rPr>
        <w:t xml:space="preserve"> – Comete infração administrativa, nos termos da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Lei nº 14.133, de 2021</w:t>
      </w:r>
      <w:r>
        <w:rPr>
          <w:rStyle w:val="LinkdaInternet"/>
          <w:sz w:val="22"/>
          <w:szCs w:val="22"/>
        </w:rPr>
        <w:fldChar w:fldCharType="end"/>
      </w:r>
      <w:r>
        <w:rPr>
          <w:rStyle w:val="Fontepargpadro1"/>
          <w:sz w:val="22"/>
          <w:szCs w:val="22"/>
        </w:rPr>
        <w:t>, o contratado que:</w:t>
      </w:r>
    </w:p>
    <w:p>
      <w:pPr>
        <w:pStyle w:val="LONormal"/>
        <w:tabs>
          <w:tab w:val="clear" w:pos="709"/>
          <w:tab w:val="left" w:pos="-851" w:leader="none"/>
        </w:tabs>
        <w:spacing w:lineRule="auto" w:line="360"/>
        <w:jc w:val="both"/>
        <w:rPr>
          <w:rStyle w:val="Fontepargpadro1"/>
          <w:rFonts w:ascii="Arial" w:hAnsi="Arial" w:eastAsia="Arial"/>
          <w:sz w:val="22"/>
          <w:szCs w:val="22"/>
        </w:rPr>
      </w:pPr>
      <w:r>
        <w:rPr>
          <w:rStyle w:val="Fontepargpadro1"/>
          <w:rFonts w:eastAsia="Arial" w:ascii="Arial" w:hAnsi="Arial"/>
          <w:sz w:val="22"/>
          <w:szCs w:val="22"/>
        </w:rPr>
        <w:t>a) Der causa à inexecução parcial do contrato;</w:t>
      </w:r>
    </w:p>
    <w:p>
      <w:pPr>
        <w:pStyle w:val="LONormal"/>
        <w:tabs>
          <w:tab w:val="clear" w:pos="709"/>
          <w:tab w:val="left" w:pos="-851" w:leader="none"/>
        </w:tabs>
        <w:spacing w:lineRule="auto" w:line="360"/>
        <w:jc w:val="both"/>
        <w:rPr>
          <w:rStyle w:val="Fontepargpadro1"/>
          <w:rFonts w:ascii="Arial" w:hAnsi="Arial" w:eastAsia="Arial"/>
          <w:sz w:val="22"/>
          <w:szCs w:val="22"/>
        </w:rPr>
      </w:pPr>
      <w:r>
        <w:rPr>
          <w:rStyle w:val="Fontepargpadro1"/>
          <w:rFonts w:eastAsia="Arial" w:ascii="Arial" w:hAnsi="Arial"/>
          <w:sz w:val="22"/>
          <w:szCs w:val="22"/>
        </w:rPr>
        <w:t>b) Der causa à inexecução parcial do contrato que cause grave dano à Administração ou ao funcionamento dos serviços públicos ou ao interesse coletivo;</w:t>
      </w:r>
    </w:p>
    <w:p>
      <w:pPr>
        <w:pStyle w:val="LONormal"/>
        <w:tabs>
          <w:tab w:val="clear" w:pos="709"/>
          <w:tab w:val="left" w:pos="-851" w:leader="none"/>
        </w:tabs>
        <w:spacing w:lineRule="auto" w:line="360"/>
        <w:jc w:val="both"/>
        <w:rPr>
          <w:rStyle w:val="Fontepargpadro1"/>
          <w:rFonts w:ascii="Arial" w:hAnsi="Arial" w:eastAsia="Arial"/>
          <w:sz w:val="22"/>
          <w:szCs w:val="22"/>
        </w:rPr>
      </w:pPr>
      <w:r>
        <w:rPr>
          <w:rStyle w:val="Fontepargpadro1"/>
          <w:rFonts w:eastAsia="Arial" w:ascii="Arial" w:hAnsi="Arial"/>
          <w:sz w:val="22"/>
          <w:szCs w:val="22"/>
        </w:rPr>
        <w:t>c) Der causa à inexecução total do contrato;</w:t>
      </w:r>
    </w:p>
    <w:p>
      <w:pPr>
        <w:pStyle w:val="LONormal"/>
        <w:tabs>
          <w:tab w:val="clear" w:pos="709"/>
          <w:tab w:val="left" w:pos="-851" w:leader="none"/>
        </w:tabs>
        <w:spacing w:lineRule="auto" w:line="360"/>
        <w:jc w:val="both"/>
        <w:rPr>
          <w:rStyle w:val="Fontepargpadro1"/>
          <w:rFonts w:ascii="Arial" w:hAnsi="Arial" w:eastAsia="Arial"/>
          <w:sz w:val="22"/>
          <w:szCs w:val="22"/>
        </w:rPr>
      </w:pPr>
      <w:r>
        <w:rPr>
          <w:rStyle w:val="Fontepargpadro1"/>
          <w:rFonts w:eastAsia="Arial" w:ascii="Arial" w:hAnsi="Arial"/>
          <w:sz w:val="22"/>
          <w:szCs w:val="22"/>
        </w:rPr>
        <w:t>d) Ensejar o retardamento da execução ou da entrega do objeto da contratação sem motivo justificado;</w:t>
      </w:r>
    </w:p>
    <w:p>
      <w:pPr>
        <w:pStyle w:val="LONormal"/>
        <w:tabs>
          <w:tab w:val="clear" w:pos="709"/>
          <w:tab w:val="left" w:pos="-851" w:leader="none"/>
        </w:tabs>
        <w:spacing w:lineRule="auto" w:line="360"/>
        <w:jc w:val="both"/>
        <w:rPr>
          <w:rStyle w:val="Fontepargpadro1"/>
          <w:rFonts w:ascii="Arial" w:hAnsi="Arial" w:eastAsia="Arial"/>
          <w:sz w:val="22"/>
          <w:szCs w:val="22"/>
        </w:rPr>
      </w:pPr>
      <w:r>
        <w:rPr>
          <w:rStyle w:val="Fontepargpadro1"/>
          <w:rFonts w:eastAsia="Arial" w:ascii="Arial" w:hAnsi="Arial"/>
          <w:sz w:val="22"/>
          <w:szCs w:val="22"/>
        </w:rPr>
        <w:t>e) Apresentar documentação falsa ou prestar declaração falsa durante a execução do contrato;</w:t>
      </w:r>
    </w:p>
    <w:p>
      <w:pPr>
        <w:pStyle w:val="LONormal"/>
        <w:tabs>
          <w:tab w:val="clear" w:pos="709"/>
          <w:tab w:val="left" w:pos="-851" w:leader="none"/>
        </w:tabs>
        <w:spacing w:lineRule="auto" w:line="360"/>
        <w:jc w:val="both"/>
        <w:rPr>
          <w:rStyle w:val="Fontepargpadro1"/>
          <w:rFonts w:ascii="Arial" w:hAnsi="Arial" w:eastAsia="Arial"/>
          <w:sz w:val="22"/>
          <w:szCs w:val="22"/>
        </w:rPr>
      </w:pPr>
      <w:r>
        <w:rPr>
          <w:rStyle w:val="Fontepargpadro1"/>
          <w:rFonts w:eastAsia="Arial" w:ascii="Arial" w:hAnsi="Arial"/>
          <w:sz w:val="22"/>
          <w:szCs w:val="22"/>
        </w:rPr>
        <w:t>f) Praticar ato fraudulento na execução do contrato;</w:t>
      </w:r>
    </w:p>
    <w:p>
      <w:pPr>
        <w:pStyle w:val="LONormal"/>
        <w:tabs>
          <w:tab w:val="clear" w:pos="709"/>
          <w:tab w:val="left" w:pos="-851" w:leader="none"/>
        </w:tabs>
        <w:spacing w:lineRule="auto" w:line="360"/>
        <w:jc w:val="both"/>
        <w:rPr>
          <w:rStyle w:val="Fontepargpadro1"/>
          <w:rFonts w:ascii="Arial" w:hAnsi="Arial" w:eastAsia="Arial"/>
          <w:sz w:val="22"/>
          <w:szCs w:val="22"/>
        </w:rPr>
      </w:pPr>
      <w:r>
        <w:rPr>
          <w:rStyle w:val="Fontepargpadro1"/>
          <w:rFonts w:eastAsia="Arial" w:ascii="Arial" w:hAnsi="Arial"/>
          <w:sz w:val="22"/>
          <w:szCs w:val="22"/>
        </w:rPr>
        <w:t>g) comportar-se de modo inidôneo ou cometer fraude de qualquer natureza;</w:t>
      </w:r>
    </w:p>
    <w:p>
      <w:pPr>
        <w:pStyle w:val="LONormal"/>
        <w:tabs>
          <w:tab w:val="clear" w:pos="709"/>
          <w:tab w:val="left" w:pos="-851" w:leader="none"/>
        </w:tabs>
        <w:spacing w:lineRule="auto" w:line="360"/>
        <w:jc w:val="both"/>
        <w:rPr>
          <w:rFonts w:ascii="Arial" w:hAnsi="Arial"/>
          <w:sz w:val="22"/>
          <w:szCs w:val="22"/>
        </w:rPr>
      </w:pPr>
      <w:r>
        <w:rPr>
          <w:rStyle w:val="Fontepargpadro1"/>
          <w:rFonts w:eastAsia="Arial" w:ascii="Arial" w:hAnsi="Arial"/>
          <w:sz w:val="22"/>
          <w:szCs w:val="22"/>
        </w:rPr>
        <w:t xml:space="preserve">h) praticar ato lesivo previsto no </w:t>
      </w:r>
      <w:r>
        <w:fldChar w:fldCharType="begin"/>
      </w:r>
      <w:r>
        <w:rPr>
          <w:rStyle w:val="LinkdaInternet"/>
          <w:sz w:val="22"/>
          <w:szCs w:val="22"/>
          <w:rFonts w:eastAsia="Arial" w:ascii="Arial" w:hAnsi="Arial"/>
        </w:rPr>
        <w:instrText xml:space="preserve"> HYPERLINK "https://www.planalto.gov.br/ccivil_03/_ato2011-2014/2013/lei/l12846.htm" \l "_blank"</w:instrText>
      </w:r>
      <w:r>
        <w:rPr>
          <w:rStyle w:val="LinkdaInternet"/>
          <w:sz w:val="22"/>
          <w:szCs w:val="22"/>
          <w:rFonts w:eastAsia="Arial" w:ascii="Arial" w:hAnsi="Arial"/>
        </w:rPr>
        <w:fldChar w:fldCharType="separate"/>
      </w:r>
      <w:r>
        <w:rPr>
          <w:rStyle w:val="LinkdaInternet"/>
          <w:rFonts w:eastAsia="Arial" w:ascii="Arial" w:hAnsi="Arial"/>
          <w:sz w:val="22"/>
          <w:szCs w:val="22"/>
        </w:rPr>
        <w:t>art. 5º da Lei nº 12.846, de 1º de agosto de 2013</w:t>
      </w:r>
      <w:r>
        <w:rPr>
          <w:rStyle w:val="LinkdaInternet"/>
          <w:sz w:val="22"/>
          <w:szCs w:val="22"/>
          <w:rFonts w:eastAsia="Arial" w:ascii="Arial" w:hAnsi="Arial"/>
        </w:rPr>
        <w:fldChar w:fldCharType="end"/>
      </w:r>
      <w:r>
        <w:rPr>
          <w:rStyle w:val="Fontepargpadro1"/>
          <w:rFonts w:eastAsia="Arial" w:ascii="Arial" w:hAnsi="Arial"/>
          <w:sz w:val="22"/>
          <w:szCs w:val="22"/>
        </w:rPr>
        <w:t>.</w:t>
      </w:r>
    </w:p>
    <w:p>
      <w:pPr>
        <w:pStyle w:val="Nivel2"/>
        <w:numPr>
          <w:ilvl w:val="0"/>
          <w:numId w:val="0"/>
        </w:numPr>
        <w:spacing w:lineRule="auto" w:line="360" w:before="0" w:after="0"/>
        <w:ind w:left="0" w:hanging="0"/>
        <w:rPr>
          <w:sz w:val="22"/>
          <w:szCs w:val="22"/>
        </w:rPr>
      </w:pPr>
      <w:r>
        <w:rPr>
          <w:sz w:val="22"/>
          <w:szCs w:val="22"/>
        </w:rPr>
        <w:t>Serão aplicadas ao contratado que incorrer nas infrações acima descritas as seguintes sanções:</w:t>
      </w:r>
    </w:p>
    <w:p>
      <w:pPr>
        <w:pStyle w:val="ListParagraph"/>
        <w:numPr>
          <w:ilvl w:val="0"/>
          <w:numId w:val="15"/>
        </w:numPr>
        <w:tabs>
          <w:tab w:val="clear" w:pos="709"/>
          <w:tab w:val="left" w:pos="1276" w:leader="none"/>
        </w:tabs>
        <w:spacing w:lineRule="auto" w:line="360" w:before="0" w:after="0"/>
        <w:ind w:left="0" w:hanging="0"/>
        <w:jc w:val="both"/>
        <w:textAlignment w:val="baseline"/>
        <w:rPr>
          <w:rStyle w:val="Fontepargpadro1"/>
          <w:rFonts w:ascii="Arial" w:hAnsi="Arial" w:eastAsia="Arial" w:cs="Arial"/>
          <w:b/>
          <w:b/>
          <w:bCs/>
        </w:rPr>
      </w:pPr>
      <w:r>
        <w:rPr>
          <w:rStyle w:val="Fontepargpadro1"/>
          <w:rFonts w:eastAsia="Arial" w:cs="Arial" w:ascii="Arial" w:hAnsi="Arial"/>
          <w:b/>
          <w:bCs/>
        </w:rPr>
        <w:t>Advertência</w:t>
      </w:r>
      <w:r>
        <w:rPr>
          <w:rStyle w:val="Fontepargpadro1"/>
          <w:rFonts w:eastAsia="Arial" w:cs="Arial" w:ascii="Arial" w:hAnsi="Arial"/>
        </w:rPr>
        <w:t>, quando o contratado der causa à inexecução parcial do contrato, sempre que não se justificar a imposição de penalidade mais grave (</w:t>
      </w:r>
      <w:r>
        <w:fldChar w:fldCharType="begin"/>
      </w:r>
      <w:r>
        <w:rPr>
          <w:rStyle w:val="LinkdaInternet"/>
          <w:rFonts w:eastAsia="Arial" w:cs="Arial" w:ascii="Arial" w:hAnsi="Arial"/>
        </w:rPr>
        <w:instrText xml:space="preserve"> HYPERLINK "http://www.planalto.gov.br/ccivil_03/_ato2019-2022/2021/lei/L14133.htm" \l "_blank"</w:instrText>
      </w:r>
      <w:r>
        <w:rPr>
          <w:rStyle w:val="LinkdaInternet"/>
          <w:rFonts w:eastAsia="Arial" w:cs="Arial" w:ascii="Arial" w:hAnsi="Arial"/>
        </w:rPr>
        <w:fldChar w:fldCharType="separate"/>
      </w:r>
      <w:r>
        <w:rPr>
          <w:rStyle w:val="LinkdaInternet"/>
          <w:rFonts w:eastAsia="Arial" w:cs="Arial" w:ascii="Arial" w:hAnsi="Arial"/>
        </w:rPr>
        <w:t xml:space="preserve">art. 156, §2º, da </w:t>
      </w:r>
      <w:r>
        <w:rPr>
          <w:rStyle w:val="LinkdaInternet"/>
          <w:rFonts w:eastAsia="Arial" w:cs="Arial" w:ascii="Arial" w:hAnsi="Arial"/>
        </w:rPr>
        <w:fldChar w:fldCharType="end"/>
      </w:r>
      <w:bookmarkStart w:id="38" w:name="_Hlk114504069"/>
      <w:r>
        <w:rPr>
          <w:rStyle w:val="Hyperlink1"/>
          <w:rFonts w:eastAsia="Arial" w:cs="Arial" w:ascii="Arial" w:hAnsi="Arial"/>
        </w:rPr>
        <w:t>Lei nº 14.133, de 2021</w:t>
      </w:r>
      <w:bookmarkEnd w:id="38"/>
      <w:r>
        <w:rPr>
          <w:rStyle w:val="Fontepargpadro1"/>
          <w:rFonts w:eastAsia="Arial" w:cs="Arial" w:ascii="Arial" w:hAnsi="Arial"/>
        </w:rPr>
        <w:t>);</w:t>
      </w:r>
    </w:p>
    <w:p>
      <w:pPr>
        <w:pStyle w:val="ListParagraph"/>
        <w:numPr>
          <w:ilvl w:val="0"/>
          <w:numId w:val="15"/>
        </w:numPr>
        <w:tabs>
          <w:tab w:val="clear" w:pos="709"/>
          <w:tab w:val="left" w:pos="1276" w:leader="none"/>
        </w:tabs>
        <w:spacing w:lineRule="auto" w:line="360" w:before="0" w:after="0"/>
        <w:ind w:left="0" w:hanging="0"/>
        <w:jc w:val="both"/>
        <w:textAlignment w:val="baseline"/>
        <w:rPr>
          <w:rStyle w:val="Fontepargpadro1"/>
          <w:rFonts w:ascii="Arial" w:hAnsi="Arial" w:eastAsia="Arial" w:cs="Arial"/>
          <w:b/>
          <w:b/>
          <w:bCs/>
        </w:rPr>
      </w:pPr>
      <w:r>
        <w:rPr>
          <w:rStyle w:val="Fontepargpadro1"/>
          <w:rFonts w:eastAsia="Arial" w:cs="Arial" w:ascii="Arial" w:hAnsi="Arial"/>
          <w:b/>
          <w:bCs/>
        </w:rPr>
        <w:t>Impedimento de licitar e contratar</w:t>
      </w:r>
      <w:r>
        <w:rPr>
          <w:rStyle w:val="Fontepargpadro1"/>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LinkdaInternet"/>
          <w:rFonts w:eastAsia="Arial" w:cs="Arial" w:ascii="Arial" w:hAnsi="Arial"/>
        </w:rPr>
        <w:instrText xml:space="preserve"> HYPERLINK "http://www.planalto.gov.br/ccivil_03/_ato2019-2022/2021/lei/L14133.htm" \l "_blank"</w:instrText>
      </w:r>
      <w:r>
        <w:rPr>
          <w:rStyle w:val="LinkdaInternet"/>
          <w:rFonts w:eastAsia="Arial" w:cs="Arial" w:ascii="Arial" w:hAnsi="Arial"/>
        </w:rPr>
        <w:fldChar w:fldCharType="separate"/>
      </w:r>
      <w:r>
        <w:rPr>
          <w:rStyle w:val="LinkdaInternet"/>
          <w:rFonts w:eastAsia="Arial" w:cs="Arial" w:ascii="Arial" w:hAnsi="Arial"/>
        </w:rPr>
        <w:t>art. 156, § 4º, da Lei nº 14.133, de 2021</w:t>
      </w:r>
      <w:r>
        <w:rPr>
          <w:rStyle w:val="LinkdaInternet"/>
          <w:rFonts w:eastAsia="Arial" w:cs="Arial" w:ascii="Arial" w:hAnsi="Arial"/>
        </w:rPr>
        <w:fldChar w:fldCharType="end"/>
      </w:r>
      <w:r>
        <w:rPr>
          <w:rStyle w:val="Fontepargpadro1"/>
          <w:rFonts w:eastAsia="Arial" w:cs="Arial" w:ascii="Arial" w:hAnsi="Arial"/>
        </w:rPr>
        <w:t>);</w:t>
      </w:r>
    </w:p>
    <w:p>
      <w:pPr>
        <w:pStyle w:val="ListParagraph"/>
        <w:numPr>
          <w:ilvl w:val="0"/>
          <w:numId w:val="15"/>
        </w:numPr>
        <w:tabs>
          <w:tab w:val="clear" w:pos="709"/>
          <w:tab w:val="left" w:pos="1276" w:leader="none"/>
        </w:tabs>
        <w:spacing w:lineRule="auto" w:line="360" w:before="0" w:after="0"/>
        <w:ind w:left="0" w:hanging="0"/>
        <w:jc w:val="both"/>
        <w:textAlignment w:val="baseline"/>
        <w:rPr>
          <w:rStyle w:val="Fontepargpadro1"/>
          <w:rFonts w:ascii="Arial" w:hAnsi="Arial" w:eastAsia="Arial" w:cs="Arial"/>
          <w:b/>
          <w:b/>
          <w:bCs/>
        </w:rPr>
      </w:pPr>
      <w:r>
        <w:rPr>
          <w:rStyle w:val="Fontepargpadro1"/>
          <w:rFonts w:eastAsia="Arial" w:cs="Arial" w:ascii="Arial" w:hAnsi="Arial"/>
          <w:b/>
          <w:bCs/>
        </w:rPr>
        <w:t>Declaração de inidoneidade para licitar e contratar</w:t>
      </w:r>
      <w:r>
        <w:rPr>
          <w:rStyle w:val="Fontepargpadro1"/>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LinkdaInternet"/>
          <w:rFonts w:eastAsia="Arial" w:cs="Arial" w:ascii="Arial" w:hAnsi="Arial"/>
        </w:rPr>
        <w:instrText xml:space="preserve"> HYPERLINK "http://www.planalto.gov.br/ccivil_03/_ato2019-2022/2021/lei/L14133.htm" \l "_blank"</w:instrText>
      </w:r>
      <w:r>
        <w:rPr>
          <w:rStyle w:val="LinkdaInternet"/>
          <w:rFonts w:eastAsia="Arial" w:cs="Arial" w:ascii="Arial" w:hAnsi="Arial"/>
        </w:rPr>
        <w:fldChar w:fldCharType="separate"/>
      </w:r>
      <w:r>
        <w:rPr>
          <w:rStyle w:val="LinkdaInternet"/>
          <w:rFonts w:eastAsia="Arial" w:cs="Arial" w:ascii="Arial" w:hAnsi="Arial"/>
        </w:rPr>
        <w:t>art. 156, §5º, da Lei nº 14.133, de 2021</w:t>
      </w:r>
      <w:r>
        <w:rPr>
          <w:rStyle w:val="LinkdaInternet"/>
          <w:rFonts w:eastAsia="Arial" w:cs="Arial" w:ascii="Arial" w:hAnsi="Arial"/>
        </w:rPr>
        <w:fldChar w:fldCharType="end"/>
      </w:r>
      <w:r>
        <w:rPr>
          <w:rStyle w:val="Fontepargpadro1"/>
          <w:rFonts w:eastAsia="Arial" w:cs="Arial" w:ascii="Arial" w:hAnsi="Arial"/>
        </w:rPr>
        <w:t>).</w:t>
      </w:r>
    </w:p>
    <w:p>
      <w:pPr>
        <w:pStyle w:val="ListParagraph"/>
        <w:numPr>
          <w:ilvl w:val="0"/>
          <w:numId w:val="15"/>
        </w:numPr>
        <w:tabs>
          <w:tab w:val="clear" w:pos="709"/>
          <w:tab w:val="left" w:pos="1276" w:leader="none"/>
        </w:tabs>
        <w:spacing w:lineRule="auto" w:line="360" w:before="0" w:after="0"/>
        <w:ind w:left="0" w:hanging="0"/>
        <w:jc w:val="both"/>
        <w:textAlignment w:val="baseline"/>
        <w:rPr>
          <w:rStyle w:val="Fontepargpadro25"/>
          <w:rFonts w:ascii="Arial" w:hAnsi="Arial" w:eastAsia="Arial" w:cs="Arial"/>
          <w:i/>
          <w:i/>
          <w:iCs/>
        </w:rPr>
      </w:pPr>
      <w:r>
        <w:rPr>
          <w:rStyle w:val="Fontepargpadro1"/>
          <w:rFonts w:eastAsia="Arial" w:cs="Arial" w:ascii="Arial" w:hAnsi="Arial"/>
          <w:b/>
          <w:bCs/>
        </w:rPr>
        <w:t>Multa:</w:t>
      </w:r>
    </w:p>
    <w:p>
      <w:pPr>
        <w:pStyle w:val="Normal"/>
        <w:spacing w:lineRule="auto" w:line="360"/>
        <w:jc w:val="both"/>
        <w:rPr>
          <w:rFonts w:ascii="Arial" w:hAnsi="Arial" w:cs="Arial"/>
          <w:i/>
          <w:i/>
          <w:iCs/>
          <w:sz w:val="22"/>
          <w:szCs w:val="22"/>
        </w:rPr>
      </w:pPr>
      <w:r>
        <w:rPr>
          <w:rStyle w:val="Fontepargpadro25"/>
          <w:rFonts w:eastAsia="Arial" w:cs="Arial" w:ascii="Arial" w:hAnsi="Arial"/>
          <w:i/>
          <w:iCs/>
          <w:sz w:val="22"/>
          <w:szCs w:val="22"/>
        </w:rPr>
        <w:t>1. moratória de 0,25% (vinte e cinco centésimos por cento) por dia de atraso injustificado sobre o valor da parcela inadimplida, até o limite de 30 (trinta) dias;</w:t>
      </w:r>
    </w:p>
    <w:p>
      <w:pPr>
        <w:pStyle w:val="Normal"/>
        <w:spacing w:lineRule="auto" w:line="360"/>
        <w:jc w:val="both"/>
        <w:rPr>
          <w:rFonts w:ascii="Arial" w:hAnsi="Arial" w:cs="Arial"/>
          <w:i/>
          <w:i/>
          <w:iCs/>
          <w:sz w:val="22"/>
          <w:szCs w:val="22"/>
        </w:rPr>
      </w:pPr>
      <w:r>
        <w:rPr>
          <w:rStyle w:val="Fontepargpadro25"/>
          <w:rFonts w:eastAsia="Arial" w:cs="Arial" w:ascii="Arial" w:hAnsi="Arial"/>
          <w:i/>
          <w:iCs/>
          <w:sz w:val="22"/>
          <w:szCs w:val="22"/>
        </w:rPr>
        <w:t>2. moratória de 0,10% (dez centésimos por cento) por dia de atraso injustificado sobre o valor total do contrato, até o limite de 3% (três por cento), pela inobservância do prazo fixado para apresentação, suplementação ou reposição da garantia. O atraso superior a 30 (trinta) dias autoriza a Administração a promover a extinção do contrato por descumprimento ou cumprimento irregular de suas cláusulas, conforme dispõe o inciso I do art. 137 da Lei nº 14.133, de 2021.</w:t>
      </w:r>
    </w:p>
    <w:p>
      <w:pPr>
        <w:pStyle w:val="Normal"/>
        <w:spacing w:lineRule="auto" w:line="360"/>
        <w:jc w:val="both"/>
        <w:rPr>
          <w:rFonts w:ascii="Arial" w:hAnsi="Arial" w:cs="Arial"/>
          <w:sz w:val="22"/>
          <w:szCs w:val="22"/>
        </w:rPr>
      </w:pPr>
      <w:r>
        <w:rPr>
          <w:rFonts w:cs="Arial" w:ascii="Arial" w:hAnsi="Arial"/>
          <w:i/>
          <w:iCs/>
          <w:sz w:val="22"/>
          <w:szCs w:val="22"/>
        </w:rPr>
        <w:t>3. compensatória de 2% (dois por cento) sobre o valor total do contrato, no caso de inexecução total do objeto.</w:t>
      </w:r>
    </w:p>
    <w:p>
      <w:pPr>
        <w:pStyle w:val="Nivel2"/>
        <w:numPr>
          <w:ilvl w:val="0"/>
          <w:numId w:val="14"/>
        </w:numPr>
        <w:spacing w:lineRule="auto" w:line="360" w:before="0" w:after="0"/>
        <w:ind w:left="0" w:hanging="0"/>
        <w:rPr>
          <w:rStyle w:val="Fontepargpadro1"/>
          <w:sz w:val="22"/>
          <w:szCs w:val="22"/>
        </w:rPr>
      </w:pPr>
      <w:r>
        <w:rPr>
          <w:rStyle w:val="Fontepargpadro1"/>
          <w:sz w:val="22"/>
          <w:szCs w:val="22"/>
        </w:rPr>
        <w:t>A aplicação das sanções previstas neste Contrato não exclui, em hipótese alguma, a obrigação de reparação integral do dano causado ao Contratante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art. 156, §9º, da Lei nº 14.133, de 2021</w:t>
      </w:r>
      <w:r>
        <w:rPr>
          <w:rStyle w:val="LinkdaInternet"/>
          <w:sz w:val="22"/>
          <w:szCs w:val="22"/>
        </w:rPr>
        <w:fldChar w:fldCharType="end"/>
      </w:r>
      <w:r>
        <w:rPr>
          <w:rStyle w:val="Fontepargpadro1"/>
          <w:sz w:val="22"/>
          <w:szCs w:val="22"/>
        </w:rPr>
        <w:t>)</w:t>
      </w:r>
    </w:p>
    <w:p>
      <w:pPr>
        <w:pStyle w:val="Nivel2"/>
        <w:numPr>
          <w:ilvl w:val="0"/>
          <w:numId w:val="14"/>
        </w:numPr>
        <w:spacing w:lineRule="auto" w:line="360" w:before="0" w:after="0"/>
        <w:ind w:left="0" w:hanging="0"/>
        <w:rPr>
          <w:rStyle w:val="Fontepargpadro1"/>
          <w:sz w:val="22"/>
          <w:szCs w:val="22"/>
        </w:rPr>
      </w:pPr>
      <w:r>
        <w:rPr>
          <w:rStyle w:val="Fontepargpadro1"/>
          <w:sz w:val="22"/>
          <w:szCs w:val="22"/>
        </w:rPr>
        <w:t>Todas as sanções previstas neste Contrato poderão ser aplicadas cumulativamente com a multa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art. 156, §7º, da Lei nº 14.133, de 2021</w:t>
      </w:r>
      <w:r>
        <w:rPr>
          <w:rStyle w:val="LinkdaInternet"/>
          <w:sz w:val="22"/>
          <w:szCs w:val="22"/>
        </w:rPr>
        <w:fldChar w:fldCharType="end"/>
      </w:r>
      <w:r>
        <w:rPr>
          <w:rStyle w:val="Fontepargpadro1"/>
          <w:sz w:val="22"/>
          <w:szCs w:val="22"/>
        </w:rPr>
        <w:t>).</w:t>
      </w:r>
    </w:p>
    <w:p>
      <w:pPr>
        <w:pStyle w:val="Nivel3"/>
        <w:numPr>
          <w:ilvl w:val="0"/>
          <w:numId w:val="14"/>
        </w:numPr>
        <w:spacing w:lineRule="auto" w:line="360" w:before="0" w:after="0"/>
        <w:ind w:left="0" w:hanging="0"/>
        <w:rPr>
          <w:rStyle w:val="Fontepargpadro1"/>
          <w:sz w:val="22"/>
          <w:szCs w:val="22"/>
        </w:rPr>
      </w:pPr>
      <w:r>
        <w:rPr>
          <w:rStyle w:val="Fontepargpadro1"/>
          <w:sz w:val="22"/>
          <w:szCs w:val="22"/>
        </w:rPr>
        <w:t>Antes da aplicação da multa será facultada a defesa do interessado no prazo de 15 (quinze) dias úteis, contado da data de sua intimação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art. 157, da Lei nº 14.133, de 2021</w:t>
      </w:r>
      <w:r>
        <w:rPr>
          <w:rStyle w:val="LinkdaInternet"/>
          <w:sz w:val="22"/>
          <w:szCs w:val="22"/>
        </w:rPr>
        <w:fldChar w:fldCharType="end"/>
      </w:r>
      <w:r>
        <w:rPr>
          <w:rStyle w:val="Fontepargpadro1"/>
          <w:sz w:val="22"/>
          <w:szCs w:val="22"/>
        </w:rPr>
        <w:t>)</w:t>
      </w:r>
    </w:p>
    <w:p>
      <w:pPr>
        <w:pStyle w:val="Nivel3"/>
        <w:numPr>
          <w:ilvl w:val="0"/>
          <w:numId w:val="14"/>
        </w:numPr>
        <w:spacing w:lineRule="auto" w:line="360" w:before="0" w:after="0"/>
        <w:ind w:left="0" w:hanging="0"/>
        <w:rPr>
          <w:rStyle w:val="Fontepargpadro1"/>
          <w:sz w:val="22"/>
          <w:szCs w:val="22"/>
        </w:rPr>
      </w:pPr>
      <w:r>
        <w:rPr>
          <w:rStyle w:val="Fontepargpadro1"/>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art. 156, §8º, da Lei nº 14.133, de 2021</w:t>
      </w:r>
      <w:r>
        <w:rPr>
          <w:rStyle w:val="LinkdaInternet"/>
          <w:sz w:val="22"/>
          <w:szCs w:val="22"/>
        </w:rPr>
        <w:fldChar w:fldCharType="end"/>
      </w:r>
      <w:r>
        <w:rPr>
          <w:rStyle w:val="Fontepargpadro1"/>
          <w:sz w:val="22"/>
          <w:szCs w:val="22"/>
        </w:rPr>
        <w:t>).</w:t>
      </w:r>
    </w:p>
    <w:p>
      <w:pPr>
        <w:pStyle w:val="Nivel3"/>
        <w:numPr>
          <w:ilvl w:val="0"/>
          <w:numId w:val="14"/>
        </w:numPr>
        <w:spacing w:lineRule="auto" w:line="360" w:before="0" w:after="0"/>
        <w:ind w:left="0" w:hanging="0"/>
        <w:rPr>
          <w:rStyle w:val="Fontepargpadro1"/>
          <w:sz w:val="22"/>
          <w:szCs w:val="22"/>
        </w:rPr>
      </w:pPr>
      <w:r>
        <w:rPr>
          <w:rStyle w:val="Fontepargpadro1"/>
          <w:sz w:val="22"/>
          <w:szCs w:val="22"/>
        </w:rPr>
        <w:t>Previamente ao encaminhamento à cobrança judicial, a multa poderá ser recolhida administrativamente no prazo máximo de</w:t>
      </w:r>
      <w:r>
        <w:rPr>
          <w:rStyle w:val="Fontepargpadro1"/>
          <w:color w:val="auto"/>
          <w:sz w:val="22"/>
          <w:szCs w:val="22"/>
        </w:rPr>
        <w:t xml:space="preserve"> 30 (trinta) </w:t>
      </w:r>
      <w:r>
        <w:rPr>
          <w:rStyle w:val="Fontepargpadro1"/>
          <w:sz w:val="22"/>
          <w:szCs w:val="22"/>
        </w:rPr>
        <w:t>dias, a contar da data do recebimento da comunicação enviada pela autoridade competente.</w:t>
      </w:r>
      <w:bookmarkStart w:id="39" w:name="_Hlk78351618"/>
      <w:bookmarkEnd w:id="39"/>
    </w:p>
    <w:p>
      <w:pPr>
        <w:pStyle w:val="Nivel2"/>
        <w:numPr>
          <w:ilvl w:val="0"/>
          <w:numId w:val="14"/>
        </w:numPr>
        <w:spacing w:lineRule="auto" w:line="360" w:before="0" w:after="0"/>
        <w:ind w:left="0" w:hanging="0"/>
        <w:rPr>
          <w:rStyle w:val="Fontepargpadro1"/>
          <w:rFonts w:eastAsia="Arial"/>
          <w:sz w:val="22"/>
          <w:szCs w:val="22"/>
        </w:rPr>
      </w:pPr>
      <w:r>
        <w:rPr>
          <w:rStyle w:val="Fontepargpadro1"/>
          <w:sz w:val="22"/>
          <w:szCs w:val="22"/>
        </w:rPr>
        <w:t xml:space="preserve">A aplicação das sanções realizar-se-á em processo administrativo que assegure o contraditório e a ampla defesa ao Contratado, observando-se o procedimento previsto no </w:t>
      </w:r>
      <w:r>
        <w:rPr>
          <w:rStyle w:val="Fontepargpadro1"/>
          <w:b/>
          <w:bCs/>
          <w:sz w:val="22"/>
          <w:szCs w:val="22"/>
        </w:rPr>
        <w:t xml:space="preserve">caput </w:t>
      </w:r>
      <w:r>
        <w:rPr>
          <w:rStyle w:val="Fontepargpadro1"/>
          <w:sz w:val="22"/>
          <w:szCs w:val="22"/>
        </w:rPr>
        <w:t xml:space="preserve">e parágrafos do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art. 158 da Lei nº 14.133, de 2021</w:t>
      </w:r>
      <w:r>
        <w:rPr>
          <w:rStyle w:val="LinkdaInternet"/>
          <w:sz w:val="22"/>
          <w:szCs w:val="22"/>
        </w:rPr>
        <w:fldChar w:fldCharType="end"/>
      </w:r>
      <w:r>
        <w:rPr>
          <w:rStyle w:val="Fontepargpadro1"/>
          <w:sz w:val="22"/>
          <w:szCs w:val="22"/>
        </w:rPr>
        <w:t>, para as penalidades de impedimento de licitar e contratar e de declaração de inidoneidade para licitar ou contratar.</w:t>
      </w:r>
    </w:p>
    <w:p>
      <w:pPr>
        <w:pStyle w:val="Nivel2"/>
        <w:numPr>
          <w:ilvl w:val="0"/>
          <w:numId w:val="0"/>
        </w:numPr>
        <w:spacing w:lineRule="auto" w:line="360" w:before="0" w:after="0"/>
        <w:ind w:left="0" w:hanging="0"/>
        <w:rPr>
          <w:rStyle w:val="Fontepargpadro1"/>
          <w:rFonts w:eastAsia="Arial"/>
          <w:sz w:val="22"/>
          <w:szCs w:val="22"/>
        </w:rPr>
      </w:pPr>
      <w:r>
        <w:rPr>
          <w:rStyle w:val="Fontepargpadro1"/>
          <w:rFonts w:eastAsia="Arial"/>
          <w:sz w:val="22"/>
          <w:szCs w:val="22"/>
        </w:rPr>
        <w:t xml:space="preserve"> </w:t>
      </w:r>
      <w:r>
        <w:rPr>
          <w:rStyle w:val="Fontepargpadro1"/>
          <w:sz w:val="22"/>
          <w:szCs w:val="22"/>
        </w:rPr>
        <w:t>Na aplicação das sanções serão considerados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art. 156, §1º, da Lei nº 14.133, de 2021</w:t>
      </w:r>
      <w:r>
        <w:rPr>
          <w:rStyle w:val="LinkdaInternet"/>
          <w:sz w:val="22"/>
          <w:szCs w:val="22"/>
        </w:rPr>
        <w:fldChar w:fldCharType="end"/>
      </w:r>
      <w:r>
        <w:rPr>
          <w:rStyle w:val="Fontepargpadro1"/>
          <w:sz w:val="22"/>
          <w:szCs w:val="22"/>
        </w:rPr>
        <w:t>):</w:t>
      </w:r>
    </w:p>
    <w:p>
      <w:pPr>
        <w:pStyle w:val="LONormal"/>
        <w:tabs>
          <w:tab w:val="clear" w:pos="709"/>
          <w:tab w:val="left" w:pos="-340" w:leader="none"/>
        </w:tabs>
        <w:spacing w:lineRule="auto" w:line="360"/>
        <w:jc w:val="both"/>
        <w:rPr>
          <w:rStyle w:val="Fontepargpadro1"/>
          <w:rFonts w:ascii="Arial" w:hAnsi="Arial" w:eastAsia="Arial"/>
          <w:sz w:val="22"/>
          <w:szCs w:val="22"/>
        </w:rPr>
      </w:pPr>
      <w:r>
        <w:rPr>
          <w:rStyle w:val="Fontepargpadro1"/>
          <w:rFonts w:eastAsia="Arial" w:ascii="Arial" w:hAnsi="Arial"/>
          <w:sz w:val="22"/>
          <w:szCs w:val="22"/>
        </w:rPr>
        <w:t xml:space="preserve"> </w:t>
      </w:r>
      <w:r>
        <w:rPr>
          <w:rStyle w:val="Fontepargpadro1"/>
          <w:rFonts w:eastAsia="Arial" w:ascii="Arial" w:hAnsi="Arial"/>
          <w:sz w:val="22"/>
          <w:szCs w:val="22"/>
        </w:rPr>
        <w:t>A natureza e a gravidade da infração cometida;</w:t>
      </w:r>
    </w:p>
    <w:p>
      <w:pPr>
        <w:pStyle w:val="LONormal"/>
        <w:tabs>
          <w:tab w:val="clear" w:pos="709"/>
          <w:tab w:val="left" w:pos="-340" w:leader="none"/>
        </w:tabs>
        <w:spacing w:lineRule="auto" w:line="360"/>
        <w:jc w:val="both"/>
        <w:rPr>
          <w:rStyle w:val="Fontepargpadro1"/>
          <w:rFonts w:ascii="Arial" w:hAnsi="Arial" w:eastAsia="Arial"/>
          <w:sz w:val="22"/>
          <w:szCs w:val="22"/>
        </w:rPr>
      </w:pPr>
      <w:r>
        <w:rPr>
          <w:rStyle w:val="Fontepargpadro1"/>
          <w:rFonts w:eastAsia="Arial" w:ascii="Arial" w:hAnsi="Arial"/>
          <w:sz w:val="22"/>
          <w:szCs w:val="22"/>
        </w:rPr>
        <w:t xml:space="preserve"> </w:t>
      </w:r>
      <w:r>
        <w:rPr>
          <w:rStyle w:val="Fontepargpadro1"/>
          <w:rFonts w:eastAsia="Arial" w:ascii="Arial" w:hAnsi="Arial"/>
          <w:sz w:val="22"/>
          <w:szCs w:val="22"/>
        </w:rPr>
        <w:t>As peculiaridades do caso concreto;</w:t>
      </w:r>
    </w:p>
    <w:p>
      <w:pPr>
        <w:pStyle w:val="LONormal"/>
        <w:tabs>
          <w:tab w:val="clear" w:pos="709"/>
          <w:tab w:val="left" w:pos="-340" w:leader="none"/>
        </w:tabs>
        <w:spacing w:lineRule="auto" w:line="360"/>
        <w:jc w:val="both"/>
        <w:rPr>
          <w:rStyle w:val="Fontepargpadro1"/>
          <w:rFonts w:ascii="Arial" w:hAnsi="Arial" w:eastAsia="Arial"/>
          <w:sz w:val="22"/>
          <w:szCs w:val="22"/>
        </w:rPr>
      </w:pPr>
      <w:r>
        <w:rPr>
          <w:rStyle w:val="Fontepargpadro1"/>
          <w:rFonts w:eastAsia="Arial" w:ascii="Arial" w:hAnsi="Arial"/>
          <w:sz w:val="22"/>
          <w:szCs w:val="22"/>
        </w:rPr>
        <w:t xml:space="preserve"> </w:t>
      </w:r>
      <w:r>
        <w:rPr>
          <w:rStyle w:val="Fontepargpadro1"/>
          <w:rFonts w:eastAsia="Arial" w:ascii="Arial" w:hAnsi="Arial"/>
          <w:sz w:val="22"/>
          <w:szCs w:val="22"/>
        </w:rPr>
        <w:t>As circunstâncias agravantes ou atenuantes;</w:t>
      </w:r>
    </w:p>
    <w:p>
      <w:pPr>
        <w:pStyle w:val="LONormal"/>
        <w:tabs>
          <w:tab w:val="clear" w:pos="709"/>
          <w:tab w:val="left" w:pos="-340" w:leader="none"/>
        </w:tabs>
        <w:spacing w:lineRule="auto" w:line="360"/>
        <w:jc w:val="both"/>
        <w:rPr>
          <w:rFonts w:ascii="Arial" w:hAnsi="Arial"/>
          <w:sz w:val="22"/>
          <w:szCs w:val="22"/>
        </w:rPr>
      </w:pPr>
      <w:r>
        <w:rPr>
          <w:rStyle w:val="Fontepargpadro1"/>
          <w:rFonts w:eastAsia="Arial" w:ascii="Arial" w:hAnsi="Arial"/>
          <w:sz w:val="22"/>
          <w:szCs w:val="22"/>
        </w:rPr>
        <w:t xml:space="preserve"> </w:t>
      </w:r>
      <w:r>
        <w:rPr>
          <w:rStyle w:val="Fontepargpadro1"/>
          <w:rFonts w:eastAsia="Arial" w:ascii="Arial" w:hAnsi="Arial"/>
          <w:sz w:val="22"/>
          <w:szCs w:val="22"/>
        </w:rPr>
        <w:t>Os danos que dela provierem para o Contratante;</w:t>
      </w:r>
    </w:p>
    <w:p>
      <w:pPr>
        <w:pStyle w:val="LONormal"/>
        <w:tabs>
          <w:tab w:val="clear" w:pos="709"/>
          <w:tab w:val="left" w:pos="-340" w:leader="none"/>
        </w:tabs>
        <w:spacing w:lineRule="auto" w:line="360"/>
        <w:jc w:val="both"/>
        <w:rPr>
          <w:rFonts w:ascii="Arial" w:hAnsi="Arial"/>
          <w:sz w:val="22"/>
          <w:szCs w:val="22"/>
        </w:rPr>
      </w:pPr>
      <w:r>
        <w:rPr>
          <w:rStyle w:val="Fontepargpadro1"/>
          <w:rFonts w:eastAsia="Arial" w:ascii="Arial" w:hAnsi="Arial"/>
          <w:sz w:val="22"/>
          <w:szCs w:val="22"/>
        </w:rPr>
        <w:t xml:space="preserve"> </w:t>
      </w:r>
      <w:r>
        <w:rPr>
          <w:rStyle w:val="Fontepargpadro1"/>
          <w:rFonts w:eastAsia="Arial" w:ascii="Arial" w:hAnsi="Arial"/>
          <w:sz w:val="22"/>
          <w:szCs w:val="22"/>
        </w:rPr>
        <w:t>A implantação ou o aperfeiçoamento de programa de integridade, conforme normas e orientações dos órgãos de controle.</w:t>
      </w:r>
    </w:p>
    <w:p>
      <w:pPr>
        <w:pStyle w:val="Nivel2"/>
        <w:numPr>
          <w:ilvl w:val="0"/>
          <w:numId w:val="14"/>
        </w:numPr>
        <w:spacing w:lineRule="auto" w:line="360" w:before="0" w:after="0"/>
        <w:ind w:left="0" w:hanging="0"/>
        <w:rPr>
          <w:rStyle w:val="Fontepargpadro1"/>
          <w:sz w:val="22"/>
          <w:szCs w:val="22"/>
        </w:rPr>
      </w:pPr>
      <w:r>
        <w:rPr>
          <w:rStyle w:val="Fontepargpadro1"/>
          <w:sz w:val="22"/>
          <w:szCs w:val="22"/>
        </w:rPr>
        <w:t xml:space="preserve">Os atos previstos como infrações administrativas na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Lei nº 14.133, de 2021</w:t>
      </w:r>
      <w:r>
        <w:rPr>
          <w:rStyle w:val="LinkdaInternet"/>
          <w:sz w:val="22"/>
          <w:szCs w:val="22"/>
        </w:rPr>
        <w:fldChar w:fldCharType="end"/>
      </w:r>
      <w:r>
        <w:rPr>
          <w:rStyle w:val="Fontepargpadro1"/>
          <w:sz w:val="22"/>
          <w:szCs w:val="22"/>
        </w:rPr>
        <w:t xml:space="preserve">, ou em outras leis de licitações e contratos da Administração Pública que também sejam tipificados como atos lesivos na </w:t>
      </w:r>
      <w:r>
        <w:fldChar w:fldCharType="begin"/>
      </w:r>
      <w:r>
        <w:rPr>
          <w:rStyle w:val="LinkdaInternet"/>
          <w:sz w:val="22"/>
          <w:szCs w:val="22"/>
        </w:rPr>
        <w:instrText xml:space="preserve"> HYPERLINK "https://www.planalto.gov.br/ccivil_03/_ato2011-2014/2013/lei/l12846.htm" \l "_blank"</w:instrText>
      </w:r>
      <w:r>
        <w:rPr>
          <w:rStyle w:val="LinkdaInternet"/>
          <w:sz w:val="22"/>
          <w:szCs w:val="22"/>
        </w:rPr>
        <w:fldChar w:fldCharType="separate"/>
      </w:r>
      <w:r>
        <w:rPr>
          <w:rStyle w:val="LinkdaInternet"/>
          <w:sz w:val="22"/>
          <w:szCs w:val="22"/>
        </w:rPr>
        <w:t>Lei nº 12.846, de 2013</w:t>
      </w:r>
      <w:r>
        <w:rPr>
          <w:rStyle w:val="LinkdaInternet"/>
          <w:sz w:val="22"/>
          <w:szCs w:val="22"/>
        </w:rPr>
        <w:fldChar w:fldCharType="end"/>
      </w:r>
      <w:r>
        <w:rPr>
          <w:rStyle w:val="Fontepargpadro1"/>
          <w:sz w:val="22"/>
          <w:szCs w:val="22"/>
        </w:rPr>
        <w:t>, serão apurados e julgados conjuntamente, nos mesmos autos, observados o rito procedimental e autoridade competente definidos na referida Lei (</w:t>
      </w:r>
      <w:r>
        <w:fldChar w:fldCharType="begin"/>
      </w:r>
      <w:r>
        <w:rPr>
          <w:rStyle w:val="LinkdaInternet"/>
          <w:sz w:val="22"/>
          <w:szCs w:val="22"/>
        </w:rPr>
        <w:instrText xml:space="preserve"> HYPERLINK "http://www.planalto.gov.br/ccivil_03/_ato2019-2022/2021/lei/L14133.htm%25art159" \l "_blank"</w:instrText>
      </w:r>
      <w:r>
        <w:rPr>
          <w:rStyle w:val="LinkdaInternet"/>
          <w:sz w:val="22"/>
          <w:szCs w:val="22"/>
        </w:rPr>
        <w:fldChar w:fldCharType="separate"/>
      </w:r>
      <w:r>
        <w:rPr>
          <w:rStyle w:val="LinkdaInternet"/>
          <w:sz w:val="22"/>
          <w:szCs w:val="22"/>
        </w:rPr>
        <w:t>art. 159</w:t>
      </w:r>
      <w:r>
        <w:rPr>
          <w:rStyle w:val="LinkdaInternet"/>
          <w:sz w:val="22"/>
          <w:szCs w:val="22"/>
        </w:rPr>
        <w:fldChar w:fldCharType="end"/>
      </w:r>
      <w:r>
        <w:rPr>
          <w:rStyle w:val="Fontepargpadro1"/>
          <w:sz w:val="22"/>
          <w:szCs w:val="22"/>
        </w:rPr>
        <w:t>).</w:t>
      </w:r>
    </w:p>
    <w:p>
      <w:pPr>
        <w:pStyle w:val="Nivel2"/>
        <w:numPr>
          <w:ilvl w:val="0"/>
          <w:numId w:val="14"/>
        </w:numPr>
        <w:spacing w:lineRule="auto" w:line="360" w:before="0" w:after="0"/>
        <w:ind w:left="0" w:hanging="0"/>
        <w:rPr>
          <w:rStyle w:val="Fontepargpadro1"/>
          <w:sz w:val="22"/>
          <w:szCs w:val="22"/>
        </w:rPr>
      </w:pPr>
      <w:r>
        <w:rPr>
          <w:rStyle w:val="Fontepargpadro1"/>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art. 160, da Lei nº 14.133, de 2021</w:t>
      </w:r>
      <w:r>
        <w:rPr>
          <w:rStyle w:val="LinkdaInternet"/>
          <w:sz w:val="22"/>
          <w:szCs w:val="22"/>
        </w:rPr>
        <w:fldChar w:fldCharType="end"/>
      </w:r>
      <w:r>
        <w:rPr>
          <w:rStyle w:val="Fontepargpadro1"/>
          <w:sz w:val="22"/>
          <w:szCs w:val="22"/>
        </w:rPr>
        <w:t>).</w:t>
      </w:r>
    </w:p>
    <w:p>
      <w:pPr>
        <w:pStyle w:val="Nivel2"/>
        <w:numPr>
          <w:ilvl w:val="0"/>
          <w:numId w:val="14"/>
        </w:numPr>
        <w:spacing w:lineRule="auto" w:line="360" w:before="0" w:after="0"/>
        <w:ind w:left="0" w:hanging="0"/>
        <w:rPr>
          <w:rStyle w:val="Fontepargpadro1"/>
          <w:sz w:val="22"/>
          <w:szCs w:val="22"/>
        </w:rPr>
      </w:pPr>
      <w:r>
        <w:rPr>
          <w:rStyle w:val="Fontepargpadro1"/>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Art. 161, da Lei nº 14.133, de 2021</w:t>
      </w:r>
      <w:r>
        <w:rPr>
          <w:rStyle w:val="LinkdaInternet"/>
          <w:sz w:val="22"/>
          <w:szCs w:val="22"/>
        </w:rPr>
        <w:fldChar w:fldCharType="end"/>
      </w:r>
      <w:r>
        <w:rPr>
          <w:rStyle w:val="Fontepargpadro1"/>
          <w:sz w:val="22"/>
          <w:szCs w:val="22"/>
        </w:rPr>
        <w:t>).</w:t>
      </w:r>
    </w:p>
    <w:p>
      <w:pPr>
        <w:pStyle w:val="Nivel2"/>
        <w:numPr>
          <w:ilvl w:val="0"/>
          <w:numId w:val="14"/>
        </w:numPr>
        <w:spacing w:lineRule="auto" w:line="360" w:before="0" w:after="0"/>
        <w:ind w:left="0" w:hanging="0"/>
        <w:rPr>
          <w:rStyle w:val="Fontepargpadro1"/>
          <w:sz w:val="22"/>
          <w:szCs w:val="22"/>
        </w:rPr>
      </w:pPr>
      <w:r>
        <w:rPr>
          <w:rStyle w:val="Fontepargpadro1"/>
          <w:sz w:val="22"/>
          <w:szCs w:val="22"/>
        </w:rPr>
        <w:t xml:space="preserve">As sanções de impedimento de licitar e contratar e declaração de inidoneidade para licitar ou contratar são passíveis de reabilitação na forma do </w:t>
      </w:r>
      <w:r>
        <w:fldChar w:fldCharType="begin"/>
      </w:r>
      <w:r>
        <w:rPr>
          <w:rStyle w:val="LinkdaInternet"/>
          <w:sz w:val="22"/>
          <w:szCs w:val="22"/>
        </w:rPr>
        <w:instrText xml:space="preserve"> HYPERLINK "http://www.planalto.gov.br/ccivil_03/_ato2019-2022/2021/lei/L14133.htm" \l "_blank"</w:instrText>
      </w:r>
      <w:r>
        <w:rPr>
          <w:rStyle w:val="LinkdaInternet"/>
          <w:sz w:val="22"/>
          <w:szCs w:val="22"/>
        </w:rPr>
        <w:fldChar w:fldCharType="separate"/>
      </w:r>
      <w:r>
        <w:rPr>
          <w:rStyle w:val="LinkdaInternet"/>
          <w:sz w:val="22"/>
          <w:szCs w:val="22"/>
        </w:rPr>
        <w:t>art. 163 da Lei nº 14.133/21</w:t>
      </w:r>
      <w:r>
        <w:rPr>
          <w:rStyle w:val="LinkdaInternet"/>
          <w:sz w:val="22"/>
          <w:szCs w:val="22"/>
        </w:rPr>
        <w:fldChar w:fldCharType="end"/>
      </w:r>
      <w:r>
        <w:rPr>
          <w:rStyle w:val="Fontepargpadro1"/>
          <w:sz w:val="22"/>
          <w:szCs w:val="22"/>
        </w:rPr>
        <w:t>.</w:t>
      </w:r>
    </w:p>
    <w:p>
      <w:pPr>
        <w:pStyle w:val="Nivel2"/>
        <w:numPr>
          <w:ilvl w:val="0"/>
          <w:numId w:val="14"/>
        </w:numPr>
        <w:spacing w:lineRule="auto" w:line="360" w:before="0" w:after="0"/>
        <w:ind w:left="0" w:hanging="0"/>
        <w:rPr>
          <w:rFonts w:eastAsia="Arial"/>
          <w:sz w:val="22"/>
          <w:szCs w:val="22"/>
        </w:rPr>
      </w:pPr>
      <w:r>
        <w:rPr>
          <w:rStyle w:val="Fontepargpadro1"/>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rPr>
          <w:rStyle w:val="LinkdaInternet"/>
          <w:sz w:val="22"/>
          <w:szCs w:val="22"/>
        </w:rPr>
        <w:instrText xml:space="preserve"> HYPERLINK "https://www.gov.br/compras/pt-br/acesso-a-informacao/legislacao/instrucoes-normativas/instrucao-normativa-seges-me-no-26-de-13-de-abril-de-2022" \l "_blank"</w:instrText>
      </w:r>
      <w:r>
        <w:rPr>
          <w:rStyle w:val="LinkdaInternet"/>
          <w:sz w:val="22"/>
          <w:szCs w:val="22"/>
        </w:rPr>
        <w:fldChar w:fldCharType="separate"/>
      </w:r>
      <w:r>
        <w:rPr>
          <w:rStyle w:val="LinkdaInternet"/>
          <w:sz w:val="22"/>
          <w:szCs w:val="22"/>
        </w:rPr>
        <w:t>Normativa SEGES/ME nº 26, de 13 de abril de 2022</w:t>
      </w:r>
      <w:r>
        <w:rPr>
          <w:rStyle w:val="LinkdaInternet"/>
          <w:sz w:val="22"/>
          <w:szCs w:val="22"/>
        </w:rPr>
        <w:fldChar w:fldCharType="end"/>
      </w:r>
      <w:r>
        <w:rPr>
          <w:rStyle w:val="Fontepargpadro1"/>
          <w:sz w:val="22"/>
          <w:szCs w:val="22"/>
        </w:rPr>
        <w:t xml:space="preserve">. </w:t>
      </w:r>
      <w:r>
        <w:rPr>
          <w:sz w:val="22"/>
          <w:szCs w:val="22"/>
        </w:rPr>
        <w:t xml:space="preserve">                                                                                                         </w:t>
      </w:r>
    </w:p>
    <w:p>
      <w:pPr>
        <w:pStyle w:val="Normal"/>
        <w:tabs>
          <w:tab w:val="clear" w:pos="709"/>
          <w:tab w:val="left" w:pos="2304" w:leader="none"/>
        </w:tabs>
        <w:spacing w:lineRule="auto" w:line="360"/>
        <w:jc w:val="both"/>
        <w:rPr>
          <w:rFonts w:ascii="Arial" w:hAnsi="Arial" w:cs="Arial"/>
          <w:b/>
          <w:b/>
          <w:bCs/>
          <w:sz w:val="22"/>
          <w:szCs w:val="22"/>
        </w:rPr>
      </w:pPr>
      <w:r>
        <w:rPr>
          <w:rFonts w:eastAsia="Arial" w:cs="Arial" w:ascii="Arial" w:hAnsi="Arial"/>
          <w:sz w:val="22"/>
          <w:szCs w:val="22"/>
        </w:rPr>
        <w:t xml:space="preserve">                                                           </w:t>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
          <w:bCs/>
          <w:sz w:val="22"/>
          <w:szCs w:val="22"/>
        </w:rPr>
      </w:pPr>
      <w:bookmarkStart w:id="40" w:name="_Hlk82471863"/>
      <w:bookmarkEnd w:id="40"/>
      <w:r>
        <w:rPr>
          <w:rFonts w:cs="Arial" w:ascii="Arial" w:hAnsi="Arial"/>
          <w:b/>
          <w:bCs/>
          <w:sz w:val="22"/>
          <w:szCs w:val="22"/>
        </w:rPr>
        <w:t xml:space="preserve">ANEXO II </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69/2024</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90/2024</w:t>
      </w:r>
    </w:p>
    <w:p>
      <w:pPr>
        <w:pStyle w:val="Normal"/>
        <w:spacing w:lineRule="auto" w:line="360"/>
        <w:ind w:right="-57" w:hanging="0"/>
        <w:jc w:val="both"/>
        <w:rPr>
          <w:rFonts w:ascii="Arial" w:hAnsi="Arial" w:cs="Arial"/>
          <w:sz w:val="22"/>
          <w:szCs w:val="22"/>
        </w:rPr>
      </w:pPr>
      <w:r>
        <w:rPr>
          <w:rFonts w:cs="Arial" w:ascii="Arial" w:hAnsi="Arial"/>
          <w:b/>
          <w:bCs/>
          <w:sz w:val="22"/>
          <w:szCs w:val="22"/>
        </w:rPr>
        <w:t>Processo nº 6.429/2024</w:t>
      </w:r>
    </w:p>
    <w:p>
      <w:pPr>
        <w:pStyle w:val="Normal"/>
        <w:tabs>
          <w:tab w:val="clear" w:pos="709"/>
          <w:tab w:val="left" w:pos="1978" w:leader="none"/>
        </w:tabs>
        <w:spacing w:lineRule="auto" w:line="360"/>
        <w:ind w:right="-54" w:hanging="0"/>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PREGÃO ELETRÔNICO </w:t>
      </w:r>
      <w:r>
        <w:rPr>
          <w:rFonts w:cs="Arial" w:ascii="Arial" w:hAnsi="Arial"/>
          <w:b/>
          <w:bCs/>
          <w:sz w:val="22"/>
          <w:szCs w:val="22"/>
        </w:rPr>
        <w:t>69/2024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EDITAL Nº </w:t>
      </w:r>
      <w:r>
        <w:rPr>
          <w:rFonts w:cs="Arial" w:ascii="Arial" w:hAnsi="Arial"/>
          <w:b/>
          <w:bCs/>
          <w:sz w:val="22"/>
          <w:szCs w:val="22"/>
        </w:rPr>
        <w:t>90/2024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6.429/2024</w:t>
      </w:r>
    </w:p>
    <w:p>
      <w:pPr>
        <w:pStyle w:val="Normal"/>
        <w:tabs>
          <w:tab w:val="clear" w:pos="709"/>
          <w:tab w:val="left" w:pos="1978" w:leader="none"/>
        </w:tabs>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69/2024</w:t>
      </w:r>
      <w:r>
        <w:rPr>
          <w:rFonts w:cs="Arial" w:ascii="Arial" w:hAnsi="Arial"/>
          <w:sz w:val="22"/>
          <w:szCs w:val="22"/>
        </w:rPr>
        <w:t>),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69/2024</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90/2024</w:t>
      </w:r>
    </w:p>
    <w:p>
      <w:pPr>
        <w:pStyle w:val="Normal"/>
        <w:spacing w:lineRule="auto" w:line="360"/>
        <w:ind w:right="-57" w:hanging="0"/>
        <w:jc w:val="both"/>
        <w:rPr>
          <w:rFonts w:ascii="Arial" w:hAnsi="Arial" w:cs="Arial"/>
          <w:sz w:val="22"/>
          <w:szCs w:val="22"/>
        </w:rPr>
      </w:pPr>
      <w:r>
        <w:rPr>
          <w:rFonts w:cs="Arial" w:ascii="Arial" w:hAnsi="Arial"/>
          <w:b/>
          <w:bCs/>
          <w:sz w:val="22"/>
          <w:szCs w:val="22"/>
        </w:rPr>
        <w:t>Processo nº 6.429/2024</w:t>
      </w:r>
    </w:p>
    <w:p>
      <w:pPr>
        <w:pStyle w:val="Normal"/>
        <w:spacing w:lineRule="auto" w:line="36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edital,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MODELO - Proposta</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69/2024</w:t>
      </w:r>
    </w:p>
    <w:p>
      <w:pPr>
        <w:pStyle w:val="Normal"/>
        <w:spacing w:lineRule="auto" w:line="360"/>
        <w:ind w:right="-57" w:hanging="0"/>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90/2024</w:t>
      </w:r>
    </w:p>
    <w:p>
      <w:pPr>
        <w:pStyle w:val="Normal"/>
        <w:spacing w:lineRule="auto" w:line="360"/>
        <w:ind w:right="-57" w:hanging="0"/>
        <w:jc w:val="both"/>
        <w:rPr>
          <w:rFonts w:ascii="Arial" w:hAnsi="Arial" w:cs="Arial"/>
          <w:sz w:val="22"/>
          <w:szCs w:val="22"/>
        </w:rPr>
      </w:pPr>
      <w:r>
        <w:rPr>
          <w:rFonts w:cs="Arial" w:ascii="Arial" w:hAnsi="Arial"/>
          <w:b/>
          <w:bCs/>
          <w:sz w:val="22"/>
          <w:szCs w:val="22"/>
        </w:rPr>
        <w:t>Processo nº 6.429/2024</w:t>
      </w:r>
    </w:p>
    <w:p>
      <w:pPr>
        <w:pStyle w:val="Normal"/>
        <w:spacing w:lineRule="auto" w:line="360"/>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ivel01"/>
        <w:spacing w:lineRule="auto" w:line="276"/>
        <w:ind w:left="360" w:hanging="0"/>
        <w:jc w:val="center"/>
        <w:rPr>
          <w:sz w:val="22"/>
          <w:szCs w:val="22"/>
        </w:rPr>
      </w:pPr>
      <w:r>
        <w:rPr>
          <w:sz w:val="22"/>
          <w:szCs w:val="22"/>
        </w:rPr>
        <w:t>COTA PRINCIPAL - AMPLA PARTICIPAÇÃO</w:t>
      </w:r>
    </w:p>
    <w:p>
      <w:pPr>
        <w:pStyle w:val="Normal"/>
        <w:rPr>
          <w:rFonts w:ascii="Arial" w:hAnsi="Arial" w:cs="Arial"/>
          <w:sz w:val="22"/>
          <w:szCs w:val="22"/>
        </w:rPr>
      </w:pPr>
      <w:r>
        <w:rPr>
          <w:rFonts w:cs="Arial" w:ascii="Arial" w:hAnsi="Arial"/>
          <w:sz w:val="22"/>
          <w:szCs w:val="22"/>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1"/>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22"/>
                <w:szCs w:val="22"/>
              </w:rPr>
            </w:pPr>
            <w:r>
              <w:rPr>
                <w:rFonts w:cs="Arial" w:ascii="Arial" w:hAnsi="Arial"/>
                <w:sz w:val="22"/>
                <w:szCs w:val="22"/>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22"/>
                <w:szCs w:val="22"/>
              </w:rPr>
            </w:pPr>
            <w:r>
              <w:rPr>
                <w:rFonts w:cs="Arial" w:ascii="Arial" w:hAnsi="Arial"/>
                <w:sz w:val="22"/>
                <w:szCs w:val="22"/>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22"/>
                <w:szCs w:val="22"/>
              </w:rPr>
            </w:pPr>
            <w:r>
              <w:rPr>
                <w:rFonts w:cs="Arial" w:ascii="Arial" w:hAnsi="Arial"/>
                <w:sz w:val="22"/>
                <w:szCs w:val="22"/>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22"/>
                <w:szCs w:val="22"/>
              </w:rPr>
            </w:pPr>
            <w:r>
              <w:rPr>
                <w:rFonts w:cs="Arial" w:ascii="Arial" w:hAnsi="Arial"/>
                <w:sz w:val="22"/>
                <w:szCs w:val="22"/>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22"/>
                <w:szCs w:val="22"/>
              </w:rPr>
            </w:pPr>
            <w:r>
              <w:rPr>
                <w:rFonts w:cs="Arial" w:ascii="Arial" w:hAnsi="Arial"/>
                <w:sz w:val="22"/>
                <w:szCs w:val="22"/>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22"/>
                <w:szCs w:val="22"/>
              </w:rPr>
            </w:pPr>
            <w:r>
              <w:rPr>
                <w:rFonts w:cs="Arial" w:ascii="Arial" w:hAnsi="Arial"/>
                <w:sz w:val="22"/>
                <w:szCs w:val="22"/>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22"/>
                <w:szCs w:val="22"/>
              </w:rPr>
            </w:pPr>
            <w:r>
              <w:rPr>
                <w:rFonts w:cs="Arial" w:ascii="Arial" w:hAnsi="Arial"/>
                <w:sz w:val="22"/>
                <w:szCs w:val="22"/>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22"/>
                <w:szCs w:val="22"/>
              </w:rPr>
            </w:pPr>
            <w:r>
              <w:rPr>
                <w:rFonts w:cs="Arial" w:ascii="Arial" w:hAnsi="Arial"/>
                <w:sz w:val="22"/>
                <w:szCs w:val="22"/>
              </w:rPr>
              <w:t>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22"/>
                <w:szCs w:val="22"/>
              </w:rPr>
            </w:pPr>
            <w:r>
              <w:rPr>
                <w:rFonts w:cs="Arial" w:ascii="Arial" w:hAnsi="Arial"/>
                <w:sz w:val="22"/>
                <w:szCs w:val="22"/>
              </w:rPr>
              <w:t>1.17.01.3868-0 - AGREGADO RECICLADO - CLASSE A - MISTO(ARM)</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22"/>
                <w:szCs w:val="22"/>
              </w:rPr>
            </w:pPr>
            <w:r>
              <w:rPr>
                <w:rFonts w:cs="Arial" w:ascii="Arial" w:hAnsi="Arial"/>
                <w:sz w:val="22"/>
                <w:szCs w:val="22"/>
              </w:rPr>
              <w:t>M3</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22"/>
                <w:szCs w:val="22"/>
              </w:rPr>
            </w:pPr>
            <w:r>
              <w:rPr>
                <w:rFonts w:cs="Arial" w:ascii="Arial" w:hAnsi="Arial"/>
                <w:sz w:val="22"/>
                <w:szCs w:val="22"/>
              </w:rPr>
              <w:t>9.000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22"/>
                <w:szCs w:val="22"/>
              </w:rPr>
            </w:pPr>
            <w:r>
              <w:rPr>
                <w:rFonts w:cs="Arial" w:ascii="Arial" w:hAnsi="Arial"/>
                <w:sz w:val="22"/>
                <w:szCs w:val="22"/>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22"/>
                <w:szCs w:val="22"/>
              </w:rPr>
            </w:pPr>
            <w:r>
              <w:rPr>
                <w:rFonts w:cs="Arial" w:ascii="Arial" w:hAnsi="Arial"/>
                <w:sz w:val="22"/>
                <w:szCs w:val="22"/>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22"/>
                <w:szCs w:val="22"/>
              </w:rPr>
            </w:pPr>
            <w:r>
              <w:rPr>
                <w:rFonts w:cs="Arial" w:ascii="Arial" w:hAnsi="Arial"/>
                <w:sz w:val="22"/>
                <w:szCs w:val="22"/>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22"/>
                <w:szCs w:val="22"/>
              </w:rPr>
            </w:pPr>
            <w:r>
              <w:rPr>
                <w:rFonts w:cs="Arial" w:ascii="Arial" w:hAnsi="Arial"/>
                <w:sz w:val="22"/>
                <w:szCs w:val="22"/>
              </w:rPr>
              <w:t>AGREGADO RECICLADO - CLASSE A - MISTO(ARM)</w:t>
            </w:r>
          </w:p>
          <w:p>
            <w:pPr>
              <w:pStyle w:val="Normal"/>
              <w:widowControl w:val="false"/>
              <w:pBdr/>
              <w:rPr>
                <w:rFonts w:ascii="Arial" w:hAnsi="Arial" w:cs="Arial"/>
                <w:sz w:val="22"/>
                <w:szCs w:val="22"/>
              </w:rPr>
            </w:pPr>
            <w:r>
              <w:rPr>
                <w:rFonts w:cs="Arial" w:ascii="Arial" w:hAnsi="Arial"/>
                <w:sz w:val="22"/>
                <w:szCs w:val="22"/>
              </w:rPr>
              <w:t>Especificações:</w:t>
            </w:r>
          </w:p>
          <w:p>
            <w:pPr>
              <w:pStyle w:val="Normal"/>
              <w:widowControl w:val="false"/>
              <w:pBdr/>
              <w:rPr>
                <w:rFonts w:ascii="Arial" w:hAnsi="Arial" w:cs="Arial"/>
                <w:sz w:val="22"/>
                <w:szCs w:val="22"/>
              </w:rPr>
            </w:pPr>
            <w:r>
              <w:rPr>
                <w:rFonts w:cs="Arial" w:ascii="Arial" w:hAnsi="Arial"/>
                <w:sz w:val="22"/>
                <w:szCs w:val="22"/>
              </w:rPr>
              <w:t>Coeficiente de uniformidade - Maior que 10</w:t>
            </w:r>
          </w:p>
          <w:p>
            <w:pPr>
              <w:pStyle w:val="Normal"/>
              <w:widowControl w:val="false"/>
              <w:pBdr/>
              <w:rPr>
                <w:rFonts w:ascii="Arial" w:hAnsi="Arial" w:cs="Arial"/>
                <w:sz w:val="22"/>
                <w:szCs w:val="22"/>
              </w:rPr>
            </w:pPr>
            <w:r>
              <w:rPr>
                <w:rFonts w:cs="Arial" w:ascii="Arial" w:hAnsi="Arial"/>
                <w:sz w:val="22"/>
                <w:szCs w:val="22"/>
              </w:rPr>
              <w:t>Índice de Forma - Menor ou igual a 3</w:t>
            </w:r>
          </w:p>
          <w:p>
            <w:pPr>
              <w:pStyle w:val="Normal"/>
              <w:widowControl w:val="false"/>
              <w:pBdr/>
              <w:rPr>
                <w:rFonts w:ascii="Arial" w:hAnsi="Arial" w:cs="Arial"/>
                <w:sz w:val="22"/>
                <w:szCs w:val="22"/>
              </w:rPr>
            </w:pPr>
            <w:r>
              <w:rPr>
                <w:rFonts w:cs="Arial" w:ascii="Arial" w:hAnsi="Arial"/>
                <w:sz w:val="22"/>
                <w:szCs w:val="22"/>
              </w:rPr>
              <w:t>Dimensão Máxima Característica - Menor ou igual a 63mm</w:t>
            </w:r>
          </w:p>
          <w:p>
            <w:pPr>
              <w:pStyle w:val="Normal"/>
              <w:widowControl w:val="false"/>
              <w:pBdr/>
              <w:rPr>
                <w:rFonts w:ascii="Arial" w:hAnsi="Arial" w:cs="Arial"/>
                <w:sz w:val="22"/>
                <w:szCs w:val="22"/>
              </w:rPr>
            </w:pPr>
            <w:r>
              <w:rPr>
                <w:rFonts w:cs="Arial" w:ascii="Arial" w:hAnsi="Arial"/>
                <w:sz w:val="22"/>
                <w:szCs w:val="22"/>
              </w:rPr>
              <w:t>Teor de material passante na peneira de 0,42mm - 10 a 40%</w:t>
            </w:r>
          </w:p>
          <w:p>
            <w:pPr>
              <w:pStyle w:val="Normal"/>
              <w:widowControl w:val="false"/>
              <w:pBdr/>
              <w:rPr>
                <w:rFonts w:ascii="Arial" w:hAnsi="Arial" w:cs="Arial"/>
                <w:sz w:val="22"/>
                <w:szCs w:val="22"/>
              </w:rPr>
            </w:pPr>
            <w:r>
              <w:rPr>
                <w:rFonts w:cs="Arial" w:ascii="Arial" w:hAnsi="Arial"/>
                <w:sz w:val="22"/>
                <w:szCs w:val="22"/>
              </w:rPr>
              <w:t>Contaminantes - materiais não minerais  de mesmas características - Até 2%</w:t>
            </w:r>
          </w:p>
          <w:p>
            <w:pPr>
              <w:pStyle w:val="Normal"/>
              <w:widowControl w:val="false"/>
              <w:pBdr/>
              <w:rPr>
                <w:rFonts w:ascii="Arial" w:hAnsi="Arial" w:cs="Arial"/>
                <w:sz w:val="22"/>
                <w:szCs w:val="22"/>
              </w:rPr>
            </w:pPr>
            <w:r>
              <w:rPr>
                <w:rFonts w:cs="Arial" w:ascii="Arial" w:hAnsi="Arial"/>
                <w:sz w:val="22"/>
                <w:szCs w:val="22"/>
              </w:rPr>
              <w:t>Contaminantes - materiais não minerais de características distintas - Até 3%</w:t>
            </w:r>
          </w:p>
          <w:p>
            <w:pPr>
              <w:pStyle w:val="Normal"/>
              <w:widowControl w:val="false"/>
              <w:pBdr/>
              <w:rPr>
                <w:rFonts w:ascii="Arial" w:hAnsi="Arial" w:cs="Arial"/>
                <w:sz w:val="22"/>
                <w:szCs w:val="22"/>
              </w:rPr>
            </w:pPr>
            <w:r>
              <w:rPr>
                <w:rFonts w:cs="Arial" w:ascii="Arial" w:hAnsi="Arial"/>
                <w:sz w:val="22"/>
                <w:szCs w:val="22"/>
              </w:rPr>
              <w:t xml:space="preserve">Contaminantes - Sulfatos - Até 2% </w:t>
            </w:r>
          </w:p>
          <w:p>
            <w:pPr>
              <w:pStyle w:val="Normal"/>
              <w:widowControl w:val="false"/>
              <w:pBdr/>
              <w:rPr>
                <w:rFonts w:ascii="Arial" w:hAnsi="Arial" w:cs="Arial"/>
                <w:sz w:val="22"/>
                <w:szCs w:val="22"/>
              </w:rPr>
            </w:pPr>
            <w:r>
              <w:rPr>
                <w:rFonts w:cs="Arial" w:ascii="Arial" w:hAnsi="Arial"/>
                <w:sz w:val="22"/>
                <w:szCs w:val="22"/>
              </w:rPr>
              <w:t>Índice de Suporte Califórnia(CRB) - Maior ou igual a 20%</w:t>
            </w:r>
          </w:p>
          <w:p>
            <w:pPr>
              <w:pStyle w:val="Normal"/>
              <w:widowControl w:val="false"/>
              <w:pBdr/>
              <w:rPr>
                <w:rFonts w:ascii="Arial" w:hAnsi="Arial" w:cs="Arial"/>
                <w:sz w:val="22"/>
                <w:szCs w:val="22"/>
              </w:rPr>
            </w:pPr>
            <w:r>
              <w:rPr>
                <w:rFonts w:cs="Arial" w:ascii="Arial" w:hAnsi="Arial"/>
                <w:sz w:val="22"/>
                <w:szCs w:val="22"/>
              </w:rPr>
              <w:t>Expansibilidade - Menor ou igual a 1,0%</w:t>
            </w:r>
          </w:p>
        </w:tc>
      </w:tr>
    </w:tbl>
    <w:p>
      <w:pPr>
        <w:pStyle w:val="Normal"/>
        <w:rPr>
          <w:rFonts w:ascii="Arial" w:hAnsi="Arial" w:cs="Arial"/>
          <w:sz w:val="22"/>
          <w:szCs w:val="22"/>
        </w:rPr>
      </w:pPr>
      <w:r>
        <w:rPr>
          <w:rFonts w:cs="Arial" w:ascii="Arial" w:hAnsi="Arial"/>
          <w:sz w:val="22"/>
          <w:szCs w:val="22"/>
        </w:rPr>
      </w:r>
    </w:p>
    <w:p>
      <w:pPr>
        <w:pStyle w:val="Nivel2"/>
        <w:numPr>
          <w:ilvl w:val="0"/>
          <w:numId w:val="0"/>
        </w:numPr>
        <w:spacing w:before="120" w:after="288"/>
        <w:ind w:left="0" w:hanging="0"/>
        <w:jc w:val="center"/>
        <w:rPr>
          <w:b/>
          <w:b/>
          <w:color w:val="auto"/>
          <w:sz w:val="22"/>
          <w:szCs w:val="22"/>
          <w:u w:val="single"/>
        </w:rPr>
      </w:pPr>
      <w:r>
        <w:rPr>
          <w:b/>
          <w:color w:val="auto"/>
          <w:sz w:val="22"/>
          <w:szCs w:val="22"/>
          <w:u w:val="single"/>
        </w:rPr>
      </w:r>
    </w:p>
    <w:p>
      <w:pPr>
        <w:pStyle w:val="Nivel2"/>
        <w:numPr>
          <w:ilvl w:val="0"/>
          <w:numId w:val="0"/>
        </w:numPr>
        <w:spacing w:before="120" w:after="288"/>
        <w:ind w:left="0" w:hanging="0"/>
        <w:jc w:val="center"/>
        <w:rPr>
          <w:b/>
          <w:b/>
          <w:color w:val="auto"/>
          <w:sz w:val="22"/>
          <w:szCs w:val="22"/>
          <w:u w:val="single"/>
        </w:rPr>
      </w:pPr>
      <w:r>
        <w:rPr>
          <w:b/>
          <w:color w:val="auto"/>
          <w:sz w:val="22"/>
          <w:szCs w:val="22"/>
          <w:u w:val="single"/>
        </w:rPr>
      </w:r>
    </w:p>
    <w:p>
      <w:pPr>
        <w:pStyle w:val="Nivel2"/>
        <w:numPr>
          <w:ilvl w:val="0"/>
          <w:numId w:val="0"/>
        </w:numPr>
        <w:spacing w:before="120" w:after="288"/>
        <w:ind w:left="0" w:hanging="0"/>
        <w:jc w:val="center"/>
        <w:rPr>
          <w:b/>
          <w:b/>
          <w:color w:val="auto"/>
          <w:sz w:val="22"/>
          <w:szCs w:val="22"/>
          <w:u w:val="single"/>
        </w:rPr>
      </w:pPr>
      <w:r>
        <w:rPr>
          <w:b/>
          <w:color w:val="auto"/>
          <w:sz w:val="22"/>
          <w:szCs w:val="22"/>
          <w:u w:val="single"/>
        </w:rPr>
      </w:r>
    </w:p>
    <w:p>
      <w:pPr>
        <w:pStyle w:val="Nivel2"/>
        <w:numPr>
          <w:ilvl w:val="0"/>
          <w:numId w:val="0"/>
        </w:numPr>
        <w:spacing w:before="120" w:after="288"/>
        <w:ind w:left="0" w:hanging="0"/>
        <w:jc w:val="center"/>
        <w:rPr>
          <w:b/>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1"/>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22"/>
                <w:szCs w:val="22"/>
              </w:rPr>
            </w:pPr>
            <w:r>
              <w:rPr>
                <w:rFonts w:cs="Arial" w:ascii="Arial" w:hAnsi="Arial"/>
                <w:sz w:val="22"/>
                <w:szCs w:val="22"/>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22"/>
                <w:szCs w:val="22"/>
              </w:rPr>
            </w:pPr>
            <w:r>
              <w:rPr>
                <w:rFonts w:cs="Arial" w:ascii="Arial" w:hAnsi="Arial"/>
                <w:sz w:val="22"/>
                <w:szCs w:val="22"/>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22"/>
                <w:szCs w:val="22"/>
              </w:rPr>
            </w:pPr>
            <w:r>
              <w:rPr>
                <w:rFonts w:cs="Arial" w:ascii="Arial" w:hAnsi="Arial"/>
                <w:sz w:val="22"/>
                <w:szCs w:val="22"/>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22"/>
                <w:szCs w:val="22"/>
              </w:rPr>
            </w:pPr>
            <w:r>
              <w:rPr>
                <w:rFonts w:cs="Arial" w:ascii="Arial" w:hAnsi="Arial"/>
                <w:sz w:val="22"/>
                <w:szCs w:val="22"/>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22"/>
                <w:szCs w:val="22"/>
              </w:rPr>
            </w:pPr>
            <w:r>
              <w:rPr>
                <w:rFonts w:cs="Arial" w:ascii="Arial" w:hAnsi="Arial"/>
                <w:sz w:val="22"/>
                <w:szCs w:val="22"/>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22"/>
                <w:szCs w:val="22"/>
              </w:rPr>
            </w:pPr>
            <w:r>
              <w:rPr>
                <w:rFonts w:cs="Arial" w:ascii="Arial" w:hAnsi="Arial"/>
                <w:sz w:val="22"/>
                <w:szCs w:val="22"/>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22"/>
                <w:szCs w:val="22"/>
              </w:rPr>
            </w:pPr>
            <w:r>
              <w:rPr>
                <w:rFonts w:cs="Arial" w:ascii="Arial" w:hAnsi="Arial"/>
                <w:sz w:val="22"/>
                <w:szCs w:val="22"/>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22"/>
                <w:szCs w:val="22"/>
              </w:rPr>
            </w:pPr>
            <w:r>
              <w:rPr>
                <w:rFonts w:cs="Arial" w:ascii="Arial" w:hAnsi="Arial"/>
                <w:sz w:val="22"/>
                <w:szCs w:val="22"/>
              </w:rPr>
              <w:t>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22"/>
                <w:szCs w:val="22"/>
              </w:rPr>
            </w:pPr>
            <w:r>
              <w:rPr>
                <w:rFonts w:cs="Arial" w:ascii="Arial" w:hAnsi="Arial"/>
                <w:sz w:val="22"/>
                <w:szCs w:val="22"/>
              </w:rPr>
              <w:t>1.17.01.3868-0 - AGREGADO RECICLADO - CLASSE A - MISTO(ARM)</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22"/>
                <w:szCs w:val="22"/>
              </w:rPr>
            </w:pPr>
            <w:r>
              <w:rPr>
                <w:rFonts w:cs="Arial" w:ascii="Arial" w:hAnsi="Arial"/>
                <w:sz w:val="22"/>
                <w:szCs w:val="22"/>
              </w:rPr>
              <w:t>M3</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22"/>
                <w:szCs w:val="22"/>
              </w:rPr>
            </w:pPr>
            <w:r>
              <w:rPr>
                <w:rFonts w:cs="Arial" w:ascii="Arial" w:hAnsi="Arial"/>
                <w:sz w:val="22"/>
                <w:szCs w:val="22"/>
              </w:rPr>
              <w:t>3.000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22"/>
                <w:szCs w:val="22"/>
              </w:rPr>
            </w:pPr>
            <w:r>
              <w:rPr>
                <w:rFonts w:cs="Arial" w:ascii="Arial" w:hAnsi="Arial"/>
                <w:sz w:val="22"/>
                <w:szCs w:val="22"/>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22"/>
                <w:szCs w:val="22"/>
              </w:rPr>
            </w:pPr>
            <w:r>
              <w:rPr>
                <w:rFonts w:cs="Arial" w:ascii="Arial" w:hAnsi="Arial"/>
                <w:sz w:val="22"/>
                <w:szCs w:val="22"/>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22"/>
                <w:szCs w:val="22"/>
              </w:rPr>
            </w:pPr>
            <w:r>
              <w:rPr>
                <w:rFonts w:cs="Arial" w:ascii="Arial" w:hAnsi="Arial"/>
                <w:sz w:val="22"/>
                <w:szCs w:val="22"/>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22"/>
                <w:szCs w:val="22"/>
              </w:rPr>
            </w:pPr>
            <w:r>
              <w:rPr>
                <w:rFonts w:cs="Arial" w:ascii="Arial" w:hAnsi="Arial"/>
                <w:sz w:val="22"/>
                <w:szCs w:val="22"/>
              </w:rPr>
              <w:t>AGREGADO RECICLADO - CLASSE A - MISTO(ARM)</w:t>
            </w:r>
          </w:p>
          <w:p>
            <w:pPr>
              <w:pStyle w:val="Normal"/>
              <w:widowControl w:val="false"/>
              <w:pBdr/>
              <w:rPr>
                <w:rFonts w:ascii="Arial" w:hAnsi="Arial" w:cs="Arial"/>
                <w:sz w:val="22"/>
                <w:szCs w:val="22"/>
              </w:rPr>
            </w:pPr>
            <w:r>
              <w:rPr>
                <w:rFonts w:cs="Arial" w:ascii="Arial" w:hAnsi="Arial"/>
                <w:sz w:val="22"/>
                <w:szCs w:val="22"/>
              </w:rPr>
              <w:t>Especificações:</w:t>
            </w:r>
          </w:p>
          <w:p>
            <w:pPr>
              <w:pStyle w:val="Normal"/>
              <w:widowControl w:val="false"/>
              <w:pBdr/>
              <w:rPr>
                <w:rFonts w:ascii="Arial" w:hAnsi="Arial" w:cs="Arial"/>
                <w:sz w:val="22"/>
                <w:szCs w:val="22"/>
              </w:rPr>
            </w:pPr>
            <w:r>
              <w:rPr>
                <w:rFonts w:cs="Arial" w:ascii="Arial" w:hAnsi="Arial"/>
                <w:sz w:val="22"/>
                <w:szCs w:val="22"/>
              </w:rPr>
              <w:t>Coeficiente de uniformidade - Maior que 10</w:t>
            </w:r>
          </w:p>
          <w:p>
            <w:pPr>
              <w:pStyle w:val="Normal"/>
              <w:widowControl w:val="false"/>
              <w:pBdr/>
              <w:rPr>
                <w:rFonts w:ascii="Arial" w:hAnsi="Arial" w:cs="Arial"/>
                <w:sz w:val="22"/>
                <w:szCs w:val="22"/>
              </w:rPr>
            </w:pPr>
            <w:r>
              <w:rPr>
                <w:rFonts w:cs="Arial" w:ascii="Arial" w:hAnsi="Arial"/>
                <w:sz w:val="22"/>
                <w:szCs w:val="22"/>
              </w:rPr>
              <w:t>Índice de Forma - Menor ou igual a 3</w:t>
            </w:r>
          </w:p>
          <w:p>
            <w:pPr>
              <w:pStyle w:val="Normal"/>
              <w:widowControl w:val="false"/>
              <w:pBdr/>
              <w:rPr>
                <w:rFonts w:ascii="Arial" w:hAnsi="Arial" w:cs="Arial"/>
                <w:sz w:val="22"/>
                <w:szCs w:val="22"/>
              </w:rPr>
            </w:pPr>
            <w:r>
              <w:rPr>
                <w:rFonts w:cs="Arial" w:ascii="Arial" w:hAnsi="Arial"/>
                <w:sz w:val="22"/>
                <w:szCs w:val="22"/>
              </w:rPr>
              <w:t>Dimensão Máxima Característica - Menor ou igual a 63mm</w:t>
            </w:r>
          </w:p>
          <w:p>
            <w:pPr>
              <w:pStyle w:val="Normal"/>
              <w:widowControl w:val="false"/>
              <w:pBdr/>
              <w:rPr>
                <w:rFonts w:ascii="Arial" w:hAnsi="Arial" w:cs="Arial"/>
                <w:sz w:val="22"/>
                <w:szCs w:val="22"/>
              </w:rPr>
            </w:pPr>
            <w:r>
              <w:rPr>
                <w:rFonts w:cs="Arial" w:ascii="Arial" w:hAnsi="Arial"/>
                <w:sz w:val="22"/>
                <w:szCs w:val="22"/>
              </w:rPr>
              <w:t>Teor de material passante na peneira de 0,42mm - 10 a 40%</w:t>
            </w:r>
          </w:p>
          <w:p>
            <w:pPr>
              <w:pStyle w:val="Normal"/>
              <w:widowControl w:val="false"/>
              <w:pBdr/>
              <w:rPr>
                <w:rFonts w:ascii="Arial" w:hAnsi="Arial" w:cs="Arial"/>
                <w:sz w:val="22"/>
                <w:szCs w:val="22"/>
              </w:rPr>
            </w:pPr>
            <w:r>
              <w:rPr>
                <w:rFonts w:cs="Arial" w:ascii="Arial" w:hAnsi="Arial"/>
                <w:sz w:val="22"/>
                <w:szCs w:val="22"/>
              </w:rPr>
              <w:t>Contaminantes - materiais não minerais  de mesmas características - Até 2%</w:t>
            </w:r>
          </w:p>
          <w:p>
            <w:pPr>
              <w:pStyle w:val="Normal"/>
              <w:widowControl w:val="false"/>
              <w:pBdr/>
              <w:rPr>
                <w:rFonts w:ascii="Arial" w:hAnsi="Arial" w:cs="Arial"/>
                <w:sz w:val="22"/>
                <w:szCs w:val="22"/>
              </w:rPr>
            </w:pPr>
            <w:r>
              <w:rPr>
                <w:rFonts w:cs="Arial" w:ascii="Arial" w:hAnsi="Arial"/>
                <w:sz w:val="22"/>
                <w:szCs w:val="22"/>
              </w:rPr>
              <w:t>Contaminantes - materiais não minerais de características distintas - Até 3%</w:t>
            </w:r>
          </w:p>
          <w:p>
            <w:pPr>
              <w:pStyle w:val="Normal"/>
              <w:widowControl w:val="false"/>
              <w:pBdr/>
              <w:rPr>
                <w:rFonts w:ascii="Arial" w:hAnsi="Arial" w:cs="Arial"/>
                <w:sz w:val="22"/>
                <w:szCs w:val="22"/>
              </w:rPr>
            </w:pPr>
            <w:r>
              <w:rPr>
                <w:rFonts w:cs="Arial" w:ascii="Arial" w:hAnsi="Arial"/>
                <w:sz w:val="22"/>
                <w:szCs w:val="22"/>
              </w:rPr>
              <w:t xml:space="preserve">Contaminantes - Sulfatos - Até 2% </w:t>
            </w:r>
          </w:p>
          <w:p>
            <w:pPr>
              <w:pStyle w:val="Normal"/>
              <w:widowControl w:val="false"/>
              <w:pBdr/>
              <w:rPr>
                <w:rFonts w:ascii="Arial" w:hAnsi="Arial" w:cs="Arial"/>
                <w:sz w:val="22"/>
                <w:szCs w:val="22"/>
              </w:rPr>
            </w:pPr>
            <w:r>
              <w:rPr>
                <w:rFonts w:cs="Arial" w:ascii="Arial" w:hAnsi="Arial"/>
                <w:sz w:val="22"/>
                <w:szCs w:val="22"/>
              </w:rPr>
              <w:t>Índice de Suporte Califórnia(CRB) - Maior ou igual a 20%</w:t>
            </w:r>
          </w:p>
          <w:p>
            <w:pPr>
              <w:pStyle w:val="Normal"/>
              <w:widowControl w:val="false"/>
              <w:pBdr/>
              <w:rPr>
                <w:rFonts w:ascii="Arial" w:hAnsi="Arial" w:cs="Arial"/>
                <w:sz w:val="22"/>
                <w:szCs w:val="22"/>
              </w:rPr>
            </w:pPr>
            <w:r>
              <w:rPr>
                <w:rFonts w:cs="Arial" w:ascii="Arial" w:hAnsi="Arial"/>
                <w:sz w:val="22"/>
                <w:szCs w:val="22"/>
              </w:rPr>
              <w:t>Expansibilidade - Menor ou igual a 1,0%</w:t>
            </w:r>
          </w:p>
        </w:tc>
      </w:tr>
    </w:tbl>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ind w:right="-54" w:hanging="0"/>
        <w:jc w:val="both"/>
        <w:rPr>
          <w:rFonts w:ascii="Arial" w:hAnsi="Arial" w:cs="Arial"/>
          <w:b/>
          <w:b/>
          <w:bCs/>
          <w:sz w:val="22"/>
          <w:szCs w:val="22"/>
        </w:rPr>
      </w:pPr>
      <w:r>
        <w:rPr>
          <w:rFonts w:cs="Arial" w:ascii="Arial" w:hAnsi="Arial"/>
          <w:b/>
          <w:bCs/>
          <w:sz w:val="22"/>
          <w:szCs w:val="22"/>
        </w:rPr>
        <w:t>ANEXO VI – MINUTA – ATA DE REGISTRO DE PREÇOS</w:t>
      </w:r>
    </w:p>
    <w:p>
      <w:pPr>
        <w:pStyle w:val="Normal"/>
        <w:ind w:right="-54" w:hanging="0"/>
        <w:jc w:val="both"/>
        <w:rPr>
          <w:rFonts w:ascii="Arial" w:hAnsi="Arial" w:cs="Arial"/>
          <w:b/>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
          <w:bCs/>
        </w:rPr>
      </w:pPr>
      <w:r>
        <w:rPr>
          <w:rFonts w:cs="Arial" w:ascii="Arial" w:hAnsi="Arial"/>
          <w:b/>
          <w:bCs/>
        </w:rPr>
        <w:t>MINUTA DA ATA DE REGISTRO DE PREÇO nº XX/2024</w:t>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
          <w:bCs/>
        </w:rPr>
      </w:pPr>
      <w:r>
        <w:rPr>
          <w:rFonts w:cs="Arial" w:ascii="Arial" w:hAnsi="Arial"/>
          <w:b/>
          <w:bCs/>
        </w:rPr>
        <w:t xml:space="preserve">PREGÃO ELETRÔNICO nº </w:t>
      </w:r>
      <w:r>
        <w:rPr>
          <w:rFonts w:cs="Arial" w:ascii="Arial" w:hAnsi="Arial"/>
          <w:b/>
          <w:bCs/>
        </w:rPr>
        <w:t>69/2024</w:t>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
          <w:bCs/>
        </w:rPr>
      </w:pPr>
      <w:r>
        <w:rPr>
          <w:rFonts w:cs="Arial" w:ascii="Arial" w:hAnsi="Arial"/>
          <w:b/>
          <w:bCs/>
        </w:rPr>
        <w:t>PROCESSO nº 6.429/2024</w:t>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
          <w:bCs/>
          <w:iCs/>
        </w:rPr>
      </w:pPr>
      <w:r>
        <w:rPr>
          <w:rFonts w:cs="Arial" w:ascii="Arial" w:hAnsi="Arial"/>
          <w:b/>
          <w:bCs/>
          <w:iCs/>
        </w:rPr>
      </w:r>
    </w:p>
    <w:p>
      <w:pPr>
        <w:pStyle w:val="Normal"/>
        <w:jc w:val="both"/>
        <w:rPr>
          <w:rFonts w:ascii="Arial" w:hAnsi="Arial" w:cs="Arial"/>
          <w:b/>
          <w:b/>
          <w:bCs/>
          <w:iCs/>
          <w:sz w:val="22"/>
          <w:szCs w:val="22"/>
        </w:rPr>
      </w:pPr>
      <w:r>
        <w:rPr>
          <w:rFonts w:cs="Arial" w:ascii="Arial" w:hAnsi="Arial"/>
          <w:b/>
          <w:bCs/>
          <w:iCs/>
          <w:sz w:val="22"/>
          <w:szCs w:val="22"/>
        </w:rPr>
      </w:r>
    </w:p>
    <w:p>
      <w:pPr>
        <w:pStyle w:val="Normal"/>
        <w:widowControl w:val="false"/>
        <w:ind w:right="-30" w:hanging="0"/>
        <w:jc w:val="both"/>
        <w:rPr>
          <w:rFonts w:ascii="Arial" w:hAnsi="Arial" w:cs="Arial"/>
          <w:b/>
          <w:b/>
          <w:bCs/>
          <w:iCs/>
          <w:sz w:val="22"/>
          <w:szCs w:val="22"/>
        </w:rPr>
      </w:pPr>
      <w:r>
        <w:rPr>
          <w:rFonts w:cs="Arial" w:ascii="Arial" w:hAnsi="Arial"/>
          <w:b/>
          <w:bCs/>
          <w:iCs/>
          <w:sz w:val="22"/>
          <w:szCs w:val="22"/>
        </w:rPr>
      </w:r>
    </w:p>
    <w:p>
      <w:pPr>
        <w:pStyle w:val="NoSpacing"/>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jc w:val="both"/>
        <w:rPr>
          <w:rFonts w:ascii="Arial" w:hAnsi="Arial" w:cs="Arial"/>
        </w:rPr>
      </w:pPr>
      <w:r>
        <w:rPr>
          <w:rFonts w:cs="Arial" w:ascii="Arial" w:hAnsi="Arial"/>
        </w:rPr>
      </w:r>
    </w:p>
    <w:p>
      <w:pPr>
        <w:pStyle w:val="Nivel01"/>
        <w:tabs>
          <w:tab w:val="left" w:pos="0" w:leader="none"/>
          <w:tab w:val="left" w:pos="567" w:leader="none"/>
        </w:tabs>
        <w:ind w:left="0" w:hanging="0"/>
        <w:rPr>
          <w:sz w:val="22"/>
          <w:szCs w:val="22"/>
        </w:rPr>
      </w:pPr>
      <w:r>
        <w:rPr>
          <w:sz w:val="22"/>
          <w:szCs w:val="22"/>
        </w:rPr>
        <w:t>1 - DO OBJETO</w:t>
      </w:r>
    </w:p>
    <w:p>
      <w:pPr>
        <w:pStyle w:val="Nivel2"/>
        <w:numPr>
          <w:ilvl w:val="0"/>
          <w:numId w:val="0"/>
        </w:numPr>
        <w:tabs>
          <w:tab w:val="clear" w:pos="709"/>
          <w:tab w:val="left" w:pos="0" w:leader="none"/>
        </w:tabs>
        <w:spacing w:lineRule="auto" w:line="240"/>
        <w:ind w:left="0" w:hanging="0"/>
        <w:rPr>
          <w:sz w:val="22"/>
          <w:szCs w:val="22"/>
        </w:rPr>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/2024 que é parte integrante desta Ata, assim como as propostas cujos preços tenham sido registrados, independentemente de transcrição.</w:t>
      </w:r>
    </w:p>
    <w:p>
      <w:pPr>
        <w:pStyle w:val="Nivel01"/>
        <w:ind w:left="0" w:hanging="0"/>
        <w:rPr>
          <w:sz w:val="22"/>
          <w:szCs w:val="22"/>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ind w:left="0" w:hanging="0"/>
        <w:rPr/>
      </w:pPr>
      <w:r>
        <w:rPr/>
        <w:t xml:space="preserve">FORNECEDOR: XXX </w:t>
      </w:r>
    </w:p>
    <w:p>
      <w:pPr>
        <w:pStyle w:val="Nivel01"/>
        <w:pBdr>
          <w:top w:val="single" w:sz="4" w:space="1" w:color="000000"/>
          <w:left w:val="single" w:sz="4" w:space="4" w:color="000000"/>
          <w:bottom w:val="single" w:sz="4" w:space="1" w:color="000000"/>
          <w:right w:val="single" w:sz="4" w:space="4" w:color="000000"/>
        </w:pBdr>
        <w:ind w:left="0" w:hanging="0"/>
        <w:rPr/>
      </w:pPr>
      <w:r>
        <w:rPr/>
        <w:t xml:space="preserve">ENDEREÇO: XXX </w:t>
      </w:r>
    </w:p>
    <w:p>
      <w:pPr>
        <w:pStyle w:val="Nivel01"/>
        <w:pBdr>
          <w:top w:val="single" w:sz="4" w:space="1" w:color="000000"/>
          <w:left w:val="single" w:sz="4" w:space="4" w:color="000000"/>
          <w:bottom w:val="single" w:sz="4" w:space="1" w:color="000000"/>
          <w:right w:val="single" w:sz="4" w:space="4" w:color="000000"/>
        </w:pBdr>
        <w:ind w:left="0" w:hanging="0"/>
        <w:rPr/>
      </w:pPr>
      <w:r>
        <w:rPr/>
        <w:t xml:space="preserve">BAIRRO: XXX </w:t>
      </w:r>
    </w:p>
    <w:p>
      <w:pPr>
        <w:pStyle w:val="Nivel01"/>
        <w:pBdr>
          <w:top w:val="single" w:sz="4" w:space="1" w:color="000000"/>
          <w:left w:val="single" w:sz="4" w:space="4" w:color="000000"/>
          <w:bottom w:val="single" w:sz="4" w:space="1" w:color="000000"/>
          <w:right w:val="single" w:sz="4" w:space="4" w:color="000000"/>
        </w:pBdr>
        <w:ind w:left="0" w:hanging="0"/>
        <w:rPr/>
      </w:pPr>
      <w:r>
        <w:rPr/>
        <w:t xml:space="preserve">CIDADE: XXX ESTADO: XXX      CEP: XXX     </w:t>
      </w:r>
    </w:p>
    <w:p>
      <w:pPr>
        <w:pStyle w:val="Nivel01"/>
        <w:pBdr>
          <w:top w:val="single" w:sz="4" w:space="1" w:color="000000"/>
          <w:left w:val="single" w:sz="4" w:space="4" w:color="000000"/>
          <w:bottom w:val="single" w:sz="4" w:space="1" w:color="000000"/>
          <w:right w:val="single" w:sz="4" w:space="4" w:color="000000"/>
        </w:pBdr>
        <w:ind w:left="0" w:hanging="0"/>
        <w:rPr/>
      </w:pPr>
      <w:r>
        <w:rPr/>
        <w:t xml:space="preserve">TELEFONE: XXX                CPF/CNPJ: XXX </w:t>
      </w:r>
    </w:p>
    <w:p>
      <w:pPr>
        <w:pStyle w:val="Nivel01"/>
        <w:pBdr>
          <w:top w:val="single" w:sz="4" w:space="1" w:color="000000"/>
          <w:left w:val="single" w:sz="4" w:space="4" w:color="000000"/>
          <w:bottom w:val="single" w:sz="4" w:space="1" w:color="000000"/>
          <w:right w:val="single" w:sz="4" w:space="4" w:color="000000"/>
        </w:pBdr>
        <w:ind w:left="0" w:hanging="0"/>
        <w:rPr/>
      </w:pPr>
      <w:r>
        <w:rPr/>
        <w:t>CONDIÇÃO DE PAGAMENTO: XXX</w:t>
      </w:r>
    </w:p>
    <w:p>
      <w:pPr>
        <w:pStyle w:val="Nivel01"/>
        <w:pBdr>
          <w:top w:val="single" w:sz="4" w:space="1" w:color="000000"/>
          <w:left w:val="single" w:sz="4" w:space="4" w:color="000000"/>
          <w:bottom w:val="single" w:sz="4" w:space="1" w:color="000000"/>
          <w:right w:val="single" w:sz="4" w:space="4" w:color="000000"/>
        </w:pBdr>
        <w:ind w:left="0" w:hanging="0"/>
        <w:rPr/>
      </w:pPr>
      <w:r>
        <w:rPr>
          <w:rFonts w:eastAsia="Arial"/>
        </w:rPr>
        <w:t xml:space="preserve"> </w:t>
      </w:r>
      <w:r>
        <w:rPr/>
        <w:t>PRAZO DE ENTREGA: XXX</w:t>
      </w:r>
    </w:p>
    <w:p>
      <w:pPr>
        <w:pStyle w:val="Nivel01"/>
        <w:ind w:left="0" w:hanging="0"/>
        <w:rPr>
          <w:sz w:val="22"/>
          <w:szCs w:val="22"/>
        </w:rPr>
      </w:pPr>
      <w:r>
        <w:rPr>
          <w:sz w:val="22"/>
          <w:szCs w:val="22"/>
        </w:rPr>
      </w:r>
    </w:p>
    <w:p>
      <w:pPr>
        <w:pStyle w:val="Nivel01"/>
        <w:ind w:left="0" w:hanging="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240"/>
        <w:ind w:left="0" w:hanging="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7"/>
        <w:gridCol w:w="1537"/>
        <w:gridCol w:w="790"/>
        <w:gridCol w:w="1410"/>
        <w:gridCol w:w="1666"/>
        <w:gridCol w:w="1561"/>
        <w:gridCol w:w="1305"/>
      </w:tblGrid>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22"/>
                <w:szCs w:val="22"/>
              </w:rPr>
            </w:pPr>
            <w:r>
              <w:rPr>
                <w:rFonts w:cs="Arial" w:ascii="Arial" w:hAnsi="Arial"/>
                <w:sz w:val="22"/>
                <w:szCs w:val="22"/>
              </w:rPr>
              <w:t>1</w:t>
            </w:r>
          </w:p>
        </w:tc>
        <w:tc>
          <w:tcPr>
            <w:tcW w:w="15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0"/>
          <w:numId w:val="0"/>
        </w:numPr>
        <w:tabs>
          <w:tab w:val="clear" w:pos="709"/>
          <w:tab w:val="left" w:pos="0" w:leader="none"/>
        </w:tabs>
        <w:spacing w:lineRule="auto" w:line="240"/>
        <w:ind w:left="0" w:hanging="0"/>
        <w:rPr>
          <w:sz w:val="22"/>
          <w:szCs w:val="22"/>
          <w:lang w:eastAsia="en-US"/>
        </w:rPr>
      </w:pPr>
      <w:r>
        <w:rPr>
          <w:sz w:val="22"/>
          <w:szCs w:val="22"/>
          <w:lang w:eastAsia="en-US"/>
        </w:rPr>
        <w:t>A listagem do cadastro de reserva referente ao presente registro de preços consta como anexo a esta Ata.</w:t>
      </w:r>
    </w:p>
    <w:p>
      <w:pPr>
        <w:pStyle w:val="Nivel01"/>
        <w:ind w:left="0" w:hanging="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240"/>
        <w:ind w:left="0" w:hanging="0"/>
        <w:rPr>
          <w:sz w:val="22"/>
          <w:szCs w:val="22"/>
        </w:rPr>
      </w:pPr>
      <w:r>
        <w:rPr>
          <w:sz w:val="22"/>
          <w:szCs w:val="22"/>
        </w:rPr>
        <w:t>4.1 - O órgão gerenciador será a Seção de Licitações:</w:t>
      </w:r>
    </w:p>
    <w:p>
      <w:pPr>
        <w:pStyle w:val="Nvel2Red"/>
        <w:spacing w:lineRule="auto" w:line="240"/>
        <w:ind w:left="0" w:hanging="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hanging="0"/>
              <w:jc w:val="both"/>
              <w:rPr>
                <w:rFonts w:ascii="Arial" w:hAnsi="Arial" w:cs="Arial"/>
                <w:i/>
                <w:i/>
                <w:iCs/>
                <w:sz w:val="22"/>
                <w:szCs w:val="22"/>
              </w:rPr>
            </w:pPr>
            <w:r>
              <w:rPr>
                <w:rFonts w:cs="Arial" w:ascii="Arial" w:hAnsi="Arial"/>
                <w:i/>
                <w:iCs/>
                <w:sz w:val="22"/>
                <w:szCs w:val="22"/>
              </w:rPr>
            </w:r>
          </w:p>
        </w:tc>
      </w:tr>
    </w:tbl>
    <w:p>
      <w:pPr>
        <w:pStyle w:val="Nivel01"/>
        <w:ind w:left="0" w:hanging="0"/>
        <w:rPr>
          <w:sz w:val="22"/>
          <w:szCs w:val="22"/>
        </w:rPr>
      </w:pPr>
      <w:r>
        <w:rPr>
          <w:sz w:val="22"/>
          <w:szCs w:val="22"/>
        </w:rPr>
        <w:t>5 - DA ADESÃO À ATA DE REGISTRO DE PREÇOS</w:t>
      </w:r>
    </w:p>
    <w:p>
      <w:pPr>
        <w:pStyle w:val="Nivel01"/>
        <w:numPr>
          <w:ilvl w:val="1"/>
          <w:numId w:val="4"/>
        </w:numPr>
        <w:tabs>
          <w:tab w:val="left" w:pos="0" w:leader="none"/>
          <w:tab w:val="left" w:pos="567" w:leader="none"/>
        </w:tabs>
        <w:ind w:left="0" w:hanging="0"/>
        <w:rPr>
          <w:sz w:val="22"/>
          <w:szCs w:val="22"/>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24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240"/>
        <w:rPr>
          <w:sz w:val="22"/>
          <w:szCs w:val="22"/>
        </w:rPr>
      </w:pPr>
      <w:r>
        <w:rPr>
          <w:sz w:val="22"/>
          <w:szCs w:val="22"/>
        </w:rPr>
        <w:t>VEDAÇÃO A ACRÉSCIMO DE QUANTITATIVOS</w:t>
      </w:r>
    </w:p>
    <w:p>
      <w:pPr>
        <w:pStyle w:val="Nivel2"/>
        <w:numPr>
          <w:ilvl w:val="1"/>
          <w:numId w:val="4"/>
        </w:numPr>
        <w:spacing w:lineRule="auto" w:line="24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ind w:left="0" w:hanging="0"/>
        <w:rPr>
          <w:sz w:val="22"/>
          <w:szCs w:val="22"/>
        </w:rPr>
      </w:pPr>
      <w:r>
        <w:rPr>
          <w:sz w:val="22"/>
          <w:szCs w:val="22"/>
        </w:rPr>
        <w:t>VALIDADE, FORMALIZAÇÃO DA ATA DE REGISTRO DE PREÇOS E CADASTRO RESERVA</w:t>
      </w:r>
    </w:p>
    <w:p>
      <w:pPr>
        <w:pStyle w:val="Nivel2"/>
        <w:numPr>
          <w:ilvl w:val="1"/>
          <w:numId w:val="4"/>
        </w:numPr>
        <w:spacing w:lineRule="auto" w:line="240"/>
        <w:ind w:left="0" w:hanging="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240"/>
        <w:ind w:left="567" w:hanging="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240"/>
        <w:ind w:left="567" w:hanging="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240"/>
        <w:ind w:left="0" w:hanging="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240"/>
        <w:ind w:left="567" w:hanging="0"/>
        <w:rPr>
          <w:sz w:val="22"/>
          <w:szCs w:val="22"/>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240"/>
        <w:ind w:left="0" w:hanging="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240"/>
        <w:ind w:left="0" w:hanging="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240"/>
        <w:ind w:left="567" w:hanging="0"/>
        <w:rPr>
          <w:sz w:val="22"/>
          <w:szCs w:val="22"/>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240"/>
        <w:ind w:left="567" w:hanging="0"/>
        <w:rPr>
          <w:sz w:val="22"/>
          <w:szCs w:val="22"/>
        </w:rPr>
      </w:pPr>
      <w:r>
        <w:rPr>
          <w:sz w:val="22"/>
          <w:szCs w:val="22"/>
        </w:rPr>
        <w:t>Será incluído na ata, na forma de anexo, o registro dos licitantes ou dos fornecedores que:</w:t>
      </w:r>
    </w:p>
    <w:p>
      <w:pPr>
        <w:pStyle w:val="Nvel4"/>
        <w:spacing w:lineRule="auto" w:line="24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240"/>
        <w:rPr>
          <w:sz w:val="22"/>
          <w:szCs w:val="22"/>
        </w:rPr>
      </w:pPr>
      <w:r>
        <w:rPr>
          <w:sz w:val="22"/>
          <w:szCs w:val="22"/>
        </w:rPr>
        <w:t xml:space="preserve">Mantiverem sua proposta original. </w:t>
      </w:r>
      <w:bookmarkStart w:id="41" w:name="cadastro_reserva"/>
      <w:bookmarkEnd w:id="41"/>
    </w:p>
    <w:p>
      <w:pPr>
        <w:pStyle w:val="Nvel3"/>
        <w:numPr>
          <w:ilvl w:val="2"/>
          <w:numId w:val="4"/>
        </w:numPr>
        <w:spacing w:lineRule="auto" w:line="240"/>
        <w:ind w:left="567" w:hanging="0"/>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240"/>
        <w:ind w:left="0" w:hanging="0"/>
        <w:rPr>
          <w:sz w:val="22"/>
          <w:szCs w:val="22"/>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240"/>
        <w:ind w:left="0" w:hanging="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240"/>
        <w:ind w:left="0" w:hanging="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2" w:name="habilitacao_reserva"/>
      <w:bookmarkEnd w:id="42"/>
    </w:p>
    <w:p>
      <w:pPr>
        <w:pStyle w:val="Nvel3"/>
        <w:numPr>
          <w:ilvl w:val="2"/>
          <w:numId w:val="4"/>
        </w:numPr>
        <w:spacing w:lineRule="auto" w:line="240"/>
        <w:ind w:left="567" w:hanging="0"/>
        <w:rPr>
          <w:sz w:val="22"/>
          <w:szCs w:val="22"/>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240"/>
        <w:ind w:left="567" w:hanging="0"/>
        <w:rPr>
          <w:sz w:val="22"/>
          <w:szCs w:val="22"/>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240"/>
        <w:ind w:left="0" w:hanging="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240"/>
        <w:ind w:left="0" w:hanging="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240"/>
        <w:ind w:left="567" w:hanging="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240"/>
        <w:ind w:left="0" w:hanging="0"/>
        <w:rPr>
          <w:sz w:val="22"/>
          <w:szCs w:val="22"/>
        </w:rPr>
      </w:pPr>
      <w:r>
        <w:rPr>
          <w:sz w:val="22"/>
          <w:szCs w:val="22"/>
        </w:rPr>
        <w:t>A ata de registro de preços poderá ser assinada por meio de assinatura digital.</w:t>
      </w:r>
    </w:p>
    <w:p>
      <w:pPr>
        <w:pStyle w:val="Nivel2"/>
        <w:numPr>
          <w:ilvl w:val="1"/>
          <w:numId w:val="4"/>
        </w:numPr>
        <w:spacing w:lineRule="auto" w:line="240"/>
        <w:ind w:left="0" w:hanging="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3" w:name="recusa_dos_que_baixaram_preco"/>
      <w:bookmarkEnd w:id="43"/>
    </w:p>
    <w:p>
      <w:pPr>
        <w:pStyle w:val="Nivel2"/>
        <w:numPr>
          <w:ilvl w:val="1"/>
          <w:numId w:val="4"/>
        </w:numPr>
        <w:spacing w:lineRule="auto" w:line="240"/>
        <w:ind w:left="0" w:hanging="0"/>
        <w:rPr>
          <w:sz w:val="22"/>
          <w:szCs w:val="22"/>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240"/>
        <w:ind w:left="567" w:hanging="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240"/>
        <w:ind w:left="567" w:hanging="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0"/>
          <w:numId w:val="0"/>
        </w:numPr>
        <w:spacing w:lineRule="auto" w:line="240"/>
        <w:ind w:left="0" w:hanging="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4"/>
        </w:numPr>
        <w:tabs>
          <w:tab w:val="left" w:pos="0" w:leader="none"/>
          <w:tab w:val="left" w:pos="567" w:leader="none"/>
        </w:tabs>
        <w:ind w:left="0" w:hanging="11"/>
        <w:rPr>
          <w:sz w:val="22"/>
          <w:szCs w:val="22"/>
        </w:rPr>
      </w:pPr>
      <w:r>
        <w:rPr>
          <w:sz w:val="22"/>
          <w:szCs w:val="22"/>
        </w:rPr>
        <w:t>ALTERAÇÃO OU ATUALIZAÇÃO DOS PREÇOS REGISTRADOS</w:t>
      </w:r>
    </w:p>
    <w:p>
      <w:pPr>
        <w:pStyle w:val="Nivel2"/>
        <w:numPr>
          <w:ilvl w:val="1"/>
          <w:numId w:val="4"/>
        </w:numPr>
        <w:spacing w:lineRule="auto" w:line="240"/>
        <w:ind w:left="0" w:hanging="0"/>
        <w:rPr>
          <w:sz w:val="22"/>
          <w:szCs w:val="22"/>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240"/>
        <w:ind w:left="567"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240"/>
        <w:ind w:left="567" w:hanging="0"/>
        <w:rPr>
          <w:sz w:val="22"/>
          <w:szCs w:val="22"/>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ListParagraph"/>
        <w:numPr>
          <w:ilvl w:val="1"/>
          <w:numId w:val="4"/>
        </w:numPr>
        <w:spacing w:lineRule="auto" w:line="240"/>
        <w:rPr>
          <w:rFonts w:ascii="Arial" w:hAnsi="Arial" w:cs="Arial"/>
        </w:rPr>
      </w:pPr>
      <w:bookmarkStart w:id="44" w:name="_Hlk165615619"/>
      <w:r>
        <w:rPr>
          <w:rFonts w:eastAsia="MS Mincho;ＭＳ 明朝" w:cs="Arial" w:ascii="Arial" w:hAnsi="Arial"/>
        </w:rPr>
        <w:t>- Caso o prazo exceda os 12 (doze) meses previstos, os preços serão reajustados de acordo com o índice de variação do IPCA-IBGE.</w:t>
      </w:r>
      <w:bookmarkEnd w:id="44"/>
    </w:p>
    <w:p>
      <w:pPr>
        <w:pStyle w:val="Nivel01"/>
        <w:numPr>
          <w:ilvl w:val="0"/>
          <w:numId w:val="4"/>
        </w:numPr>
        <w:tabs>
          <w:tab w:val="left" w:pos="0" w:leader="none"/>
          <w:tab w:val="left" w:pos="567" w:leader="none"/>
        </w:tabs>
        <w:ind w:left="0" w:hanging="11"/>
        <w:rPr>
          <w:sz w:val="22"/>
          <w:szCs w:val="22"/>
        </w:rPr>
      </w:pPr>
      <w:r>
        <w:rPr>
          <w:sz w:val="22"/>
          <w:szCs w:val="22"/>
        </w:rPr>
        <w:t>NEGOCIAÇÃO DE PREÇOS REGISTRADOS</w:t>
      </w:r>
    </w:p>
    <w:p>
      <w:pPr>
        <w:pStyle w:val="Nivel2"/>
        <w:numPr>
          <w:ilvl w:val="1"/>
          <w:numId w:val="4"/>
        </w:numPr>
        <w:spacing w:lineRule="auto" w:line="240"/>
        <w:ind w:left="0" w:hanging="0"/>
        <w:rPr>
          <w:sz w:val="22"/>
          <w:szCs w:val="22"/>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240"/>
        <w:ind w:left="567" w:hanging="0"/>
        <w:rPr>
          <w:sz w:val="22"/>
          <w:szCs w:val="22"/>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240"/>
        <w:ind w:left="567" w:hanging="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240"/>
        <w:ind w:left="567" w:hanging="0"/>
        <w:rPr>
          <w:sz w:val="22"/>
          <w:szCs w:val="22"/>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5" w:name="reducao_preco_mercado_negociacao_frustra"/>
      <w:bookmarkEnd w:id="45"/>
    </w:p>
    <w:p>
      <w:pPr>
        <w:pStyle w:val="Nvel3"/>
        <w:numPr>
          <w:ilvl w:val="2"/>
          <w:numId w:val="4"/>
        </w:numPr>
        <w:spacing w:lineRule="auto" w:line="240"/>
        <w:ind w:left="567" w:hanging="0"/>
        <w:rPr>
          <w:sz w:val="22"/>
          <w:szCs w:val="22"/>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240"/>
        <w:ind w:left="0" w:hanging="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6" w:name="hipotese_preco_mercado_maior"/>
      <w:bookmarkEnd w:id="46"/>
    </w:p>
    <w:p>
      <w:pPr>
        <w:pStyle w:val="Nvel3"/>
        <w:numPr>
          <w:ilvl w:val="2"/>
          <w:numId w:val="4"/>
        </w:numPr>
        <w:spacing w:lineRule="auto" w:line="240"/>
        <w:ind w:left="567" w:hanging="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7" w:name="prova_preco_mercado_maior"/>
      <w:bookmarkEnd w:id="47"/>
    </w:p>
    <w:p>
      <w:pPr>
        <w:pStyle w:val="Nvel3"/>
        <w:numPr>
          <w:ilvl w:val="2"/>
          <w:numId w:val="4"/>
        </w:numPr>
        <w:spacing w:lineRule="auto" w:line="240"/>
        <w:ind w:left="567" w:hanging="0"/>
        <w:rPr>
          <w:sz w:val="22"/>
          <w:szCs w:val="22"/>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240"/>
        <w:ind w:left="567" w:hanging="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240"/>
        <w:ind w:left="567" w:hanging="0"/>
        <w:rPr>
          <w:sz w:val="22"/>
          <w:szCs w:val="22"/>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240"/>
        <w:ind w:left="567" w:hanging="0"/>
        <w:rPr>
          <w:sz w:val="22"/>
          <w:szCs w:val="22"/>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240"/>
        <w:ind w:left="567" w:hanging="0"/>
        <w:rPr>
          <w:sz w:val="22"/>
          <w:szCs w:val="22"/>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ind w:left="0" w:hanging="0"/>
        <w:rPr>
          <w:sz w:val="22"/>
          <w:szCs w:val="22"/>
        </w:rPr>
      </w:pPr>
      <w:r>
        <w:rPr>
          <w:sz w:val="22"/>
          <w:szCs w:val="22"/>
        </w:rPr>
        <w:t>REMANEJAMENTO DAS QUANTIDADES REGISTRADAS NA ATA DE REGISTRO DE PREÇOS</w:t>
      </w:r>
    </w:p>
    <w:p>
      <w:pPr>
        <w:pStyle w:val="Nivel2"/>
        <w:numPr>
          <w:ilvl w:val="1"/>
          <w:numId w:val="4"/>
        </w:numPr>
        <w:spacing w:lineRule="auto" w:line="240"/>
        <w:ind w:left="0" w:hanging="0"/>
        <w:rPr>
          <w:sz w:val="22"/>
          <w:szCs w:val="22"/>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240"/>
        <w:ind w:left="0" w:hanging="0"/>
        <w:rPr>
          <w:sz w:val="22"/>
          <w:szCs w:val="22"/>
        </w:rPr>
      </w:pPr>
      <w:r>
        <w:rPr>
          <w:rFonts w:eastAsia="Arial"/>
          <w:sz w:val="22"/>
          <w:szCs w:val="22"/>
        </w:rPr>
        <w:t xml:space="preserve"> </w:t>
      </w:r>
      <w:r>
        <w:rPr>
          <w:sz w:val="22"/>
          <w:szCs w:val="22"/>
        </w:rPr>
        <w:t>O remanejamento somente poderá ser feito:</w:t>
      </w:r>
    </w:p>
    <w:p>
      <w:pPr>
        <w:pStyle w:val="Nvel3"/>
        <w:numPr>
          <w:ilvl w:val="2"/>
          <w:numId w:val="4"/>
        </w:numPr>
        <w:spacing w:lineRule="auto" w:line="240"/>
        <w:ind w:left="567" w:hanging="0"/>
        <w:rPr>
          <w:sz w:val="22"/>
          <w:szCs w:val="22"/>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240"/>
        <w:ind w:left="567" w:hanging="0"/>
        <w:rPr>
          <w:sz w:val="22"/>
          <w:szCs w:val="22"/>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240"/>
        <w:ind w:left="0" w:hanging="0"/>
        <w:rPr>
          <w:sz w:val="22"/>
          <w:szCs w:val="22"/>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8" w:name="gerenciador_estimador_é_partic_em_remane"/>
      <w:bookmarkEnd w:id="48"/>
    </w:p>
    <w:p>
      <w:pPr>
        <w:pStyle w:val="Nivel2"/>
        <w:numPr>
          <w:ilvl w:val="0"/>
          <w:numId w:val="0"/>
        </w:numPr>
        <w:spacing w:lineRule="auto" w:line="240"/>
        <w:ind w:left="0" w:hanging="0"/>
        <w:rPr>
          <w:sz w:val="22"/>
          <w:szCs w:val="22"/>
        </w:rPr>
      </w:pPr>
      <w:r>
        <w:rPr>
          <w:sz w:val="22"/>
          <w:szCs w:val="22"/>
        </w:rPr>
      </w:r>
    </w:p>
    <w:p>
      <w:pPr>
        <w:pStyle w:val="Nivel01"/>
        <w:numPr>
          <w:ilvl w:val="0"/>
          <w:numId w:val="4"/>
        </w:numPr>
        <w:tabs>
          <w:tab w:val="left" w:pos="0" w:leader="none"/>
          <w:tab w:val="left" w:pos="567" w:leader="none"/>
        </w:tabs>
        <w:ind w:left="0" w:hanging="0"/>
        <w:rPr>
          <w:sz w:val="22"/>
          <w:szCs w:val="22"/>
        </w:rPr>
      </w:pPr>
      <w:r>
        <w:rPr>
          <w:sz w:val="22"/>
          <w:szCs w:val="22"/>
        </w:rPr>
        <w:t>CANCELAMENTO DO REGISTRO DO LICITANTE VENCEDOR E DOS PREÇOS REGISTRADOS</w:t>
      </w:r>
      <w:bookmarkStart w:id="49" w:name="cancelamento"/>
      <w:bookmarkEnd w:id="49"/>
    </w:p>
    <w:p>
      <w:pPr>
        <w:pStyle w:val="Nivel2"/>
        <w:numPr>
          <w:ilvl w:val="1"/>
          <w:numId w:val="4"/>
        </w:numPr>
        <w:spacing w:lineRule="auto" w:line="240"/>
        <w:ind w:left="0" w:hanging="0"/>
        <w:rPr>
          <w:sz w:val="22"/>
          <w:szCs w:val="22"/>
        </w:rPr>
      </w:pPr>
      <w:r>
        <w:rPr>
          <w:sz w:val="22"/>
          <w:szCs w:val="22"/>
        </w:rPr>
        <w:t>O registro do fornecedor será cancelado pelo gerenciador, quando o fornecedor:</w:t>
      </w:r>
      <w:bookmarkStart w:id="50" w:name="cancelamento_do_fornecedor"/>
      <w:bookmarkEnd w:id="50"/>
    </w:p>
    <w:p>
      <w:pPr>
        <w:pStyle w:val="Nvel3"/>
        <w:numPr>
          <w:ilvl w:val="2"/>
          <w:numId w:val="4"/>
        </w:numPr>
        <w:spacing w:lineRule="auto" w:line="240"/>
        <w:ind w:left="567" w:hanging="0"/>
        <w:rPr>
          <w:sz w:val="22"/>
          <w:szCs w:val="22"/>
        </w:rPr>
      </w:pPr>
      <w:r>
        <w:rPr>
          <w:sz w:val="22"/>
          <w:szCs w:val="22"/>
        </w:rPr>
        <w:t>Descumprir as condições da ata de registro de preços, sem motivo justificado;</w:t>
      </w:r>
    </w:p>
    <w:p>
      <w:pPr>
        <w:pStyle w:val="Nvel3"/>
        <w:numPr>
          <w:ilvl w:val="2"/>
          <w:numId w:val="4"/>
        </w:numPr>
        <w:spacing w:lineRule="auto" w:line="240"/>
        <w:ind w:left="567" w:hanging="0"/>
        <w:rPr>
          <w:sz w:val="22"/>
          <w:szCs w:val="22"/>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240"/>
        <w:ind w:left="567" w:hanging="0"/>
        <w:rPr>
          <w:sz w:val="22"/>
          <w:szCs w:val="22"/>
        </w:rPr>
      </w:pPr>
      <w:r>
        <w:rPr>
          <w:sz w:val="22"/>
          <w:szCs w:val="22"/>
        </w:rPr>
        <w:t>Sofrer sanção prevista nos incisos III ou IV do caput do art. 156 da Lei nº 14.133, de 2021.</w:t>
      </w:r>
    </w:p>
    <w:p>
      <w:pPr>
        <w:pStyle w:val="Nvel3"/>
        <w:numPr>
          <w:ilvl w:val="2"/>
          <w:numId w:val="4"/>
        </w:numPr>
        <w:spacing w:lineRule="auto" w:line="240"/>
        <w:ind w:left="567" w:hanging="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240"/>
        <w:ind w:left="0" w:hanging="0"/>
        <w:rPr>
          <w:sz w:val="22"/>
          <w:szCs w:val="22"/>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240"/>
        <w:ind w:left="0" w:hanging="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240"/>
        <w:ind w:left="0" w:hanging="0"/>
        <w:rPr>
          <w:sz w:val="22"/>
          <w:szCs w:val="22"/>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1" w:name="cancelamento_da_ata"/>
      <w:bookmarkEnd w:id="51"/>
      <w:r>
        <w:rPr>
          <w:sz w:val="22"/>
          <w:szCs w:val="22"/>
        </w:rPr>
        <w:t xml:space="preserve"> </w:t>
      </w:r>
    </w:p>
    <w:p>
      <w:pPr>
        <w:pStyle w:val="Nvel3"/>
        <w:numPr>
          <w:ilvl w:val="2"/>
          <w:numId w:val="4"/>
        </w:numPr>
        <w:spacing w:lineRule="auto" w:line="240"/>
        <w:ind w:left="567" w:hanging="0"/>
        <w:rPr>
          <w:sz w:val="22"/>
          <w:szCs w:val="22"/>
        </w:rPr>
      </w:pPr>
      <w:r>
        <w:rPr>
          <w:sz w:val="22"/>
          <w:szCs w:val="22"/>
        </w:rPr>
        <w:t>Por razão de interesse público;</w:t>
      </w:r>
    </w:p>
    <w:p>
      <w:pPr>
        <w:pStyle w:val="Nvel3"/>
        <w:numPr>
          <w:ilvl w:val="2"/>
          <w:numId w:val="4"/>
        </w:numPr>
        <w:spacing w:lineRule="auto" w:line="240"/>
        <w:ind w:left="567" w:hanging="0"/>
        <w:rPr>
          <w:sz w:val="22"/>
          <w:szCs w:val="22"/>
        </w:rPr>
      </w:pPr>
      <w:r>
        <w:rPr>
          <w:sz w:val="22"/>
          <w:szCs w:val="22"/>
        </w:rPr>
        <w:t>A pedido do fornecedor, decorrente de caso fortuito ou força maior; ou</w:t>
      </w:r>
    </w:p>
    <w:p>
      <w:pPr>
        <w:pStyle w:val="Nvel3"/>
        <w:numPr>
          <w:ilvl w:val="2"/>
          <w:numId w:val="4"/>
        </w:numPr>
        <w:spacing w:lineRule="auto" w:line="240"/>
        <w:ind w:left="567" w:hanging="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ind w:left="0" w:hanging="11"/>
        <w:rPr>
          <w:sz w:val="22"/>
          <w:szCs w:val="22"/>
        </w:rPr>
      </w:pPr>
      <w:r>
        <w:rPr>
          <w:sz w:val="22"/>
          <w:szCs w:val="22"/>
        </w:rPr>
        <w:t>DAS PENALIDADES</w:t>
      </w:r>
    </w:p>
    <w:p>
      <w:pPr>
        <w:pStyle w:val="Nivel2"/>
        <w:numPr>
          <w:ilvl w:val="1"/>
          <w:numId w:val="4"/>
        </w:numPr>
        <w:spacing w:lineRule="auto" w:line="240"/>
        <w:ind w:left="0" w:hanging="0"/>
        <w:rPr>
          <w:sz w:val="22"/>
          <w:szCs w:val="22"/>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240"/>
        <w:ind w:left="567" w:hanging="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240"/>
        <w:ind w:left="0" w:hanging="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240"/>
        <w:ind w:left="0" w:hanging="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numPr>
          <w:ilvl w:val="0"/>
          <w:numId w:val="0"/>
        </w:numPr>
        <w:spacing w:lineRule="auto" w:line="240"/>
        <w:ind w:left="0" w:hanging="0"/>
        <w:rPr>
          <w:sz w:val="22"/>
          <w:szCs w:val="22"/>
        </w:rPr>
      </w:pPr>
      <w:r>
        <w:rPr>
          <w:sz w:val="22"/>
          <w:szCs w:val="22"/>
        </w:rPr>
      </w:r>
    </w:p>
    <w:p>
      <w:pPr>
        <w:pStyle w:val="Nivel01"/>
        <w:numPr>
          <w:ilvl w:val="0"/>
          <w:numId w:val="4"/>
        </w:numPr>
        <w:tabs>
          <w:tab w:val="left" w:pos="0" w:leader="none"/>
          <w:tab w:val="left" w:pos="567" w:leader="none"/>
        </w:tabs>
        <w:ind w:left="0" w:hanging="11"/>
        <w:rPr>
          <w:sz w:val="22"/>
          <w:szCs w:val="22"/>
        </w:rPr>
      </w:pPr>
      <w:r>
        <w:rPr>
          <w:sz w:val="22"/>
          <w:szCs w:val="22"/>
        </w:rPr>
        <w:t>CONDIÇÕES GERAIS</w:t>
      </w:r>
    </w:p>
    <w:p>
      <w:pPr>
        <w:pStyle w:val="Nivel2"/>
        <w:numPr>
          <w:ilvl w:val="1"/>
          <w:numId w:val="4"/>
        </w:numPr>
        <w:spacing w:lineRule="auto" w:line="240"/>
        <w:ind w:left="0" w:hanging="0"/>
        <w:rPr>
          <w:sz w:val="22"/>
          <w:szCs w:val="22"/>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240"/>
        <w:ind w:left="0" w:hanging="0"/>
        <w:rPr>
          <w:b/>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240"/>
        <w:ind w:left="0" w:hanging="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ind w:right="-30" w:hanging="0"/>
        <w:jc w:val="both"/>
        <w:rPr>
          <w:rFonts w:ascii="Arial" w:hAnsi="Arial" w:cs="Arial"/>
          <w:sz w:val="22"/>
          <w:szCs w:val="22"/>
        </w:rPr>
      </w:pPr>
      <w:r>
        <w:rPr>
          <w:rFonts w:cs="Arial" w:ascii="Arial" w:hAnsi="Arial"/>
          <w:sz w:val="22"/>
          <w:szCs w:val="22"/>
        </w:rPr>
        <w:t>Local e data</w:t>
      </w:r>
    </w:p>
    <w:p>
      <w:pPr>
        <w:pStyle w:val="Normal"/>
        <w:widowControl w:val="false"/>
        <w:ind w:right="-30" w:hanging="0"/>
        <w:jc w:val="both"/>
        <w:rPr>
          <w:rFonts w:ascii="Arial" w:hAnsi="Arial" w:cs="Arial"/>
          <w:sz w:val="22"/>
          <w:szCs w:val="22"/>
        </w:rPr>
      </w:pPr>
      <w:r>
        <w:rPr>
          <w:rFonts w:cs="Arial" w:ascii="Arial" w:hAnsi="Arial"/>
          <w:sz w:val="22"/>
          <w:szCs w:val="22"/>
        </w:rPr>
        <w:t>Assinaturas</w:t>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widowControl w:val="false"/>
        <w:ind w:right="-30" w:hanging="0"/>
        <w:jc w:val="both"/>
        <w:rPr>
          <w:rFonts w:ascii="Arial" w:hAnsi="Arial" w:cs="Arial"/>
          <w:b/>
          <w:b/>
          <w:bCs/>
          <w:sz w:val="22"/>
          <w:szCs w:val="22"/>
        </w:rPr>
      </w:pPr>
      <w:r>
        <w:rPr>
          <w:rFonts w:cs="Arial" w:ascii="Arial" w:hAnsi="Arial"/>
          <w:b/>
          <w:bCs/>
          <w:sz w:val="22"/>
          <w:szCs w:val="22"/>
        </w:rPr>
      </w:r>
    </w:p>
    <w:p>
      <w:pPr>
        <w:pStyle w:val="Normal"/>
        <w:widowControl w:val="false"/>
        <w:ind w:right="-30" w:hanging="0"/>
        <w:jc w:val="both"/>
        <w:rPr>
          <w:rFonts w:ascii="Arial" w:hAnsi="Arial" w:cs="Arial"/>
          <w:b/>
          <w:b/>
          <w:bCs/>
          <w:sz w:val="22"/>
          <w:szCs w:val="22"/>
        </w:rPr>
      </w:pPr>
      <w:r>
        <w:rPr>
          <w:rFonts w:cs="Arial" w:ascii="Arial" w:hAnsi="Arial"/>
          <w:b/>
          <w:bCs/>
          <w:sz w:val="22"/>
          <w:szCs w:val="22"/>
        </w:rPr>
      </w:r>
    </w:p>
    <w:p>
      <w:pPr>
        <w:pStyle w:val="Normal"/>
        <w:widowControl w:val="false"/>
        <w:ind w:right="-30" w:hanging="0"/>
        <w:jc w:val="both"/>
        <w:rPr>
          <w:rFonts w:ascii="Arial" w:hAnsi="Arial" w:cs="Arial"/>
          <w:b/>
          <w:b/>
          <w:bCs/>
          <w:sz w:val="22"/>
          <w:szCs w:val="22"/>
        </w:rPr>
      </w:pPr>
      <w:r>
        <w:rPr>
          <w:rFonts w:cs="Arial" w:ascii="Arial" w:hAnsi="Arial"/>
          <w:b/>
          <w:bCs/>
          <w:sz w:val="22"/>
          <w:szCs w:val="22"/>
        </w:rPr>
        <w:t xml:space="preserve">Anexo </w:t>
      </w:r>
    </w:p>
    <w:p>
      <w:pPr>
        <w:pStyle w:val="Normal"/>
        <w:widowControl w:val="false"/>
        <w:ind w:right="-30" w:hanging="0"/>
        <w:jc w:val="both"/>
        <w:rPr>
          <w:rFonts w:ascii="Arial" w:hAnsi="Arial" w:cs="Arial"/>
          <w:b/>
          <w:b/>
          <w:bCs/>
          <w:sz w:val="22"/>
          <w:szCs w:val="22"/>
        </w:rPr>
      </w:pPr>
      <w:r>
        <w:rPr>
          <w:rFonts w:cs="Arial" w:ascii="Arial" w:hAnsi="Arial"/>
          <w:b/>
          <w:bCs/>
          <w:sz w:val="22"/>
          <w:szCs w:val="22"/>
        </w:rPr>
      </w:r>
    </w:p>
    <w:p>
      <w:pPr>
        <w:pStyle w:val="Normal"/>
        <w:widowControl w:val="false"/>
        <w:ind w:right="-30" w:hanging="0"/>
        <w:jc w:val="both"/>
        <w:rPr>
          <w:rFonts w:ascii="Arial" w:hAnsi="Arial" w:cs="Arial"/>
          <w:b/>
          <w:b/>
          <w:bCs/>
          <w:sz w:val="22"/>
          <w:szCs w:val="22"/>
        </w:rPr>
      </w:pPr>
      <w:r>
        <w:rPr>
          <w:rFonts w:cs="Arial" w:ascii="Arial" w:hAnsi="Arial"/>
          <w:b/>
          <w:bCs/>
          <w:sz w:val="22"/>
          <w:szCs w:val="22"/>
        </w:rPr>
        <w:t>Cadastro Reserva</w:t>
      </w:r>
    </w:p>
    <w:p>
      <w:pPr>
        <w:pStyle w:val="Normal"/>
        <w:widowControl w:val="false"/>
        <w:ind w:right="-30" w:hanging="0"/>
        <w:jc w:val="both"/>
        <w:rPr>
          <w:rFonts w:ascii="Arial" w:hAnsi="Arial" w:cs="Arial"/>
          <w:b/>
          <w:b/>
          <w:bCs/>
          <w:sz w:val="22"/>
          <w:szCs w:val="22"/>
        </w:rPr>
      </w:pPr>
      <w:r>
        <w:rPr>
          <w:rFonts w:cs="Arial" w:ascii="Arial" w:hAnsi="Arial"/>
          <w:b/>
          <w:bCs/>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7"/>
        <w:gridCol w:w="1537"/>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ind w:right="-30" w:hanging="0"/>
              <w:jc w:val="both"/>
              <w:rPr>
                <w:rFonts w:ascii="Arial" w:hAnsi="Arial" w:cs="Arial"/>
                <w:sz w:val="22"/>
                <w:szCs w:val="22"/>
              </w:rPr>
            </w:pPr>
            <w:bookmarkStart w:id="52" w:name="_Hlk159838635"/>
            <w:bookmarkEnd w:id="52"/>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jc w:val="both"/>
              <w:rPr>
                <w:rFonts w:ascii="Arial" w:hAnsi="Arial" w:cs="Arial"/>
                <w:b/>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
                <w:bCs/>
                <w:sz w:val="22"/>
                <w:szCs w:val="22"/>
              </w:rPr>
            </w:pPr>
            <w:r>
              <w:rPr>
                <w:rFonts w:cs="Arial" w:ascii="Arial" w:hAnsi="Arial"/>
                <w:b/>
                <w:bCs/>
                <w:sz w:val="22"/>
                <w:szCs w:val="22"/>
              </w:rPr>
            </w:r>
          </w:p>
        </w:tc>
        <w:tc>
          <w:tcPr>
            <w:tcW w:w="15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Arial" w:hAnsi="Arial" w:cs="Arial"/>
                <w:sz w:val="22"/>
                <w:szCs w:val="22"/>
              </w:rPr>
            </w:pPr>
            <w:r>
              <w:rPr>
                <w:rFonts w:cs="Arial" w:ascii="Arial" w:hAnsi="Arial"/>
                <w:sz w:val="22"/>
                <w:szCs w:val="22"/>
              </w:rPr>
            </w:r>
          </w:p>
        </w:tc>
      </w:tr>
    </w:tbl>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widowControl w:val="false"/>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7"/>
        <w:gridCol w:w="1537"/>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ind w:right="-30" w:hanging="0"/>
              <w:jc w:val="both"/>
              <w:rPr>
                <w:rFonts w:ascii="Arial" w:hAnsi="Arial" w:cs="Arial"/>
                <w:sz w:val="22"/>
                <w:szCs w:val="22"/>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jc w:val="both"/>
              <w:rPr>
                <w:rFonts w:ascii="Arial" w:hAnsi="Arial" w:cs="Arial"/>
                <w:b/>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
                <w:bCs/>
                <w:sz w:val="22"/>
                <w:szCs w:val="22"/>
              </w:rPr>
            </w:pPr>
            <w:r>
              <w:rPr>
                <w:rFonts w:cs="Arial" w:ascii="Arial" w:hAnsi="Arial"/>
                <w:b/>
                <w:bCs/>
                <w:sz w:val="22"/>
                <w:szCs w:val="22"/>
              </w:rPr>
            </w:r>
          </w:p>
        </w:tc>
        <w:tc>
          <w:tcPr>
            <w:tcW w:w="15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Arial" w:hAnsi="Arial" w:cs="Arial"/>
                <w:sz w:val="22"/>
                <w:szCs w:val="22"/>
              </w:rPr>
            </w:pPr>
            <w:r>
              <w:rPr>
                <w:rFonts w:cs="Arial" w:ascii="Arial" w:hAnsi="Arial"/>
                <w:sz w:val="22"/>
                <w:szCs w:val="22"/>
              </w:rPr>
            </w:r>
          </w:p>
        </w:tc>
      </w:tr>
    </w:tbl>
    <w:p>
      <w:pPr>
        <w:pStyle w:val="Normal"/>
        <w:widowControl w:val="false"/>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drawing>
          <wp:anchor behindDoc="0" distT="0" distB="0" distL="0" distR="0" simplePos="0" locked="0" layoutInCell="0" allowOverlap="1" relativeHeight="102">
            <wp:simplePos x="0" y="0"/>
            <wp:positionH relativeFrom="column">
              <wp:posOffset>-121285</wp:posOffset>
            </wp:positionH>
            <wp:positionV relativeFrom="paragraph">
              <wp:posOffset>467360</wp:posOffset>
            </wp:positionV>
            <wp:extent cx="6272530" cy="7236460"/>
            <wp:effectExtent l="0" t="0" r="0" b="0"/>
            <wp:wrapSquare wrapText="bothSides"/>
            <wp:docPr id="1" name="ole_rId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8" descr=""/>
                    <pic:cNvPicPr>
                      <a:picLocks noChangeAspect="1" noChangeArrowheads="1"/>
                    </pic:cNvPicPr>
                  </pic:nvPicPr>
                  <pic:blipFill>
                    <a:blip r:embed="rId18"/>
                    <a:stretch>
                      <a:fillRect/>
                    </a:stretch>
                  </pic:blipFill>
                  <pic:spPr bwMode="auto">
                    <a:xfrm>
                      <a:off x="0" y="0"/>
                      <a:ext cx="6272530" cy="7236460"/>
                    </a:xfrm>
                    <a:prstGeom prst="rect">
                      <a:avLst/>
                    </a:prstGeom>
                  </pic:spPr>
                </pic:pic>
              </a:graphicData>
            </a:graphic>
          </wp:anchor>
        </w:drawing>
      </w:r>
      <w:r>
        <w:rPr>
          <w:rFonts w:cs="Arial" w:ascii="Arial" w:hAnsi="Arial"/>
          <w:b/>
          <w:bCs/>
          <w:sz w:val="22"/>
          <w:szCs w:val="22"/>
        </w:rPr>
        <w:t>ANEXO VII</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hanging="0"/>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69/2024</w:t>
      </w:r>
      <w:r>
        <w:rPr>
          <w:rFonts w:cs="Arial" w:ascii="Arial" w:hAnsi="Arial"/>
          <w:bCs/>
          <w:sz w:val="22"/>
          <w:szCs w:val="22"/>
        </w:rPr>
        <w:t xml:space="preserve">. Objeto: </w:t>
      </w:r>
      <w:r>
        <w:rPr>
          <w:rFonts w:cs="Arial" w:ascii="Arial" w:hAnsi="Arial"/>
          <w:sz w:val="22"/>
          <w:szCs w:val="22"/>
        </w:rPr>
        <w:t>O Registro de Preço pelo prazo de 12 (doze) meses, para eventual aquisição de agregado reciclado misto (ARM).</w:t>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bookmarkStart w:id="53" w:name="_Hlk174103284"/>
      <w:bookmarkStart w:id="54" w:name="_Hlk168313910"/>
      <w:bookmarkStart w:id="55" w:name="_Hlk164066495"/>
      <w:r>
        <w:rPr>
          <w:rFonts w:cs="Arial" w:ascii="Arial" w:hAnsi="Arial"/>
          <w:b/>
          <w:bCs/>
          <w:sz w:val="22"/>
          <w:szCs w:val="22"/>
        </w:rPr>
        <w:t>Pregão Eletrônico Nº 692024,</w:t>
      </w:r>
      <w:r>
        <w:rPr>
          <w:rFonts w:cs="Arial" w:ascii="Arial" w:hAnsi="Arial"/>
          <w:sz w:val="22"/>
          <w:szCs w:val="22"/>
        </w:rPr>
        <w:t xml:space="preserve"> </w:t>
      </w:r>
      <w:r>
        <w:rPr>
          <w:rFonts w:cs="Arial" w:ascii="Arial" w:hAnsi="Arial"/>
          <w:b/>
          <w:bCs/>
          <w:sz w:val="22"/>
          <w:szCs w:val="22"/>
        </w:rPr>
        <w:t>Edital Nº 90/2024</w:t>
      </w:r>
      <w:r>
        <w:rPr>
          <w:rFonts w:cs="Arial" w:ascii="Arial" w:hAnsi="Arial"/>
          <w:sz w:val="22"/>
          <w:szCs w:val="22"/>
        </w:rPr>
        <w:t>, Tipo Menor Preço por Item. Objeto: O Registro de Preço pelo prazo de 12 (doze) meses, para eventual aquisição de agregado reciclado misto (ARM). Os cadastros das Propostas serão recebidos até o dia</w:t>
      </w:r>
      <w:r>
        <w:rPr>
          <w:rFonts w:cs="Arial" w:ascii="Arial" w:hAnsi="Arial"/>
          <w:b/>
          <w:sz w:val="22"/>
          <w:szCs w:val="22"/>
        </w:rPr>
        <w:t xml:space="preserve"> </w:t>
      </w:r>
      <w:r>
        <w:rPr>
          <w:rFonts w:cs="Arial" w:ascii="Arial" w:hAnsi="Arial"/>
          <w:b/>
          <w:sz w:val="22"/>
          <w:szCs w:val="22"/>
          <w:u w:val="single"/>
        </w:rPr>
        <w:t>27 de agosto de 2024,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19">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0">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21">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Adriana Stocco - Pregoeira. </w:t>
      </w:r>
      <w:bookmarkEnd w:id="53"/>
      <w:bookmarkEnd w:id="54"/>
      <w:bookmarkEnd w:id="55"/>
    </w:p>
    <w:p>
      <w:pPr>
        <w:pStyle w:val="Normal"/>
        <w:jc w:val="both"/>
        <w:rPr>
          <w:rFonts w:ascii="Arial" w:hAnsi="Arial" w:cs="Arial"/>
          <w:sz w:val="22"/>
          <w:szCs w:val="22"/>
        </w:rPr>
      </w:pPr>
      <w:r>
        <w:rPr/>
      </w:r>
    </w:p>
    <w:sectPr>
      <w:headerReference w:type="default" r:id="rId22"/>
      <w:footerReference w:type="default" r:id="rId23"/>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1</w:t>
    </w:r>
    <w:r>
      <w:rPr/>
      <w:fldChar w:fldCharType="end"/>
    </w:r>
    <w:bookmarkStart w:id="58" w:name="_Hlk158990892"/>
    <w:r>
      <w:rPr/>
      <w:drawing>
        <wp:inline distT="0" distB="0" distL="0" distR="0">
          <wp:extent cx="6027420"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8"/>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56" w:name="_Hlk158990871"/>
    <w:bookmarkStart w:id="57" w:name="_Hlk158990872"/>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6"/>
    <w:bookmarkEnd w:id="57"/>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false"/>
        <w:bCs w:val="fals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13">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14">
    <w:lvl w:ilvl="0">
      <w:start w:val="9"/>
      <w:numFmt w:val="lowerLetter"/>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Ttulo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uiPriority w:val="34"/>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character" w:styleId="Chatperfil" w:customStyle="1">
    <w:name w:val="chat_perfil"/>
    <w:basedOn w:val="DefaultParagraphFont"/>
    <w:qFormat/>
    <w:rsid w:val="00110bdd"/>
    <w:rPr/>
  </w:style>
  <w:style w:type="character" w:styleId="Chatmsg" w:customStyle="1">
    <w:name w:val="chat_msg"/>
    <w:basedOn w:val="DefaultParagraphFont"/>
    <w:qFormat/>
    <w:rsid w:val="00110bdd"/>
    <w:rPr/>
  </w:style>
  <w:style w:type="character" w:styleId="Hyperlink1" w:customStyle="1">
    <w:name w:val="Hyperlink1"/>
    <w:qFormat/>
    <w:rsid w:val="00e0556d"/>
    <w:rPr>
      <w:color w:val="0000FF"/>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paragraph" w:styleId="Nvel1SemNumPreto" w:customStyle="1">
    <w:name w:val="Nível 1-Sem Num Preto"/>
    <w:basedOn w:val="Nvel1SemNum"/>
    <w:qFormat/>
    <w:rsid w:val="00e0556d"/>
    <w:pPr>
      <w:spacing w:lineRule="auto" w:line="276" w:before="240" w:after="120"/>
      <w:ind w:left="0" w:hanging="0"/>
    </w:pPr>
    <w:rPr>
      <w:rFonts w:eastAsia="Times New Roman"/>
      <w:color w:val="000000"/>
      <w:lang w:bidi="hi-IN"/>
    </w:rPr>
  </w:style>
  <w:style w:type="paragraph" w:styleId="LONormal" w:customStyle="1">
    <w:name w:val="LO-Normal"/>
    <w:qFormat/>
    <w:rsid w:val="00e0556d"/>
    <w:pPr>
      <w:widowControl w:val="false"/>
      <w:suppressAutoHyphens w:val="true"/>
      <w:bidi w:val="0"/>
      <w:spacing w:before="0" w:after="0"/>
      <w:jc w:val="left"/>
    </w:pPr>
    <w:rPr>
      <w:rFonts w:ascii="Liberation Serif" w:hAnsi="Liberation Serif" w:eastAsia="NSimSun" w:cs="Arial"/>
      <w:color w:val="auto"/>
      <w:kern w:val="0"/>
      <w:sz w:val="24"/>
      <w:szCs w:val="24"/>
      <w:lang w:val="pt-BR" w:eastAsia="zh-C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s://www.planalto.gov.br/ccivil_03/_ato2015-2018/2016/decreto/d8660.htm"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https://www.gov.br/compras/pt-br/acesso-a-informacao/legislacao/instrucoes-normativas/instrucao-normativa-seges-me-no-73-de-30-de-setembro-de-2022"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mailto:licitacoes@licitacoes.itatiba.sp.gov.br" TargetMode="External"/><Relationship Id="rId18" Type="http://schemas.openxmlformats.org/officeDocument/2006/relationships/image" Target="media/image1.wmf"/><Relationship Id="rId19" Type="http://schemas.openxmlformats.org/officeDocument/2006/relationships/hyperlink" Target="http://www.novobbmnet.com.br/" TargetMode="External"/><Relationship Id="rId20" Type="http://schemas.openxmlformats.org/officeDocument/2006/relationships/hyperlink" Target="http://www.itatiba.sp.gov.br/" TargetMode="External"/><Relationship Id="rId21" Type="http://schemas.openxmlformats.org/officeDocument/2006/relationships/hyperlink" Target="http://www.novobbmnet.com.br/"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444D-1896-45BD-9A93-39FEF8E4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LibreOffice/7.4.6.2$Windows_X86_64 LibreOffice_project/5b1f5509c2decdade7fda905e3e1429a67acd63d</Application>
  <AppVersion>15.0000</AppVersion>
  <Pages>50</Pages>
  <Words>14968</Words>
  <Characters>84234</Characters>
  <CharactersWithSpaces>98768</CharactersWithSpaces>
  <Paragraphs>736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2024-07-31T17:20:00Z</dcterms:created>
  <dc:creator>eportella</dc:creator>
  <dc:description/>
  <dc:language>pt-BR</dc:language>
  <cp:lastModifiedBy/>
  <cp:lastPrinted>2024-08-02T19:46:00Z</cp:lastPrinted>
  <dcterms:modified xsi:type="dcterms:W3CDTF">2024-08-12T10:21:00Z</dcterms:modified>
  <cp:revision>28</cp:revision>
  <dc:subject/>
  <dc:title> </dc:title>
</cp:coreProperties>
</file>

<file path=docProps/custom.xml><?xml version="1.0" encoding="utf-8"?>
<Properties xmlns="http://schemas.openxmlformats.org/officeDocument/2006/custom-properties" xmlns:vt="http://schemas.openxmlformats.org/officeDocument/2006/docPropsVTypes"/>
</file>