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PREGÃO ELETRÔNICO Nº 40/2024</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50/2024    </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sz w:val="22"/>
          <w:szCs w:val="22"/>
        </w:rPr>
      </w:pPr>
      <w:r>
        <w:rPr>
          <w:rStyle w:val="Fontepargpadro15"/>
          <w:rFonts w:eastAsia="MS Mincho" w:cs="Arial" w:ascii="Arial" w:hAnsi="Arial"/>
          <w:sz w:val="22"/>
          <w:szCs w:val="22"/>
        </w:rPr>
        <w:t>Contratação de empresa especializada visando a prestação dos serviços de coleta, transporte, tratamento e disposição final dos resíduos sólidos de serviços de saúde dos grupos “A”, “B” e “E”</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R$ 2.586.600,00 (dois milhões quinhentos e oitenta e seis mil e seiscentos reais)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 xml:space="preserve">DATA DA SESSÃO PÚBLICA – Data </w:t>
      </w:r>
      <w:r>
        <w:rPr>
          <w:rFonts w:cs="Arial" w:ascii="Arial" w:hAnsi="Arial"/>
          <w:b/>
          <w:bCs/>
          <w:sz w:val="22"/>
          <w:szCs w:val="22"/>
        </w:rPr>
        <w:t>03</w:t>
      </w:r>
      <w:r>
        <w:rPr>
          <w:rFonts w:cs="Arial" w:ascii="Arial" w:hAnsi="Arial"/>
          <w:b/>
          <w:bCs/>
          <w:sz w:val="22"/>
          <w:szCs w:val="22"/>
        </w:rPr>
        <w:t xml:space="preserve"> de ju</w:t>
      </w:r>
      <w:r>
        <w:rPr>
          <w:rFonts w:cs="Arial" w:ascii="Arial" w:hAnsi="Arial"/>
          <w:b/>
          <w:bCs/>
          <w:sz w:val="22"/>
          <w:szCs w:val="22"/>
        </w:rPr>
        <w:t>l</w:t>
      </w:r>
      <w:r>
        <w:rPr>
          <w:rFonts w:cs="Arial" w:ascii="Arial" w:hAnsi="Arial"/>
          <w:b/>
          <w:bCs/>
          <w:sz w:val="22"/>
          <w:szCs w:val="22"/>
        </w:rPr>
        <w:t>ho de 2024.</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 xml:space="preserve">Cadastro das Propostas até: </w:t>
        <w:tab/>
        <w:tab/>
      </w:r>
      <w:r>
        <w:rPr>
          <w:rFonts w:cs="Arial" w:ascii="Arial" w:hAnsi="Arial"/>
          <w:b/>
          <w:bCs/>
          <w:sz w:val="22"/>
          <w:szCs w:val="22"/>
        </w:rPr>
        <w:t>03</w:t>
      </w:r>
      <w:r>
        <w:rPr>
          <w:rFonts w:cs="Arial" w:ascii="Arial" w:hAnsi="Arial"/>
          <w:b/>
          <w:bCs/>
          <w:sz w:val="22"/>
          <w:szCs w:val="22"/>
        </w:rPr>
        <w:t>/0</w:t>
      </w:r>
      <w:r>
        <w:rPr>
          <w:rFonts w:cs="Arial" w:ascii="Arial" w:hAnsi="Arial"/>
          <w:b/>
          <w:bCs/>
          <w:sz w:val="22"/>
          <w:szCs w:val="22"/>
        </w:rPr>
        <w:t>7</w:t>
      </w:r>
      <w:r>
        <w:rPr>
          <w:rFonts w:cs="Arial" w:ascii="Arial" w:hAnsi="Arial"/>
          <w:b/>
          <w:bCs/>
          <w:sz w:val="22"/>
          <w:szCs w:val="22"/>
        </w:rPr>
        <w:t>/2024</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Abertura das Propostas:</w:t>
        <w:tab/>
        <w:tab/>
        <w:tab/>
      </w:r>
      <w:r>
        <w:rPr>
          <w:rFonts w:cs="Arial" w:ascii="Arial" w:hAnsi="Arial"/>
          <w:b/>
          <w:bCs/>
          <w:sz w:val="22"/>
          <w:szCs w:val="22"/>
        </w:rPr>
        <w:t>03</w:t>
      </w:r>
      <w:r>
        <w:rPr>
          <w:rFonts w:cs="Arial" w:ascii="Arial" w:hAnsi="Arial"/>
          <w:b/>
          <w:bCs/>
          <w:sz w:val="22"/>
          <w:szCs w:val="22"/>
        </w:rPr>
        <w:t>/0</w:t>
      </w:r>
      <w:r>
        <w:rPr>
          <w:rFonts w:cs="Arial" w:ascii="Arial" w:hAnsi="Arial"/>
          <w:b/>
          <w:bCs/>
          <w:sz w:val="22"/>
          <w:szCs w:val="22"/>
        </w:rPr>
        <w:t>7</w:t>
      </w:r>
      <w:r>
        <w:rPr>
          <w:rFonts w:cs="Arial" w:ascii="Arial" w:hAnsi="Arial"/>
          <w:b/>
          <w:bCs/>
          <w:sz w:val="22"/>
          <w:szCs w:val="22"/>
        </w:rPr>
        <w:t>/2024</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Início do Pregão (fase competitiva)</w:t>
        <w:tab/>
      </w:r>
      <w:r>
        <w:rPr>
          <w:rFonts w:cs="Arial" w:ascii="Arial" w:hAnsi="Arial"/>
          <w:b/>
          <w:bCs/>
          <w:sz w:val="22"/>
          <w:szCs w:val="22"/>
        </w:rPr>
        <w:t>03</w:t>
      </w:r>
      <w:r>
        <w:rPr>
          <w:rFonts w:cs="Arial" w:ascii="Arial" w:hAnsi="Arial"/>
          <w:b/>
          <w:bCs/>
          <w:sz w:val="22"/>
          <w:szCs w:val="22"/>
        </w:rPr>
        <w:t>/0</w:t>
      </w:r>
      <w:r>
        <w:rPr>
          <w:rFonts w:cs="Arial" w:ascii="Arial" w:hAnsi="Arial"/>
          <w:b/>
          <w:bCs/>
          <w:sz w:val="22"/>
          <w:szCs w:val="22"/>
        </w:rPr>
        <w:t>7</w:t>
      </w:r>
      <w:r>
        <w:rPr>
          <w:rFonts w:cs="Arial" w:ascii="Arial" w:hAnsi="Arial"/>
          <w:b/>
          <w:bCs/>
          <w:sz w:val="22"/>
          <w:szCs w:val="22"/>
        </w:rPr>
        <w:t>/2024</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global</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
          <w:bCs/>
          <w:sz w:val="22"/>
          <w:szCs w:val="22"/>
        </w:rPr>
      </w:pPr>
      <w:r>
        <w:rPr>
          <w:rFonts w:cs="Arial" w:ascii="Arial" w:hAnsi="Arial"/>
          <w:b/>
          <w:bCs/>
          <w:sz w:val="22"/>
          <w:szCs w:val="22"/>
        </w:rPr>
      </w:r>
    </w:p>
    <w:p>
      <w:pPr>
        <w:pStyle w:val="Normal"/>
        <w:spacing w:lineRule="auto" w:line="36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
          <w:bCs/>
          <w:sz w:val="22"/>
          <w:szCs w:val="22"/>
        </w:rPr>
      </w:pPr>
      <w:r>
        <w:rPr>
          <w:rFonts w:cs="Arial" w:ascii="Arial" w:hAnsi="Arial"/>
          <w:b/>
          <w:bCs/>
          <w:sz w:val="22"/>
          <w:szCs w:val="22"/>
        </w:rPr>
        <w:t>SECRETARIA DE MEIO AMBIENTE E AGRICULTURA</w:t>
      </w:r>
    </w:p>
    <w:p>
      <w:pPr>
        <w:pStyle w:val="Normal"/>
        <w:spacing w:lineRule="auto" w:line="360"/>
        <w:jc w:val="both"/>
        <w:rPr>
          <w:rFonts w:ascii="Arial" w:hAnsi="Arial" w:cs="Arial"/>
          <w:b/>
          <w:b/>
          <w:bCs/>
          <w:sz w:val="22"/>
          <w:szCs w:val="22"/>
        </w:rPr>
      </w:pPr>
      <w:bookmarkStart w:id="0" w:name="_Hlk160450459"/>
      <w:r>
        <w:rPr>
          <w:rFonts w:cs="Arial" w:ascii="Arial" w:hAnsi="Arial"/>
          <w:b/>
          <w:bCs/>
          <w:sz w:val="22"/>
          <w:szCs w:val="22"/>
        </w:rPr>
        <w:t>PROCESSO ADMINISTRATIVO Nº 3098/2024</w:t>
      </w:r>
      <w:bookmarkEnd w:id="0"/>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firstLine="567"/>
        <w:jc w:val="center"/>
        <w:rPr/>
      </w:pPr>
      <w:r>
        <w:rPr>
          <w:rFonts w:cs="Arial" w:ascii="Arial" w:hAnsi="Arial"/>
          <w:b/>
          <w:sz w:val="22"/>
          <w:szCs w:val="22"/>
        </w:rPr>
        <w:t>PREGÃO ELETRÔNICO Nº 40/2024</w:t>
      </w:r>
    </w:p>
    <w:p>
      <w:pPr>
        <w:pStyle w:val="Normal"/>
        <w:spacing w:lineRule="auto" w:line="360"/>
        <w:ind w:firstLine="567"/>
        <w:jc w:val="center"/>
        <w:rPr/>
      </w:pPr>
      <w:r>
        <w:rPr>
          <w:rFonts w:cs="Arial" w:ascii="Arial" w:hAnsi="Arial"/>
          <w:b/>
          <w:sz w:val="22"/>
          <w:szCs w:val="22"/>
        </w:rPr>
        <w:t>EDITAL Nº 50/2024</w:t>
      </w:r>
    </w:p>
    <w:p>
      <w:pPr>
        <w:pStyle w:val="Normal"/>
        <w:spacing w:lineRule="auto" w:line="360"/>
        <w:ind w:firstLine="567"/>
        <w:jc w:val="center"/>
        <w:rPr>
          <w:rFonts w:ascii="Arial" w:hAnsi="Arial" w:cs="Arial"/>
          <w:b/>
          <w:b/>
          <w:sz w:val="22"/>
          <w:szCs w:val="22"/>
        </w:rPr>
      </w:pPr>
      <w:r>
        <w:rPr>
          <w:rFonts w:cs="Arial" w:ascii="Arial" w:hAnsi="Arial"/>
          <w:b/>
          <w:sz w:val="22"/>
          <w:szCs w:val="22"/>
        </w:rPr>
      </w:r>
    </w:p>
    <w:p>
      <w:pPr>
        <w:pStyle w:val="Normal"/>
        <w:spacing w:lineRule="auto" w:line="360"/>
        <w:jc w:val="both"/>
        <w:rPr>
          <w:rFonts w:ascii="Arial" w:hAnsi="Arial" w:cs="Arial"/>
          <w:b/>
          <w:b/>
          <w:sz w:val="22"/>
          <w:szCs w:val="22"/>
        </w:rPr>
      </w:pPr>
      <w:r>
        <w:rPr>
          <w:rFonts w:cs="Arial" w:ascii="Arial" w:hAnsi="Arial"/>
          <w:b/>
          <w:sz w:val="22"/>
          <w:szCs w:val="22"/>
        </w:rPr>
      </w:r>
    </w:p>
    <w:p>
      <w:pPr>
        <w:pStyle w:val="Normal"/>
        <w:snapToGrid w:val="false"/>
        <w:spacing w:lineRule="auto" w:line="360"/>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DE MEIO AMBIENTE E AGRICULTURA,</w:t>
      </w:r>
      <w:r>
        <w:rPr>
          <w:rFonts w:cs="Arial" w:ascii="Arial" w:hAnsi="Arial"/>
          <w:sz w:val="22"/>
          <w:szCs w:val="22"/>
        </w:rPr>
        <w:t xml:space="preserve"> sediada à Avenida Luciano Consoline, nº 600, Jardim de Luca, Itatiba/SP, realizará licitação, na modalidade PREGÃO, na forma ELETRÔNICA, nos termos da </w:t>
      </w:r>
      <w:hyperlink r:id="rId2">
        <w:r>
          <w:rPr>
            <w:rFonts w:cs="Arial" w:ascii="Arial" w:hAnsi="Arial"/>
            <w:sz w:val="22"/>
            <w:szCs w:val="22"/>
          </w:rPr>
          <w:t>Lei nº 14.133, de 2021</w:t>
        </w:r>
      </w:hyperlink>
      <w:r>
        <w:rPr>
          <w:rFonts w:cs="Arial" w:ascii="Arial" w:hAnsi="Arial"/>
          <w:sz w:val="22"/>
          <w:szCs w:val="22"/>
        </w:rPr>
        <w:t>, e demais legislação aplicável e, ainda, de acordo com as condições estabelecidas neste Edital.</w:t>
      </w:r>
    </w:p>
    <w:p>
      <w:pPr>
        <w:pStyle w:val="Normal"/>
        <w:snapToGrid w:val="false"/>
        <w:spacing w:lineRule="auto" w:line="360"/>
        <w:jc w:val="both"/>
        <w:rPr>
          <w:rFonts w:ascii="Arial" w:hAnsi="Arial" w:cs="Arial"/>
          <w:sz w:val="22"/>
          <w:szCs w:val="22"/>
        </w:rPr>
      </w:pPr>
      <w:r>
        <w:rPr>
          <w:rFonts w:cs="Arial" w:ascii="Arial" w:hAnsi="Arial"/>
          <w:sz w:val="22"/>
          <w:szCs w:val="22"/>
        </w:rPr>
      </w:r>
    </w:p>
    <w:p>
      <w:pPr>
        <w:pStyle w:val="Nivel01"/>
        <w:numPr>
          <w:ilvl w:val="0"/>
          <w:numId w:val="2"/>
        </w:numPr>
        <w:spacing w:lineRule="auto" w:line="360" w:before="0" w:after="0"/>
        <w:ind w:left="0" w:hanging="0"/>
        <w:rPr>
          <w:sz w:val="22"/>
          <w:szCs w:val="22"/>
          <w:lang w:eastAsia="en-US"/>
        </w:rPr>
      </w:pPr>
      <w:bookmarkStart w:id="1" w:name="_Toc122606103"/>
      <w:r>
        <w:rPr>
          <w:sz w:val="22"/>
          <w:szCs w:val="22"/>
          <w:lang w:eastAsia="en-US"/>
        </w:rPr>
        <w:t>DO OBJETO</w:t>
      </w:r>
      <w:bookmarkEnd w:id="1"/>
    </w:p>
    <w:p>
      <w:pPr>
        <w:pStyle w:val="Nivel2"/>
        <w:numPr>
          <w:ilvl w:val="1"/>
          <w:numId w:val="2"/>
        </w:numPr>
        <w:spacing w:lineRule="auto" w:line="360" w:before="0" w:after="0"/>
        <w:ind w:left="0" w:hanging="0"/>
        <w:rPr>
          <w:color w:val="auto"/>
          <w:sz w:val="22"/>
          <w:szCs w:val="22"/>
        </w:rPr>
      </w:pPr>
      <w:r>
        <w:rPr>
          <w:b/>
          <w:bCs/>
          <w:color w:val="auto"/>
          <w:sz w:val="22"/>
          <w:szCs w:val="22"/>
        </w:rPr>
        <w:t xml:space="preserve">O objeto da presente licitação é a </w:t>
      </w:r>
      <w:r>
        <w:rPr>
          <w:rStyle w:val="Fontepargpadro15"/>
          <w:b/>
          <w:bCs/>
          <w:color w:val="auto"/>
          <w:sz w:val="22"/>
          <w:szCs w:val="22"/>
        </w:rPr>
        <w:t>contratação</w:t>
      </w:r>
      <w:r>
        <w:rPr>
          <w:b/>
          <w:bCs/>
        </w:rPr>
        <w:t xml:space="preserve"> </w:t>
      </w:r>
      <w:r>
        <w:rPr>
          <w:rStyle w:val="Fontepargpadro15"/>
          <w:b/>
          <w:bCs/>
          <w:color w:val="auto"/>
          <w:sz w:val="22"/>
          <w:szCs w:val="22"/>
        </w:rPr>
        <w:t>de empresa especializada visando a prestação dos serviços de coleta, transporte, tratamento e disposição final dos resíduos sólidos de serviços de saúde dos grupos “A”, “B” e “E” gerados no Município de acordo com a Resolução RDC ANVISA nº 222/2018, CONAMA nº 358/05 e CONAMA nº 316/02, com Sistema Informatizado de Pesagem Ponto a Ponto,</w:t>
      </w:r>
      <w:r>
        <w:rPr>
          <w:rStyle w:val="Fontepargpadro15"/>
          <w:color w:val="auto"/>
          <w:sz w:val="22"/>
          <w:szCs w:val="22"/>
        </w:rPr>
        <w:t xml:space="preserve"> em regime de empreitada por preço unitário, </w:t>
      </w:r>
      <w:r>
        <w:rPr>
          <w:color w:val="auto"/>
          <w:sz w:val="22"/>
          <w:szCs w:val="22"/>
        </w:rPr>
        <w:t>conforme condições, quantidades e exigências estabelecidas neste Edital e seus anexos.</w:t>
      </w:r>
    </w:p>
    <w:p>
      <w:pPr>
        <w:pStyle w:val="Nivel2"/>
        <w:numPr>
          <w:ilvl w:val="1"/>
          <w:numId w:val="11"/>
        </w:numPr>
        <w:spacing w:lineRule="auto" w:line="360" w:before="0" w:after="0"/>
        <w:rPr>
          <w:color w:val="auto"/>
          <w:sz w:val="22"/>
          <w:szCs w:val="22"/>
        </w:rPr>
      </w:pPr>
      <w:r>
        <w:rPr>
          <w:color w:val="auto"/>
          <w:sz w:val="22"/>
          <w:szCs w:val="22"/>
        </w:rPr>
        <w:t>- A licitação será do tipo MENOR PREÇO GLOBAL.</w:t>
      </w:r>
    </w:p>
    <w:p>
      <w:pPr>
        <w:pStyle w:val="Nivel2"/>
        <w:numPr>
          <w:ilvl w:val="1"/>
          <w:numId w:val="11"/>
        </w:numPr>
        <w:spacing w:lineRule="auto" w:line="360" w:before="0" w:after="0"/>
        <w:rPr>
          <w:color w:val="auto"/>
          <w:sz w:val="22"/>
          <w:szCs w:val="22"/>
        </w:rPr>
      </w:pPr>
      <w:r>
        <w:rPr>
          <w:color w:val="auto"/>
          <w:sz w:val="22"/>
          <w:szCs w:val="22"/>
        </w:rPr>
        <w:t>- O objeto desta licitação será subsidiado com Recursos Próprios da Administração.</w:t>
      </w:r>
    </w:p>
    <w:p>
      <w:pPr>
        <w:pStyle w:val="Nivel2"/>
        <w:numPr>
          <w:ilvl w:val="0"/>
          <w:numId w:val="0"/>
        </w:numPr>
        <w:spacing w:lineRule="auto" w:line="360" w:before="0" w:after="0"/>
        <w:ind w:left="709" w:hanging="0"/>
        <w:rPr>
          <w:color w:val="auto"/>
          <w:sz w:val="22"/>
          <w:szCs w:val="22"/>
        </w:rPr>
      </w:pPr>
      <w:r>
        <w:rPr>
          <w:color w:val="auto"/>
          <w:sz w:val="22"/>
          <w:szCs w:val="22"/>
        </w:rPr>
      </w:r>
    </w:p>
    <w:p>
      <w:pPr>
        <w:pStyle w:val="Nivel01"/>
        <w:numPr>
          <w:ilvl w:val="0"/>
          <w:numId w:val="2"/>
        </w:numPr>
        <w:spacing w:lineRule="auto" w:line="360" w:before="0" w:after="0"/>
        <w:ind w:left="0" w:hanging="0"/>
        <w:rPr>
          <w:sz w:val="22"/>
          <w:szCs w:val="22"/>
        </w:rPr>
      </w:pPr>
      <w:bookmarkStart w:id="2" w:name="_Toc122606104"/>
      <w:r>
        <w:rPr>
          <w:sz w:val="22"/>
          <w:szCs w:val="22"/>
        </w:rPr>
        <w:t>DA PARTICIPAÇÃO NA LICITAÇÃO</w:t>
      </w:r>
      <w:bookmarkEnd w:id="2"/>
    </w:p>
    <w:p>
      <w:pPr>
        <w:pStyle w:val="Nivel2"/>
        <w:numPr>
          <w:ilvl w:val="1"/>
          <w:numId w:val="2"/>
        </w:numPr>
        <w:spacing w:lineRule="auto" w:line="360" w:before="0" w:after="0"/>
        <w:ind w:left="0" w:hanging="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2"/>
        </w:numPr>
        <w:spacing w:lineRule="auto" w:line="360" w:before="0" w:after="0"/>
        <w:ind w:left="0" w:hanging="0"/>
        <w:rPr>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2"/>
        </w:numPr>
        <w:spacing w:lineRule="auto" w:line="360" w:before="0" w:after="0"/>
        <w:ind w:left="0" w:hanging="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2"/>
        </w:numPr>
        <w:spacing w:lineRule="auto" w:line="360" w:before="0" w:after="0"/>
        <w:ind w:left="0" w:hanging="0"/>
        <w:rPr>
          <w:b/>
          <w:b/>
          <w:bCs/>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2"/>
        </w:numPr>
        <w:spacing w:lineRule="auto" w:line="360" w:before="0" w:after="0"/>
        <w:ind w:left="0" w:hanging="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2"/>
        </w:numPr>
        <w:spacing w:lineRule="auto" w:line="360" w:before="0" w:after="0"/>
        <w:ind w:left="0" w:hanging="0"/>
        <w:rPr>
          <w:rFonts w:eastAsia="Times New Roman"/>
          <w:b/>
          <w:b/>
          <w:bCs/>
          <w:color w:val="auto"/>
          <w:sz w:val="22"/>
          <w:szCs w:val="22"/>
        </w:rPr>
      </w:pPr>
      <w:bookmarkStart w:id="3" w:name="_Ref117000692"/>
      <w:r>
        <w:rPr>
          <w:rFonts w:eastAsia="Times New Roman"/>
          <w:b/>
          <w:bCs/>
          <w:color w:val="auto"/>
          <w:sz w:val="22"/>
          <w:szCs w:val="22"/>
        </w:rPr>
        <w:t>Não poderão disputar esta licitação:</w:t>
      </w:r>
      <w:bookmarkEnd w:id="3"/>
    </w:p>
    <w:p>
      <w:pPr>
        <w:pStyle w:val="Normal"/>
        <w:numPr>
          <w:ilvl w:val="2"/>
          <w:numId w:val="2"/>
        </w:numPr>
        <w:tabs>
          <w:tab w:val="clear" w:pos="709"/>
          <w:tab w:val="left" w:pos="426" w:leader="none"/>
          <w:tab w:val="left" w:pos="1440"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2"/>
        </w:numPr>
        <w:tabs>
          <w:tab w:val="clear" w:pos="0"/>
          <w:tab w:val="left" w:pos="426" w:leader="none"/>
        </w:tabs>
        <w:spacing w:lineRule="auto" w:line="360" w:before="0" w:after="0"/>
        <w:ind w:left="567" w:hanging="0"/>
        <w:rPr>
          <w:color w:val="auto"/>
          <w:sz w:val="22"/>
          <w:szCs w:val="22"/>
        </w:rPr>
      </w:pPr>
      <w:bookmarkStart w:id="4" w:name="_Ref113883003"/>
      <w:bookmarkStart w:id="5" w:name="_Ref113883338"/>
      <w:bookmarkEnd w:id="5"/>
      <w:r>
        <w:rPr>
          <w:color w:val="auto"/>
          <w:sz w:val="22"/>
          <w:szCs w:val="22"/>
        </w:rPr>
        <w:t>pessoa física ou jurídica que se encontre, ao tempo da licitação, impossibilitada de participar da licitação em decorrência de sanção que lhe foi imposta;</w:t>
      </w:r>
      <w:bookmarkEnd w:id="4"/>
    </w:p>
    <w:p>
      <w:pPr>
        <w:pStyle w:val="Nivel3"/>
        <w:numPr>
          <w:ilvl w:val="2"/>
          <w:numId w:val="2"/>
        </w:numPr>
        <w:tabs>
          <w:tab w:val="clear" w:pos="0"/>
          <w:tab w:val="left" w:pos="426" w:leader="none"/>
        </w:tabs>
        <w:spacing w:lineRule="auto" w:line="360" w:before="0" w:after="0"/>
        <w:ind w:left="567" w:hanging="0"/>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2"/>
        </w:numPr>
        <w:tabs>
          <w:tab w:val="clear" w:pos="0"/>
          <w:tab w:val="left" w:pos="426" w:leader="none"/>
        </w:tabs>
        <w:spacing w:lineRule="auto" w:line="360" w:before="0" w:after="0"/>
        <w:ind w:left="567" w:hanging="0"/>
        <w:rPr>
          <w:color w:val="auto"/>
          <w:sz w:val="22"/>
          <w:szCs w:val="22"/>
        </w:rPr>
      </w:pPr>
      <w:bookmarkStart w:id="6" w:name="_Ref113883579"/>
      <w:r>
        <w:rPr>
          <w:color w:val="auto"/>
          <w:sz w:val="22"/>
          <w:szCs w:val="22"/>
        </w:rPr>
        <w:t>empresas controladoras, controladas ou coligadas, nos termos da Lei nº 6.404, de 15 de dezembro de 1976, concorrendo entre si;</w:t>
      </w:r>
      <w:bookmarkEnd w:id="6"/>
    </w:p>
    <w:p>
      <w:pPr>
        <w:pStyle w:val="Nivel3"/>
        <w:numPr>
          <w:ilvl w:val="2"/>
          <w:numId w:val="2"/>
        </w:numPr>
        <w:tabs>
          <w:tab w:val="clear" w:pos="0"/>
          <w:tab w:val="left" w:pos="426" w:leader="none"/>
        </w:tabs>
        <w:spacing w:lineRule="auto" w:line="360" w:before="0" w:after="0"/>
        <w:ind w:left="567" w:hanging="0"/>
        <w:rPr>
          <w:color w:val="auto"/>
          <w:sz w:val="22"/>
          <w:szCs w:val="22"/>
        </w:rPr>
      </w:pPr>
      <w:r>
        <w:rPr>
          <w:color w:val="auto"/>
          <w:sz w:val="22"/>
          <w:szCs w:val="22"/>
        </w:rPr>
        <w:t>empresas em consórcio;</w:t>
      </w:r>
    </w:p>
    <w:p>
      <w:pPr>
        <w:pStyle w:val="Nivel3"/>
        <w:numPr>
          <w:ilvl w:val="2"/>
          <w:numId w:val="2"/>
        </w:numPr>
        <w:tabs>
          <w:tab w:val="clear" w:pos="0"/>
          <w:tab w:val="left" w:pos="426" w:leader="none"/>
        </w:tabs>
        <w:spacing w:lineRule="auto" w:line="360" w:before="0" w:after="0"/>
        <w:ind w:left="567" w:hanging="0"/>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2"/>
        </w:numPr>
        <w:tabs>
          <w:tab w:val="clear" w:pos="0"/>
          <w:tab w:val="left" w:pos="426" w:leader="none"/>
        </w:tabs>
        <w:spacing w:lineRule="auto" w:line="360" w:before="0" w:after="0"/>
        <w:ind w:left="567" w:hanging="0"/>
        <w:rPr>
          <w:color w:val="auto"/>
          <w:sz w:val="22"/>
          <w:szCs w:val="22"/>
        </w:rPr>
      </w:pPr>
      <w:bookmarkStart w:id="7" w:name="_Ref113962336"/>
      <w:r>
        <w:rPr>
          <w:color w:val="auto"/>
          <w:sz w:val="22"/>
          <w:szCs w:val="22"/>
        </w:rPr>
        <w:t>agente público do órgão ou entidade licitante;</w:t>
      </w:r>
      <w:bookmarkEnd w:id="7"/>
    </w:p>
    <w:p>
      <w:pPr>
        <w:pStyle w:val="Normal"/>
        <w:numPr>
          <w:ilvl w:val="2"/>
          <w:numId w:val="2"/>
        </w:numPr>
        <w:tabs>
          <w:tab w:val="clear" w:pos="709"/>
          <w:tab w:val="left" w:pos="426" w:leader="none"/>
          <w:tab w:val="left" w:pos="1440"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2"/>
        </w:numPr>
        <w:tabs>
          <w:tab w:val="clear" w:pos="0"/>
          <w:tab w:val="left" w:pos="426" w:leader="none"/>
        </w:tabs>
        <w:spacing w:lineRule="auto" w:line="360" w:before="0" w:after="0"/>
        <w:ind w:left="567" w:hanging="0"/>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auto"/>
        </w:rPr>
        <w:instrText xml:space="preserve"> HYPERLINK "http://www.planalto.gov.br/ccivil_03/_ato2019-2022/2021/lei/L14133.htm" \l "art9§1"</w:instrText>
      </w:r>
      <w:r>
        <w:rPr>
          <w:rStyle w:val="LinkdaInternet"/>
          <w:sz w:val="22"/>
          <w:szCs w:val="22"/>
          <w:color w:val="auto"/>
        </w:rPr>
        <w:fldChar w:fldCharType="separate"/>
      </w:r>
      <w:r>
        <w:rPr>
          <w:rStyle w:val="LinkdaInternet"/>
          <w:color w:val="auto"/>
          <w:sz w:val="22"/>
          <w:szCs w:val="22"/>
        </w:rPr>
        <w:t>§ 1º do art. 9º da Lei n.º 14.133, de 2021</w:t>
      </w:r>
      <w:r>
        <w:rPr>
          <w:rStyle w:val="LinkdaInternet"/>
          <w:sz w:val="22"/>
          <w:szCs w:val="22"/>
          <w:color w:val="auto"/>
        </w:rPr>
        <w:fldChar w:fldCharType="end"/>
      </w:r>
      <w:r>
        <w:rPr>
          <w:color w:val="auto"/>
          <w:sz w:val="22"/>
          <w:szCs w:val="22"/>
        </w:rPr>
        <w:t>.</w:t>
      </w:r>
    </w:p>
    <w:p>
      <w:pPr>
        <w:pStyle w:val="Nivel2"/>
        <w:numPr>
          <w:ilvl w:val="1"/>
          <w:numId w:val="2"/>
        </w:numPr>
        <w:spacing w:lineRule="auto" w:line="360" w:before="0" w:after="0"/>
        <w:ind w:left="0" w:hanging="0"/>
        <w:rPr>
          <w:color w:val="auto"/>
          <w:sz w:val="22"/>
          <w:szCs w:val="22"/>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left="567" w:hanging="0"/>
        <w:rPr>
          <w:color w:val="auto"/>
          <w:sz w:val="22"/>
          <w:szCs w:val="22"/>
        </w:rPr>
      </w:pPr>
      <w:r>
        <w:rPr>
          <w:color w:val="auto"/>
          <w:sz w:val="22"/>
          <w:szCs w:val="22"/>
        </w:rPr>
      </w:r>
    </w:p>
    <w:p>
      <w:pPr>
        <w:pStyle w:val="Nivel01"/>
        <w:numPr>
          <w:ilvl w:val="0"/>
          <w:numId w:val="2"/>
        </w:numPr>
        <w:spacing w:lineRule="auto" w:line="360" w:before="0" w:after="0"/>
        <w:ind w:left="0" w:hanging="0"/>
        <w:rPr>
          <w:sz w:val="22"/>
          <w:szCs w:val="22"/>
        </w:rPr>
      </w:pPr>
      <w:bookmarkStart w:id="8" w:name="_Toc122606105"/>
      <w:bookmarkStart w:id="9" w:name="art14§2"/>
      <w:bookmarkEnd w:id="9"/>
      <w:r>
        <w:rPr>
          <w:sz w:val="22"/>
          <w:szCs w:val="22"/>
        </w:rPr>
        <w:t>DA APRESENTAÇÃO DA PROPOSTA E DOS DOCUMENTOS DE HABILITAÇÃO</w:t>
      </w:r>
      <w:bookmarkEnd w:id="8"/>
    </w:p>
    <w:p>
      <w:pPr>
        <w:pStyle w:val="Nivel2"/>
        <w:numPr>
          <w:ilvl w:val="1"/>
          <w:numId w:val="2"/>
        </w:numPr>
        <w:spacing w:lineRule="auto" w:line="360" w:before="0" w:after="0"/>
        <w:ind w:left="0" w:hanging="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2"/>
        </w:numPr>
        <w:spacing w:lineRule="auto" w:line="360" w:before="0" w:after="0"/>
        <w:ind w:left="0" w:hanging="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LinkdaInternet"/>
          <w:color w:val="auto"/>
          <w:sz w:val="22"/>
          <w:szCs w:val="22"/>
        </w:rPr>
        <w:t>www.novobbmnet.com.br</w:t>
      </w:r>
      <w:r>
        <w:rPr>
          <w:color w:val="auto"/>
          <w:sz w:val="22"/>
          <w:szCs w:val="22"/>
        </w:rPr>
        <w:t xml:space="preserve">, acesso “credenciamento – licitantes (fornecedores)”. </w:t>
      </w:r>
    </w:p>
    <w:p>
      <w:pPr>
        <w:pStyle w:val="Nivel2"/>
        <w:numPr>
          <w:ilvl w:val="1"/>
          <w:numId w:val="2"/>
        </w:numPr>
        <w:spacing w:lineRule="auto" w:line="360" w:before="0" w:after="0"/>
        <w:ind w:left="0" w:hanging="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nkdaInternet"/>
            <w:color w:val="auto"/>
            <w:sz w:val="22"/>
            <w:szCs w:val="22"/>
          </w:rPr>
          <w:t>www.novobbmnet.com.br</w:t>
        </w:r>
      </w:hyperlink>
      <w:r>
        <w:rPr>
          <w:color w:val="auto"/>
          <w:sz w:val="22"/>
          <w:szCs w:val="22"/>
        </w:rPr>
        <w:t>.</w:t>
      </w:r>
    </w:p>
    <w:p>
      <w:pPr>
        <w:pStyle w:val="Nivel2"/>
        <w:numPr>
          <w:ilvl w:val="1"/>
          <w:numId w:val="2"/>
        </w:numPr>
        <w:spacing w:lineRule="auto" w:line="360" w:before="0" w:after="0"/>
        <w:ind w:left="0" w:hanging="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nkdaInternet"/>
            <w:color w:val="auto"/>
            <w:sz w:val="22"/>
            <w:szCs w:val="22"/>
          </w:rPr>
          <w:t>www.novobbmnet.com.br</w:t>
        </w:r>
      </w:hyperlink>
      <w:r>
        <w:rPr>
          <w:color w:val="auto"/>
          <w:sz w:val="22"/>
          <w:szCs w:val="22"/>
        </w:rPr>
        <w:t>.</w:t>
      </w:r>
    </w:p>
    <w:p>
      <w:pPr>
        <w:pStyle w:val="Nivel2"/>
        <w:numPr>
          <w:ilvl w:val="1"/>
          <w:numId w:val="2"/>
        </w:numPr>
        <w:spacing w:lineRule="auto" w:line="360" w:before="0" w:after="0"/>
        <w:ind w:left="0" w:hanging="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nkdaInternet"/>
            <w:color w:val="auto"/>
            <w:sz w:val="22"/>
            <w:szCs w:val="22"/>
          </w:rPr>
          <w:t>www.novobbmnet.com.br</w:t>
        </w:r>
      </w:hyperlink>
      <w:r>
        <w:rPr>
          <w:color w:val="auto"/>
          <w:sz w:val="22"/>
          <w:szCs w:val="22"/>
        </w:rPr>
        <w:t>, opção “Login” opção “Licitação Pública” “Sala de Negociação”.</w:t>
      </w:r>
    </w:p>
    <w:p>
      <w:pPr>
        <w:pStyle w:val="Nivel2"/>
        <w:numPr>
          <w:ilvl w:val="1"/>
          <w:numId w:val="2"/>
        </w:numPr>
        <w:spacing w:lineRule="auto" w:line="360" w:before="0" w:after="0"/>
        <w:ind w:left="0" w:hanging="0"/>
        <w:rPr>
          <w:color w:val="auto"/>
          <w:sz w:val="22"/>
          <w:szCs w:val="22"/>
        </w:rPr>
      </w:pPr>
      <w:bookmarkStart w:id="10"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0"/>
    </w:p>
    <w:p>
      <w:pPr>
        <w:pStyle w:val="Nivel2"/>
        <w:numPr>
          <w:ilvl w:val="1"/>
          <w:numId w:val="2"/>
        </w:numPr>
        <w:spacing w:lineRule="auto" w:line="360" w:before="0" w:after="0"/>
        <w:ind w:left="0" w:hanging="0"/>
        <w:rPr>
          <w:color w:val="auto"/>
          <w:sz w:val="22"/>
          <w:szCs w:val="22"/>
        </w:rPr>
      </w:pPr>
      <w:bookmarkStart w:id="11" w:name="_Ref113968921"/>
      <w:r>
        <w:rPr>
          <w:rFonts w:eastAsia="Times New Roman"/>
          <w:color w:val="auto"/>
          <w:sz w:val="22"/>
          <w:szCs w:val="22"/>
        </w:rPr>
        <w:t>No cadastramento da proposta inicial, o licitante declarará, em campo próprio do sistema, que:</w:t>
      </w:r>
      <w:bookmarkEnd w:id="11"/>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auto"/>
        </w:rPr>
        <w:instrText xml:space="preserve"> HYPERLINK "https://www.planalto.gov.br/ccivil_03/constituicao/constituicaocompilado.htm" \l "art7"</w:instrText>
      </w:r>
      <w:r>
        <w:rPr>
          <w:rStyle w:val="LinkdaInternet"/>
          <w:sz w:val="22"/>
          <w:szCs w:val="22"/>
          <w:color w:val="auto"/>
        </w:rPr>
        <w:fldChar w:fldCharType="separate"/>
      </w:r>
      <w:r>
        <w:rPr>
          <w:rStyle w:val="LinkdaInternet"/>
          <w:color w:val="auto"/>
          <w:sz w:val="22"/>
          <w:szCs w:val="22"/>
        </w:rPr>
        <w:t>artigo 7°, XXXIII, da Constituição</w:t>
      </w:r>
      <w:r>
        <w:rPr>
          <w:rStyle w:val="LinkdaInternet"/>
          <w:sz w:val="22"/>
          <w:szCs w:val="22"/>
          <w:color w:val="auto"/>
        </w:rPr>
        <w:fldChar w:fldCharType="end"/>
      </w:r>
      <w:r>
        <w:rPr>
          <w:color w:val="auto"/>
          <w:sz w:val="22"/>
          <w:szCs w:val="22"/>
        </w:rPr>
        <w:t>;</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 xml:space="preserve">não possui, em sua cadeia produtiva, empregados executando trabalho degradante ou forçado, observando o disposto nos </w:t>
      </w:r>
      <w:hyperlink r:id="rId6">
        <w:r>
          <w:rPr>
            <w:rStyle w:val="LinkdaInternet"/>
            <w:color w:val="auto"/>
            <w:sz w:val="22"/>
            <w:szCs w:val="22"/>
          </w:rPr>
          <w:t>incisos III e IV do art. 1º e no inciso III do art. 5º da Constituição Federal</w:t>
        </w:r>
      </w:hyperlink>
      <w:r>
        <w:rPr>
          <w:color w:val="auto"/>
          <w:sz w:val="22"/>
          <w:szCs w:val="22"/>
        </w:rPr>
        <w:t>;</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2"/>
        </w:numPr>
        <w:spacing w:lineRule="auto" w:line="360" w:before="0" w:after="0"/>
        <w:ind w:left="0" w:hanging="0"/>
        <w:rPr>
          <w:color w:val="auto"/>
          <w:sz w:val="22"/>
          <w:szCs w:val="22"/>
        </w:rPr>
      </w:pPr>
      <w:r>
        <w:rPr>
          <w:color w:val="auto"/>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auto"/>
        </w:rPr>
        <w:instrText xml:space="preserve"> HYPERLINK "http://www.planalto.gov.br/ccivil_03/_ato2019-2022/2021/lei/L14133.htm" \l "art16"</w:instrText>
      </w:r>
      <w:r>
        <w:rPr>
          <w:rStyle w:val="LinkdaInternet"/>
          <w:sz w:val="22"/>
          <w:szCs w:val="22"/>
          <w:color w:val="auto"/>
        </w:rPr>
        <w:fldChar w:fldCharType="separate"/>
      </w:r>
      <w:r>
        <w:rPr>
          <w:rStyle w:val="LinkdaInternet"/>
          <w:color w:val="auto"/>
          <w:sz w:val="22"/>
          <w:szCs w:val="22"/>
        </w:rPr>
        <w:t>artigo 16 da Lei nº 14.133, de 2021</w:t>
      </w:r>
      <w:r>
        <w:rPr>
          <w:rStyle w:val="LinkdaInternet"/>
          <w:sz w:val="22"/>
          <w:szCs w:val="22"/>
          <w:color w:val="auto"/>
        </w:rPr>
        <w:fldChar w:fldCharType="end"/>
      </w:r>
      <w:r>
        <w:rPr>
          <w:color w:val="auto"/>
          <w:sz w:val="22"/>
          <w:szCs w:val="22"/>
        </w:rPr>
        <w:t>.</w:t>
      </w:r>
    </w:p>
    <w:p>
      <w:pPr>
        <w:pStyle w:val="Nivel2"/>
        <w:numPr>
          <w:ilvl w:val="1"/>
          <w:numId w:val="2"/>
        </w:numPr>
        <w:spacing w:lineRule="auto" w:line="360" w:before="0" w:after="0"/>
        <w:ind w:left="0" w:hanging="0"/>
        <w:rPr>
          <w:color w:val="auto"/>
          <w:sz w:val="22"/>
          <w:szCs w:val="22"/>
        </w:rPr>
      </w:pPr>
      <w:bookmarkStart w:id="12"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auto"/>
        </w:rPr>
        <w:instrText xml:space="preserve"> HYPERLINK "https://www.planalto.gov.br/ccivil_03/leis/lcp/lcp123.htm" \l "art3"</w:instrText>
      </w:r>
      <w:r>
        <w:rPr>
          <w:rStyle w:val="LinkdaInternet"/>
          <w:sz w:val="22"/>
          <w:szCs w:val="22"/>
          <w:color w:val="auto"/>
        </w:rPr>
        <w:fldChar w:fldCharType="separate"/>
      </w:r>
      <w:r>
        <w:rPr>
          <w:rStyle w:val="LinkdaInternet"/>
          <w:color w:val="auto"/>
          <w:sz w:val="22"/>
          <w:szCs w:val="22"/>
        </w:rPr>
        <w:t>artigo 3° da Lei Complementar nº 123, de 2006</w:t>
      </w:r>
      <w:r>
        <w:rPr>
          <w:rStyle w:val="LinkdaInternet"/>
          <w:sz w:val="22"/>
          <w:szCs w:val="22"/>
          <w:color w:val="auto"/>
        </w:rPr>
        <w:fldChar w:fldCharType="end"/>
      </w:r>
      <w:r>
        <w:rPr>
          <w:color w:val="auto"/>
          <w:sz w:val="22"/>
          <w:szCs w:val="22"/>
        </w:rPr>
        <w:t xml:space="preserve">, estando apto a usufruir do tratamento favorecido estabelecido em seus </w:t>
      </w:r>
      <w:r>
        <w:fldChar w:fldCharType="begin"/>
      </w:r>
      <w:r>
        <w:rPr>
          <w:rStyle w:val="LinkdaInternet"/>
          <w:sz w:val="22"/>
          <w:szCs w:val="22"/>
          <w:color w:val="auto"/>
        </w:rPr>
        <w:instrText xml:space="preserve"> HYPERLINK "https://www.planalto.gov.br/ccivil_03/leis/lcp/lcp123.htm" \l "art42"</w:instrText>
      </w:r>
      <w:r>
        <w:rPr>
          <w:rStyle w:val="LinkdaInternet"/>
          <w:sz w:val="22"/>
          <w:szCs w:val="22"/>
          <w:color w:val="auto"/>
        </w:rPr>
        <w:fldChar w:fldCharType="separate"/>
      </w:r>
      <w:r>
        <w:rPr>
          <w:rStyle w:val="LinkdaInternet"/>
          <w:color w:val="auto"/>
          <w:sz w:val="22"/>
          <w:szCs w:val="22"/>
        </w:rPr>
        <w:t>arts. 42 a 49</w:t>
      </w:r>
      <w:r>
        <w:rPr>
          <w:rStyle w:val="LinkdaInternet"/>
          <w:sz w:val="22"/>
          <w:szCs w:val="22"/>
          <w:color w:val="auto"/>
        </w:rPr>
        <w:fldChar w:fldCharType="end"/>
      </w:r>
      <w:r>
        <w:rPr>
          <w:color w:val="auto"/>
          <w:sz w:val="22"/>
          <w:szCs w:val="22"/>
        </w:rPr>
        <w:t xml:space="preserve">, observado o disposto nos </w:t>
      </w:r>
      <w:r>
        <w:fldChar w:fldCharType="begin"/>
      </w:r>
      <w:r>
        <w:rPr>
          <w:rStyle w:val="LinkdaInternet"/>
          <w:sz w:val="22"/>
          <w:szCs w:val="22"/>
          <w:color w:val="auto"/>
        </w:rPr>
        <w:instrText xml:space="preserve"> HYPERLINK "http://www.planalto.gov.br/ccivil_03/_ato2019-2022/2021/lei/L14133.htm" \l "art4§1"</w:instrText>
      </w:r>
      <w:r>
        <w:rPr>
          <w:rStyle w:val="LinkdaInternet"/>
          <w:sz w:val="22"/>
          <w:szCs w:val="22"/>
          <w:color w:val="auto"/>
        </w:rPr>
        <w:fldChar w:fldCharType="separate"/>
      </w:r>
      <w:r>
        <w:rPr>
          <w:rStyle w:val="LinkdaInternet"/>
          <w:color w:val="auto"/>
          <w:sz w:val="22"/>
          <w:szCs w:val="22"/>
        </w:rPr>
        <w:t>§§ 1º ao 3º do art. 4º, da Lei n.º 14.133, de 2021.</w:t>
      </w:r>
      <w:r>
        <w:rPr>
          <w:rStyle w:val="LinkdaInternet"/>
          <w:sz w:val="22"/>
          <w:szCs w:val="22"/>
          <w:color w:val="auto"/>
        </w:rPr>
        <w:fldChar w:fldCharType="end"/>
      </w:r>
      <w:bookmarkEnd w:id="12"/>
      <w:r>
        <w:rPr>
          <w:color w:val="auto"/>
          <w:sz w:val="22"/>
          <w:szCs w:val="22"/>
        </w:rPr>
        <w:t xml:space="preserve"> </w:t>
      </w:r>
    </w:p>
    <w:p>
      <w:pPr>
        <w:pStyle w:val="Nivel2"/>
        <w:numPr>
          <w:ilvl w:val="1"/>
          <w:numId w:val="2"/>
        </w:numPr>
        <w:spacing w:lineRule="auto" w:line="360" w:before="0" w:after="0"/>
        <w:ind w:left="0" w:hanging="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LinkdaInternet"/>
            <w:color w:val="auto"/>
            <w:sz w:val="22"/>
            <w:szCs w:val="22"/>
          </w:rPr>
          <w:t>Lei nº 14.133, de 2021</w:t>
        </w:r>
      </w:hyperlink>
      <w:r>
        <w:rPr>
          <w:color w:val="auto"/>
          <w:sz w:val="22"/>
          <w:szCs w:val="22"/>
        </w:rPr>
        <w:t>, e neste Edital.</w:t>
      </w:r>
    </w:p>
    <w:p>
      <w:pPr>
        <w:pStyle w:val="Nivel2"/>
        <w:numPr>
          <w:ilvl w:val="1"/>
          <w:numId w:val="2"/>
        </w:numPr>
        <w:spacing w:lineRule="auto" w:line="360" w:before="0" w:after="0"/>
        <w:ind w:left="0" w:hanging="0"/>
        <w:rPr>
          <w:color w:val="auto"/>
          <w:sz w:val="22"/>
          <w:szCs w:val="22"/>
        </w:rPr>
      </w:pPr>
      <w:r>
        <w:rPr>
          <w:color w:val="auto"/>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pPr>
        <w:pStyle w:val="Nivel2"/>
        <w:numPr>
          <w:ilvl w:val="1"/>
          <w:numId w:val="2"/>
        </w:numPr>
        <w:spacing w:lineRule="auto" w:line="360" w:before="0" w:after="0"/>
        <w:ind w:left="0" w:hanging="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2"/>
        </w:numPr>
        <w:spacing w:lineRule="auto" w:line="360" w:before="0" w:after="0"/>
        <w:ind w:left="0" w:hanging="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2"/>
        </w:numPr>
        <w:spacing w:lineRule="auto" w:line="360" w:before="0" w:after="0"/>
        <w:ind w:left="0" w:hanging="0"/>
        <w:rPr>
          <w:color w:val="auto"/>
          <w:sz w:val="22"/>
          <w:szCs w:val="22"/>
        </w:rPr>
      </w:pPr>
      <w:bookmarkStart w:id="13"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3"/>
      <w:r>
        <w:rPr>
          <w:color w:val="auto"/>
          <w:sz w:val="22"/>
          <w:szCs w:val="22"/>
        </w:rPr>
        <w:t xml:space="preserve"> </w:t>
      </w:r>
    </w:p>
    <w:p>
      <w:pPr>
        <w:pStyle w:val="Nivel2"/>
        <w:numPr>
          <w:ilvl w:val="1"/>
          <w:numId w:val="2"/>
        </w:numPr>
        <w:spacing w:lineRule="auto" w:line="360" w:before="0" w:after="0"/>
        <w:ind w:left="0" w:hanging="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2"/>
        </w:numPr>
        <w:spacing w:lineRule="auto" w:line="360" w:before="0" w:after="0"/>
        <w:ind w:left="0" w:hanging="0"/>
        <w:rPr>
          <w:rFonts w:eastAsia="Times New Roman"/>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LinkdaInternet"/>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2"/>
        </w:numPr>
        <w:spacing w:lineRule="auto" w:line="360" w:before="0" w:after="0"/>
        <w:ind w:left="0" w:hanging="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jc w:val="both"/>
        <w:rPr>
          <w:rFonts w:ascii="Arial" w:hAnsi="Arial" w:cs="Arial"/>
          <w:sz w:val="22"/>
          <w:szCs w:val="22"/>
        </w:rPr>
      </w:pPr>
      <w:r>
        <w:rPr>
          <w:rFonts w:cs="Arial" w:ascii="Arial" w:hAnsi="Arial"/>
          <w:sz w:val="22"/>
          <w:szCs w:val="22"/>
        </w:rPr>
        <w:tab/>
        <w:t>.</w:t>
      </w:r>
    </w:p>
    <w:p>
      <w:pPr>
        <w:pStyle w:val="Nivel01"/>
        <w:numPr>
          <w:ilvl w:val="0"/>
          <w:numId w:val="2"/>
        </w:numPr>
        <w:spacing w:lineRule="auto" w:line="360" w:before="0" w:after="0"/>
        <w:ind w:left="0" w:hanging="0"/>
        <w:rPr>
          <w:sz w:val="22"/>
          <w:szCs w:val="22"/>
        </w:rPr>
      </w:pPr>
      <w:bookmarkStart w:id="14" w:name="_Toc122606106"/>
      <w:r>
        <w:rPr>
          <w:sz w:val="22"/>
          <w:szCs w:val="22"/>
        </w:rPr>
        <w:t>DO PREENCHIMENTO DA PROPOSTA</w:t>
      </w:r>
      <w:bookmarkEnd w:id="14"/>
    </w:p>
    <w:p>
      <w:pPr>
        <w:pStyle w:val="Nivel2"/>
        <w:numPr>
          <w:ilvl w:val="0"/>
          <w:numId w:val="0"/>
        </w:numPr>
        <w:tabs>
          <w:tab w:val="clear" w:pos="709"/>
          <w:tab w:val="left" w:pos="0" w:leader="none"/>
        </w:tabs>
        <w:spacing w:lineRule="auto" w:line="360" w:before="0" w:after="0"/>
        <w:ind w:left="0" w:hanging="0"/>
        <w:rPr>
          <w:color w:val="auto"/>
          <w:sz w:val="22"/>
          <w:szCs w:val="22"/>
        </w:rPr>
      </w:pPr>
      <w:r>
        <w:rPr>
          <w:color w:val="auto"/>
          <w:sz w:val="22"/>
          <w:szCs w:val="22"/>
        </w:rPr>
        <w:t>O licitante deverá enviar sua proposta mediante o preenchimento, no sistema eletrônico, dos seguintes campos: VALOR TOTAL GLOBAL DO LOTE.</w:t>
      </w:r>
      <w:r>
        <w:rPr>
          <w:i/>
          <w:color w:val="auto"/>
          <w:sz w:val="22"/>
          <w:szCs w:val="22"/>
        </w:rPr>
        <w:t xml:space="preserve"> </w:t>
      </w:r>
    </w:p>
    <w:p>
      <w:pPr>
        <w:pStyle w:val="Nivel2"/>
        <w:numPr>
          <w:ilvl w:val="1"/>
          <w:numId w:val="2"/>
        </w:numPr>
        <w:spacing w:lineRule="auto" w:line="360" w:before="0" w:after="0"/>
        <w:ind w:left="0" w:hanging="0"/>
        <w:rPr>
          <w:color w:val="auto"/>
          <w:sz w:val="22"/>
          <w:szCs w:val="22"/>
        </w:rPr>
      </w:pPr>
      <w:r>
        <w:rPr>
          <w:color w:val="auto"/>
          <w:sz w:val="22"/>
          <w:szCs w:val="22"/>
        </w:rPr>
        <w:t>Todas as especificações do objeto contidas na proposta vinculam o licitante.</w:t>
      </w:r>
    </w:p>
    <w:p>
      <w:pPr>
        <w:pStyle w:val="Nivel2"/>
        <w:numPr>
          <w:ilvl w:val="1"/>
          <w:numId w:val="2"/>
        </w:numPr>
        <w:spacing w:lineRule="auto" w:line="360" w:before="0" w:after="0"/>
        <w:ind w:left="0" w:hanging="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2"/>
        </w:numPr>
        <w:spacing w:lineRule="auto" w:line="360" w:before="0" w:after="0"/>
        <w:ind w:left="0" w:hanging="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2"/>
        </w:numPr>
        <w:spacing w:lineRule="auto" w:line="360" w:before="0" w:after="0"/>
        <w:ind w:left="0" w:hanging="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w:t>
      </w:r>
    </w:p>
    <w:p>
      <w:pPr>
        <w:pStyle w:val="Nivel2"/>
        <w:numPr>
          <w:ilvl w:val="1"/>
          <w:numId w:val="2"/>
        </w:numPr>
        <w:spacing w:lineRule="auto" w:line="360" w:before="0" w:after="0"/>
        <w:ind w:left="0" w:hanging="0"/>
        <w:rPr>
          <w:color w:val="auto"/>
          <w:sz w:val="22"/>
          <w:szCs w:val="22"/>
        </w:rPr>
      </w:pPr>
      <w:r>
        <w:rPr>
          <w:color w:val="auto"/>
          <w:sz w:val="22"/>
          <w:szCs w:val="22"/>
        </w:rPr>
        <w:t>Independentemente do percentual de tributo inserido na planilha, no pagamento serão retidos na fonte os percentuais estabelecidos na legislação vigente.</w:t>
      </w:r>
    </w:p>
    <w:p>
      <w:pPr>
        <w:pStyle w:val="Nivel2"/>
        <w:numPr>
          <w:ilvl w:val="1"/>
          <w:numId w:val="2"/>
        </w:numPr>
        <w:spacing w:lineRule="auto" w:line="360" w:before="0" w:after="0"/>
        <w:ind w:left="0" w:hanging="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2"/>
        </w:numPr>
        <w:spacing w:lineRule="auto" w:line="360" w:before="0" w:after="0"/>
        <w:ind w:left="0" w:hanging="0"/>
        <w:rPr>
          <w:color w:val="auto"/>
          <w:sz w:val="22"/>
          <w:szCs w:val="22"/>
        </w:rPr>
      </w:pPr>
      <w:r>
        <w:rPr>
          <w:color w:val="auto"/>
          <w:sz w:val="22"/>
          <w:szCs w:val="22"/>
        </w:rPr>
        <w:t xml:space="preserve">O prazo de validade da proposta não será inferior a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2"/>
        </w:numPr>
        <w:spacing w:lineRule="auto" w:line="360" w:before="0" w:after="0"/>
        <w:ind w:left="0" w:hanging="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numPr>
          <w:ilvl w:val="0"/>
          <w:numId w:val="0"/>
        </w:numPr>
        <w:spacing w:lineRule="auto" w:line="360" w:before="0" w:after="0"/>
        <w:ind w:left="0" w:hanging="0"/>
        <w:rPr>
          <w:color w:val="auto"/>
          <w:sz w:val="22"/>
          <w:szCs w:val="22"/>
        </w:rPr>
      </w:pPr>
      <w:r>
        <w:rPr>
          <w:color w:val="auto"/>
          <w:sz w:val="22"/>
          <w:szCs w:val="22"/>
        </w:rPr>
      </w:r>
    </w:p>
    <w:p>
      <w:pPr>
        <w:pStyle w:val="Nivel01"/>
        <w:numPr>
          <w:ilvl w:val="0"/>
          <w:numId w:val="2"/>
        </w:numPr>
        <w:spacing w:lineRule="auto" w:line="360" w:before="0" w:after="0"/>
        <w:ind w:left="0" w:hanging="0"/>
        <w:rPr>
          <w:sz w:val="22"/>
          <w:szCs w:val="22"/>
        </w:rPr>
      </w:pPr>
      <w:r>
        <w:rPr>
          <w:sz w:val="22"/>
          <w:szCs w:val="22"/>
        </w:rPr>
        <w:t>EXIGÊNCIAS DE HABILITAÇÃO</w:t>
      </w:r>
    </w:p>
    <w:p>
      <w:pPr>
        <w:pStyle w:val="Normal"/>
        <w:spacing w:lineRule="auto" w:line="360"/>
        <w:rPr>
          <w:rFonts w:ascii="Arial" w:hAnsi="Arial" w:eastAsia="MS Mincho" w:cs="Arial"/>
          <w:kern w:val="0"/>
          <w:sz w:val="22"/>
          <w:szCs w:val="22"/>
          <w:lang w:eastAsia="pt-BR"/>
        </w:rPr>
      </w:pPr>
      <w:r>
        <w:rPr>
          <w:rFonts w:eastAsia="MS Mincho"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 w:cs="Arial"/>
          <w:b/>
          <w:b/>
          <w:bCs/>
          <w:kern w:val="0"/>
          <w:sz w:val="22"/>
          <w:szCs w:val="22"/>
          <w:lang w:eastAsia="pt-BR"/>
        </w:rPr>
      </w:pPr>
      <w:r>
        <w:rPr>
          <w:rFonts w:eastAsia="MS Mincho" w:cs="Arial" w:ascii="Arial" w:hAnsi="Arial"/>
          <w:b/>
          <w:bCs/>
          <w:kern w:val="0"/>
          <w:sz w:val="22"/>
          <w:szCs w:val="22"/>
          <w:lang w:eastAsia="pt-BR"/>
        </w:rPr>
        <w:t>5.1 - HABILITAÇÃO JURÍDICA</w:t>
      </w:r>
    </w:p>
    <w:p>
      <w:pPr>
        <w:pStyle w:val="ListParagraph"/>
        <w:numPr>
          <w:ilvl w:val="0"/>
          <w:numId w:val="10"/>
        </w:numPr>
        <w:tabs>
          <w:tab w:val="clear" w:pos="709"/>
          <w:tab w:val="left" w:pos="0" w:leader="none"/>
        </w:tabs>
        <w:spacing w:lineRule="auto" w:line="360"/>
        <w:ind w:left="0" w:hanging="11"/>
        <w:jc w:val="both"/>
        <w:rPr>
          <w:rFonts w:ascii="Arial" w:hAnsi="Arial" w:cs="Arial"/>
          <w:sz w:val="22"/>
          <w:szCs w:val="22"/>
        </w:rPr>
      </w:pPr>
      <w:r>
        <w:rPr>
          <w:rFonts w:cs="Arial" w:ascii="Arial" w:hAnsi="Arial"/>
          <w:sz w:val="22"/>
          <w:szCs w:val="22"/>
        </w:rPr>
        <w:t>Empresário individual: inscrição no Registro Público de Empresas Mercantis, a cargo da Junta Comercial da respectiva sede;</w:t>
      </w:r>
    </w:p>
    <w:p>
      <w:pPr>
        <w:pStyle w:val="ListParagraph"/>
        <w:numPr>
          <w:ilvl w:val="0"/>
          <w:numId w:val="10"/>
        </w:numPr>
        <w:tabs>
          <w:tab w:val="clear" w:pos="709"/>
          <w:tab w:val="left" w:pos="0" w:leader="none"/>
        </w:tabs>
        <w:spacing w:lineRule="auto" w:line="360"/>
        <w:ind w:left="0" w:hanging="11"/>
        <w:jc w:val="both"/>
        <w:rPr>
          <w:rFonts w:ascii="Arial" w:hAnsi="Arial" w:cs="Arial"/>
          <w:sz w:val="22"/>
          <w:szCs w:val="22"/>
        </w:rPr>
      </w:pPr>
      <w:r>
        <w:rPr>
          <w:rFonts w:cs="Arial" w:ascii="Arial" w:hAnsi="Arial"/>
          <w:sz w:val="22"/>
          <w:szCs w:val="22"/>
        </w:rPr>
        <w:t xml:space="preserve">Microempreendedor Individual - MEI: Certificado da Condição de Microempreendedor Individual - CCMEI, cuja aceitação ficará condicionada à verificação da autenticidade no sítio </w:t>
      </w:r>
      <w:hyperlink r:id="rId9">
        <w:r>
          <w:rPr>
            <w:rFonts w:cs="Arial" w:ascii="Arial" w:hAnsi="Arial"/>
            <w:sz w:val="22"/>
            <w:szCs w:val="22"/>
          </w:rPr>
          <w:t>https://www.gov.br/empresas-enegocios/pt-br/empreendedor</w:t>
        </w:r>
      </w:hyperlink>
      <w:r>
        <w:rPr>
          <w:rFonts w:cs="Arial" w:ascii="Arial" w:hAnsi="Arial"/>
          <w:sz w:val="22"/>
          <w:szCs w:val="22"/>
        </w:rPr>
        <w:t>;</w:t>
      </w:r>
    </w:p>
    <w:p>
      <w:pPr>
        <w:pStyle w:val="ListParagraph"/>
        <w:numPr>
          <w:ilvl w:val="0"/>
          <w:numId w:val="10"/>
        </w:numPr>
        <w:tabs>
          <w:tab w:val="clear" w:pos="709"/>
          <w:tab w:val="left" w:pos="0" w:leader="none"/>
        </w:tabs>
        <w:spacing w:lineRule="auto" w:line="360"/>
        <w:ind w:left="0" w:hanging="11"/>
        <w:jc w:val="both"/>
        <w:rPr>
          <w:rFonts w:ascii="Arial" w:hAnsi="Arial" w:cs="Arial"/>
          <w:sz w:val="22"/>
          <w:szCs w:val="22"/>
        </w:rPr>
      </w:pPr>
      <w:r>
        <w:rPr>
          <w:rFonts w:cs="Arial" w:ascii="Arial" w:hAnsi="Arial"/>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10"/>
        </w:numPr>
        <w:tabs>
          <w:tab w:val="clear" w:pos="709"/>
          <w:tab w:val="left" w:pos="0" w:leader="none"/>
        </w:tabs>
        <w:spacing w:lineRule="auto" w:line="360"/>
        <w:ind w:left="0" w:hanging="11"/>
        <w:jc w:val="both"/>
        <w:rPr>
          <w:rFonts w:ascii="Arial" w:hAnsi="Arial" w:cs="Arial"/>
          <w:sz w:val="22"/>
          <w:szCs w:val="22"/>
        </w:rPr>
      </w:pPr>
      <w:r>
        <w:rPr>
          <w:rFonts w:cs="Arial" w:ascii="Arial" w:hAnsi="Arial"/>
          <w:sz w:val="22"/>
          <w:szCs w:val="22"/>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10"/>
        </w:numPr>
        <w:tabs>
          <w:tab w:val="clear" w:pos="709"/>
          <w:tab w:val="left" w:pos="0" w:leader="none"/>
        </w:tabs>
        <w:spacing w:lineRule="auto" w:line="360"/>
        <w:ind w:left="0" w:hanging="11"/>
        <w:jc w:val="both"/>
        <w:rPr>
          <w:rFonts w:ascii="Arial" w:hAnsi="Arial" w:cs="Arial"/>
          <w:sz w:val="22"/>
          <w:szCs w:val="22"/>
        </w:rPr>
      </w:pPr>
      <w:r>
        <w:rPr>
          <w:rFonts w:cs="Arial" w:ascii="Arial" w:hAnsi="Arial"/>
          <w:sz w:val="22"/>
          <w:szCs w:val="22"/>
        </w:rPr>
        <w:t>Sociedade simples: inscrição do ato constitutivo no Registro Civil de Pessoas Jurídicas do local de sua sede, acompanhada de documento comprobatório de seus administradores;</w:t>
      </w:r>
    </w:p>
    <w:p>
      <w:pPr>
        <w:pStyle w:val="ListParagraph"/>
        <w:numPr>
          <w:ilvl w:val="0"/>
          <w:numId w:val="10"/>
        </w:numPr>
        <w:tabs>
          <w:tab w:val="clear" w:pos="709"/>
          <w:tab w:val="left" w:pos="0" w:leader="none"/>
        </w:tabs>
        <w:spacing w:lineRule="auto" w:line="360"/>
        <w:ind w:left="0" w:hanging="11"/>
        <w:jc w:val="both"/>
        <w:rPr>
          <w:rFonts w:ascii="Arial" w:hAnsi="Arial" w:cs="Arial"/>
          <w:sz w:val="22"/>
          <w:szCs w:val="22"/>
        </w:rPr>
      </w:pPr>
      <w:r>
        <w:rPr>
          <w:rFonts w:cs="Arial" w:ascii="Arial" w:hAnsi="Arial"/>
          <w:sz w:val="22"/>
          <w:szCs w:val="22"/>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10"/>
        </w:numPr>
        <w:tabs>
          <w:tab w:val="clear" w:pos="709"/>
          <w:tab w:val="left" w:pos="0" w:leader="none"/>
        </w:tabs>
        <w:spacing w:lineRule="auto" w:line="360"/>
        <w:ind w:left="0" w:hanging="11"/>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 w:cs="Arial"/>
          <w:b/>
          <w:b/>
          <w:bCs/>
          <w:kern w:val="0"/>
          <w:sz w:val="22"/>
          <w:szCs w:val="22"/>
          <w:lang w:eastAsia="pt-BR"/>
        </w:rPr>
      </w:pPr>
      <w:r>
        <w:rPr>
          <w:rFonts w:eastAsia="MS Mincho" w:cs="Arial" w:ascii="Arial" w:hAnsi="Arial"/>
          <w:b/>
          <w:bCs/>
          <w:kern w:val="0"/>
          <w:sz w:val="22"/>
          <w:szCs w:val="22"/>
          <w:lang w:eastAsia="pt-BR"/>
        </w:rPr>
        <w:t>5.2 - HABILITAÇÃO FISCAL, SOCIAL e TRABALHISTA</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hanging="0"/>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right="-5" w:hanging="0"/>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jc w:val="both"/>
        <w:rPr>
          <w:rFonts w:ascii="Arial" w:hAnsi="Arial" w:cs="Arial"/>
          <w:b/>
          <w:b/>
          <w:sz w:val="22"/>
          <w:szCs w:val="22"/>
        </w:rPr>
      </w:pPr>
      <w:bookmarkStart w:id="15" w:name="_Hlk168562818"/>
      <w:r>
        <w:rPr>
          <w:rFonts w:cs="Arial" w:ascii="Arial" w:hAnsi="Arial"/>
          <w:b/>
          <w:sz w:val="22"/>
          <w:szCs w:val="22"/>
        </w:rPr>
        <w:t xml:space="preserve">5.3 - QUALIFICAÇÃO TÉCNICA </w:t>
      </w:r>
    </w:p>
    <w:p>
      <w:pPr>
        <w:pStyle w:val="Normal"/>
        <w:spacing w:lineRule="auto" w:line="360"/>
        <w:jc w:val="both"/>
        <w:rPr>
          <w:rFonts w:ascii="Arial" w:hAnsi="Arial" w:cs="Arial"/>
          <w:bCs/>
          <w:sz w:val="22"/>
          <w:szCs w:val="22"/>
        </w:rPr>
      </w:pPr>
      <w:r>
        <w:rPr>
          <w:rFonts w:cs="Arial" w:ascii="Arial" w:hAnsi="Arial"/>
          <w:sz w:val="22"/>
          <w:szCs w:val="22"/>
        </w:rPr>
        <w:t xml:space="preserve">5.3.1 - </w:t>
      </w:r>
      <w:r>
        <w:rPr>
          <w:rFonts w:cs="Arial" w:ascii="Arial" w:hAnsi="Arial"/>
          <w:bCs/>
          <w:sz w:val="22"/>
          <w:szCs w:val="22"/>
        </w:rPr>
        <w:t>A prova de qualificação técnica será feita mediante a apresentação dos seguintes documentos:</w:t>
      </w:r>
    </w:p>
    <w:p>
      <w:pPr>
        <w:pStyle w:val="Normal"/>
        <w:spacing w:lineRule="auto" w:line="360"/>
        <w:jc w:val="both"/>
        <w:rPr>
          <w:rFonts w:ascii="Arial" w:hAnsi="Arial" w:cs="Arial"/>
          <w:bCs/>
          <w:sz w:val="22"/>
          <w:szCs w:val="22"/>
        </w:rPr>
      </w:pPr>
      <w:r>
        <w:rPr>
          <w:rFonts w:cs="Arial" w:ascii="Arial" w:hAnsi="Arial"/>
          <w:bCs/>
          <w:sz w:val="22"/>
          <w:szCs w:val="22"/>
        </w:rPr>
      </w:r>
    </w:p>
    <w:p>
      <w:pPr>
        <w:pStyle w:val="Normal"/>
        <w:spacing w:lineRule="auto" w:line="360"/>
        <w:jc w:val="both"/>
        <w:rPr>
          <w:rFonts w:ascii="Arial" w:hAnsi="Arial" w:cs="Arial"/>
          <w:bCs/>
          <w:sz w:val="22"/>
          <w:szCs w:val="22"/>
        </w:rPr>
      </w:pPr>
      <w:r>
        <w:rPr>
          <w:rFonts w:cs="Arial" w:ascii="Arial" w:hAnsi="Arial"/>
          <w:bCs/>
          <w:sz w:val="22"/>
          <w:szCs w:val="22"/>
        </w:rPr>
      </w:r>
    </w:p>
    <w:p>
      <w:pPr>
        <w:pStyle w:val="Normal"/>
        <w:spacing w:lineRule="auto" w:line="360"/>
        <w:jc w:val="both"/>
        <w:rPr>
          <w:rFonts w:ascii="Arial" w:hAnsi="Arial" w:cs="Arial"/>
          <w:sz w:val="22"/>
          <w:szCs w:val="22"/>
        </w:rPr>
      </w:pPr>
      <w:r>
        <w:rPr>
          <w:rFonts w:cs="Arial" w:ascii="Arial" w:hAnsi="Arial"/>
          <w:sz w:val="22"/>
          <w:szCs w:val="22"/>
        </w:rPr>
        <w:t xml:space="preserve">a) Certidão de Registro de Pessoa Jurídica no Conselho Regional de Engenharia e Agronomia (CREA) ou </w:t>
      </w:r>
      <w:bookmarkStart w:id="16" w:name="_Hlk168562918"/>
      <w:r>
        <w:rPr>
          <w:rFonts w:cs="Arial" w:ascii="Arial" w:hAnsi="Arial"/>
          <w:sz w:val="22"/>
          <w:szCs w:val="22"/>
        </w:rPr>
        <w:t>Conselho de Regional de Química (C</w:t>
      </w:r>
      <w:bookmarkEnd w:id="16"/>
      <w:r>
        <w:rPr>
          <w:rFonts w:cs="Arial" w:ascii="Arial" w:hAnsi="Arial"/>
          <w:sz w:val="22"/>
          <w:szCs w:val="22"/>
        </w:rPr>
        <w:t>RQ), válida na data da abertura da Licitação;</w:t>
      </w:r>
      <w:bookmarkEnd w:id="15"/>
    </w:p>
    <w:p>
      <w:pPr>
        <w:pStyle w:val="Normal"/>
        <w:spacing w:lineRule="auto" w:line="360"/>
        <w:jc w:val="both"/>
        <w:rPr>
          <w:rFonts w:ascii="Arial" w:hAnsi="Arial" w:cs="Arial"/>
          <w:b/>
          <w:b/>
          <w:bCs/>
          <w:sz w:val="22"/>
          <w:szCs w:val="22"/>
        </w:rPr>
      </w:pPr>
      <w:r>
        <w:rPr>
          <w:rFonts w:cs="Arial" w:ascii="Arial" w:hAnsi="Arial"/>
          <w:sz w:val="22"/>
          <w:szCs w:val="22"/>
        </w:rPr>
        <w:t xml:space="preserve">b) Comprovação de capacidade técnico-profissional, através de prova do licitante possuir, na data prevista para a entrega das propostas, profissional detentor de CAT (s) – Certidão (ões) de Acervo Técnico ou Certidão de Comprovação de Aptidão Técnica de Empresa - CCAT, devidamente registrada (s) na entidade profissional competente, que demonstre(m) experiência na execução </w:t>
      </w:r>
      <w:r>
        <w:rPr>
          <w:rFonts w:cs="Arial" w:ascii="Arial" w:hAnsi="Arial"/>
          <w:b/>
          <w:bCs/>
          <w:sz w:val="22"/>
          <w:szCs w:val="22"/>
        </w:rPr>
        <w:t>de coleta de resíduos de saúde.</w:t>
      </w:r>
    </w:p>
    <w:p>
      <w:pPr>
        <w:pStyle w:val="Normal"/>
        <w:spacing w:lineRule="auto" w:line="360"/>
        <w:ind w:left="567" w:hanging="0"/>
        <w:jc w:val="both"/>
        <w:rPr>
          <w:rFonts w:ascii="Arial" w:hAnsi="Arial" w:cs="Arial"/>
          <w:sz w:val="22"/>
          <w:szCs w:val="22"/>
        </w:rPr>
      </w:pPr>
      <w:r>
        <w:rPr>
          <w:rFonts w:cs="Arial" w:ascii="Arial" w:hAnsi="Arial"/>
          <w:sz w:val="22"/>
          <w:szCs w:val="22"/>
        </w:rPr>
        <w:t>b.1) Deverá ser comprovado vínculo entre o profissional técnico detentor da Certidão de Acervo Técnico – CAT ou Certidão de Comprovação de Aptidão Técnica de Empresa - CCAT, exigida na alínea “b”, e a empresa licitante. A comprovação far-se-á mediante a apresentação da respectiva ficha de registro de empregados, se o profissional compuser o quadro permanente da empresa, ou, por meio da apresentação do respectivo contrato de trabalho ou de prestação de serviços ou, ainda, por outro documento idôneo à demonstração de que a interessada se pode valer da capacidade técnica do profissional indicado para a consecução do serviço objeto da futura contratação. Se o atestado estiver em nome de sócio da empresa licitante, a comprovação do vínculo far-se-á por meio do contrato social em vigor.</w:t>
      </w:r>
    </w:p>
    <w:p>
      <w:pPr>
        <w:pStyle w:val="Normal"/>
        <w:spacing w:lineRule="auto" w:line="360"/>
        <w:jc w:val="both"/>
        <w:rPr>
          <w:rFonts w:ascii="Arial" w:hAnsi="Arial" w:cs="Arial"/>
          <w:sz w:val="22"/>
          <w:szCs w:val="22"/>
        </w:rPr>
      </w:pPr>
      <w:r>
        <w:rPr>
          <w:rFonts w:cs="Arial" w:ascii="Arial" w:hAnsi="Arial"/>
          <w:sz w:val="22"/>
          <w:szCs w:val="22"/>
        </w:rPr>
        <w:t>c) Comprovação de capacidade técnico-operacional, por meio de atestado(s) fornecido(s) por pessoa jurídica de direito público ou privado, com identificação do subscritor, demostrando a execução pretérita pela licitante de serviços compatíveis em características e quantidades com os serviços licitados, devendo, para efeito de demonstração de compatibilidade, demonstrar a execução pretérita dos seguintes quantitativos mínimos de serviço, que equivalem a 50% do total contratado, devendo ser demonstrada a realização de no mínimo 180.000 quilos de serviço de coleta de resíduos de saúde.</w:t>
      </w:r>
    </w:p>
    <w:p>
      <w:pPr>
        <w:pStyle w:val="Normal"/>
        <w:spacing w:lineRule="auto" w:line="360"/>
        <w:jc w:val="both"/>
        <w:rPr>
          <w:rFonts w:ascii="Arial" w:hAnsi="Arial" w:cs="Arial"/>
          <w:sz w:val="22"/>
          <w:szCs w:val="22"/>
        </w:rPr>
      </w:pPr>
      <w:bookmarkStart w:id="17" w:name="_Hlk168564197"/>
      <w:r>
        <w:rPr>
          <w:rFonts w:cs="Arial" w:ascii="Arial" w:hAnsi="Arial"/>
          <w:sz w:val="22"/>
          <w:szCs w:val="22"/>
        </w:rPr>
        <w:t>d) Comprovante do Cadastro Estadual de Vigilância Sanitária (CEVS) ou Alvará da Vigilância Sanitária, em nome da licitante compatível com o objeto da licitação;</w:t>
      </w:r>
    </w:p>
    <w:p>
      <w:pPr>
        <w:pStyle w:val="Normal"/>
        <w:spacing w:lineRule="auto" w:line="360"/>
        <w:jc w:val="both"/>
        <w:rPr>
          <w:rFonts w:ascii="Arial" w:hAnsi="Arial" w:cs="Arial"/>
          <w:sz w:val="22"/>
          <w:szCs w:val="22"/>
        </w:rPr>
      </w:pPr>
      <w:bookmarkStart w:id="18" w:name="_Hlk168564197"/>
      <w:r>
        <w:rPr>
          <w:rFonts w:cs="Arial" w:ascii="Arial" w:hAnsi="Arial"/>
          <w:sz w:val="22"/>
          <w:szCs w:val="22"/>
        </w:rPr>
        <w:t>e) Alvará de funcionamento emitido pela Prefeitura do município onde está instalada a empresa licitante, comprovando que a mesma esteja apta ao funcionamento da atividade objeto da licitação;</w:t>
      </w:r>
      <w:bookmarkEnd w:id="18"/>
    </w:p>
    <w:p>
      <w:pPr>
        <w:pStyle w:val="Normal"/>
        <w:spacing w:lineRule="auto" w:line="360"/>
        <w:jc w:val="both"/>
        <w:rPr>
          <w:rFonts w:ascii="Arial" w:hAnsi="Arial" w:cs="Arial"/>
          <w:bCs/>
          <w:sz w:val="22"/>
          <w:szCs w:val="22"/>
        </w:rPr>
      </w:pPr>
      <w:r>
        <w:rPr>
          <w:rFonts w:cs="Arial" w:ascii="Arial" w:hAnsi="Arial"/>
          <w:bCs/>
          <w:sz w:val="22"/>
          <w:szCs w:val="22"/>
        </w:rPr>
      </w:r>
    </w:p>
    <w:p>
      <w:pPr>
        <w:pStyle w:val="Normal"/>
        <w:spacing w:lineRule="auto" w:line="360"/>
        <w:jc w:val="both"/>
        <w:rPr>
          <w:rFonts w:ascii="Arial" w:hAnsi="Arial" w:cs="Arial"/>
          <w:sz w:val="22"/>
          <w:szCs w:val="22"/>
        </w:rPr>
      </w:pPr>
      <w:r>
        <w:rPr>
          <w:rFonts w:cs="Arial" w:ascii="Arial" w:hAnsi="Arial"/>
          <w:b/>
          <w:bCs/>
          <w:sz w:val="22"/>
          <w:szCs w:val="22"/>
        </w:rPr>
        <w:t>5.4 -</w:t>
      </w:r>
      <w:r>
        <w:rPr>
          <w:rFonts w:cs="Arial" w:ascii="Arial" w:hAnsi="Arial"/>
          <w:sz w:val="22"/>
          <w:szCs w:val="22"/>
        </w:rPr>
        <w:t xml:space="preserve"> </w:t>
      </w:r>
      <w:r>
        <w:rPr>
          <w:rFonts w:cs="Arial" w:ascii="Arial" w:hAnsi="Arial"/>
          <w:b/>
          <w:bCs/>
          <w:sz w:val="22"/>
          <w:szCs w:val="22"/>
        </w:rPr>
        <w:t>QUALIFICAÇÃO ECONÔMICO-FINANCEIRA</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A prova de qualificação econômico-financeira será feita mediante a apresentação dos seguintes documentos: </w:t>
      </w:r>
    </w:p>
    <w:p>
      <w:pPr>
        <w:pStyle w:val="Normal"/>
        <w:spacing w:lineRule="auto" w:line="360"/>
        <w:ind w:right="-54" w:hanging="0"/>
        <w:jc w:val="both"/>
        <w:rPr>
          <w:rFonts w:ascii="Arial" w:hAnsi="Arial" w:cs="Arial"/>
          <w:sz w:val="22"/>
          <w:szCs w:val="22"/>
        </w:rPr>
      </w:pPr>
      <w:r>
        <w:rPr>
          <w:rFonts w:cs="Arial" w:ascii="Arial" w:hAnsi="Arial"/>
          <w:sz w:val="22"/>
          <w:szCs w:val="22"/>
        </w:rPr>
        <w:t>a) Balanço patrimonial, demonstração de resultado de exercício e demais demonstrações contábeis dos 2 (dois) últimos exercícios sociais, comprovando: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a.1. Indicadores L1, L2 e L3, referentes ao último exercício, dentro dos parâmetros abaixo especificados:</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L1: Índice Geral de Liquidez, correspondente ao quociente da divisão da soma do ativo Circulante mais realizável a longo prazo, pelo valor do passivo circulante mais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L1 =    (</w:t>
      </w:r>
      <w:r>
        <w:rPr>
          <w:rFonts w:cs="Arial" w:ascii="Arial" w:hAnsi="Arial"/>
          <w:sz w:val="18"/>
          <w:szCs w:val="18"/>
          <w:u w:val="single"/>
        </w:rPr>
        <w:t>ATIVO CIRCULANTE + REALIZÁVEL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eastAsia="Arial" w:cs="Arial" w:ascii="Arial" w:hAnsi="Arial"/>
          <w:sz w:val="18"/>
          <w:szCs w:val="18"/>
        </w:rPr>
        <w:t xml:space="preserve">               </w:t>
      </w:r>
      <w:r>
        <w:rPr>
          <w:rFonts w:cs="Arial" w:ascii="Arial" w:hAnsi="Arial"/>
          <w:sz w:val="18"/>
          <w:szCs w:val="18"/>
        </w:rPr>
        <w:t>(PASSIVO CIRCULANTE + EXIGÍVEL A LONGO PRAZO)</w:t>
      </w:r>
    </w:p>
    <w:p>
      <w:pPr>
        <w:pStyle w:val="Normal"/>
        <w:spacing w:lineRule="auto" w:line="360"/>
        <w:ind w:right="-54" w:hanging="0"/>
        <w:jc w:val="both"/>
        <w:rPr>
          <w:rFonts w:ascii="Arial" w:hAnsi="Arial" w:cs="Arial"/>
          <w:sz w:val="18"/>
          <w:szCs w:val="18"/>
        </w:rPr>
      </w:pPr>
      <w:r>
        <w:rPr>
          <w:rFonts w:cs="Arial" w:ascii="Arial" w:hAnsi="Arial"/>
          <w:sz w:val="18"/>
          <w:szCs w:val="18"/>
        </w:rPr>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 xml:space="preserve">L2: Índice de Endividamento Total, correspondente a relação entre o capital de terceiros, representado pela soma do passivo circulante e exigível a longo prazo e o Ativo Total </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L2 = (</w:t>
      </w:r>
      <w:r>
        <w:rPr>
          <w:rFonts w:cs="Arial" w:ascii="Arial" w:hAnsi="Arial"/>
          <w:sz w:val="18"/>
          <w:szCs w:val="18"/>
          <w:u w:val="single"/>
        </w:rPr>
        <w:t>PASSIVO CIRCULANTE +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eastAsia="Arial" w:cs="Arial" w:ascii="Arial" w:hAnsi="Arial"/>
          <w:sz w:val="18"/>
          <w:szCs w:val="18"/>
        </w:rPr>
        <w:t xml:space="preserve"> </w:t>
      </w:r>
      <w:r>
        <w:rPr>
          <w:rFonts w:cs="Arial" w:ascii="Arial" w:hAnsi="Arial"/>
          <w:sz w:val="18"/>
          <w:szCs w:val="18"/>
        </w:rPr>
        <w:tab/>
        <w:tab/>
        <w:tab/>
        <w:t>(ATIVO TOTAL)</w:t>
      </w:r>
    </w:p>
    <w:p>
      <w:pPr>
        <w:pStyle w:val="Normal"/>
        <w:spacing w:lineRule="auto" w:line="360"/>
        <w:ind w:right="-54" w:hanging="0"/>
        <w:jc w:val="both"/>
        <w:rPr>
          <w:rFonts w:ascii="Arial" w:hAnsi="Arial" w:cs="Arial"/>
          <w:sz w:val="18"/>
          <w:szCs w:val="18"/>
        </w:rPr>
      </w:pPr>
      <w:r>
        <w:rPr>
          <w:rFonts w:cs="Arial" w:ascii="Arial" w:hAnsi="Arial"/>
          <w:sz w:val="18"/>
          <w:szCs w:val="18"/>
        </w:rPr>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cs="Arial" w:ascii="Arial" w:hAnsi="Arial"/>
          <w:sz w:val="18"/>
          <w:szCs w:val="18"/>
        </w:rPr>
        <w:t>L3: Índice de liquidez corrente, representado pela divisão do ativo circulante pelo passivo circulante.</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u w:val="single"/>
        </w:rPr>
      </w:pPr>
      <w:r>
        <w:rPr>
          <w:rFonts w:cs="Arial" w:ascii="Arial" w:hAnsi="Arial"/>
          <w:sz w:val="18"/>
          <w:szCs w:val="18"/>
        </w:rPr>
        <w:t xml:space="preserve">L3 = </w:t>
      </w:r>
      <w:r>
        <w:rPr>
          <w:rFonts w:cs="Arial" w:ascii="Arial" w:hAnsi="Arial"/>
          <w:sz w:val="18"/>
          <w:szCs w:val="18"/>
          <w:u w:val="single"/>
        </w:rPr>
        <w:t>(ATIVO CIRCULANTE)</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both"/>
        <w:rPr>
          <w:rFonts w:ascii="Arial" w:hAnsi="Arial" w:cs="Arial"/>
          <w:sz w:val="18"/>
          <w:szCs w:val="18"/>
        </w:rPr>
      </w:pPr>
      <w:r>
        <w:rPr>
          <w:rFonts w:eastAsia="Arial" w:cs="Arial" w:ascii="Arial" w:hAnsi="Arial"/>
          <w:sz w:val="18"/>
          <w:szCs w:val="18"/>
        </w:rPr>
        <w:t xml:space="preserve">       </w:t>
      </w:r>
      <w:r>
        <w:rPr>
          <w:rFonts w:cs="Arial" w:ascii="Arial" w:hAnsi="Arial"/>
          <w:sz w:val="18"/>
          <w:szCs w:val="18"/>
        </w:rPr>
        <w:t>(PASSIVO CIRCULANTE)</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b.1) Somente serão habilitados os licitantes que apresentarem no mínimo os seguintes índices: L1 = maior ou igual a 1,0; L2 = menor ou igual 0,50; e, L3 = maior ou igual a 1,0.</w:t>
      </w:r>
    </w:p>
    <w:p>
      <w:pPr>
        <w:pStyle w:val="Normal"/>
        <w:spacing w:lineRule="auto" w:line="360"/>
        <w:ind w:right="-54" w:hanging="0"/>
        <w:jc w:val="both"/>
        <w:rPr>
          <w:rFonts w:ascii="Arial" w:hAnsi="Arial" w:cs="Arial"/>
          <w:sz w:val="22"/>
          <w:szCs w:val="22"/>
        </w:rPr>
      </w:pPr>
      <w:r>
        <w:rPr>
          <w:rFonts w:cs="Arial" w:ascii="Arial" w:hAnsi="Arial"/>
          <w:sz w:val="22"/>
          <w:szCs w:val="22"/>
        </w:rPr>
        <w:t>c.1) Na hipótese de empresa constituída há menos de 12 meses, deverá apresentar balanço de abertura.</w:t>
      </w:r>
    </w:p>
    <w:p>
      <w:pPr>
        <w:pStyle w:val="Normal"/>
        <w:spacing w:lineRule="auto" w:line="360"/>
        <w:ind w:right="-54" w:hanging="0"/>
        <w:jc w:val="both"/>
        <w:rPr>
          <w:rFonts w:ascii="Arial" w:hAnsi="Arial" w:cs="Arial"/>
          <w:b/>
          <w:b/>
          <w:bCs/>
          <w:sz w:val="22"/>
          <w:szCs w:val="22"/>
        </w:rPr>
      </w:pPr>
      <w:r>
        <w:rPr>
          <w:rFonts w:cs="Arial" w:ascii="Arial" w:hAnsi="Arial"/>
          <w:sz w:val="22"/>
          <w:szCs w:val="22"/>
        </w:rPr>
        <w:t xml:space="preserve">d) As empresas deverão obrigatoriamente comprovar, para efeito de cumprimento das exigências de qualificação econômico-financeira, através das contas apresentadas no Balanço Patrimonial e Demonstrações Contábeis, que possuem Patrimônio Líquido não inferior a 10% (dez por cento) do valor estimado da contratação pretendida, correspondente a importância de </w:t>
      </w:r>
      <w:r>
        <w:rPr>
          <w:rFonts w:cs="Arial" w:ascii="Arial" w:hAnsi="Arial"/>
          <w:b/>
          <w:bCs/>
          <w:sz w:val="22"/>
          <w:szCs w:val="22"/>
        </w:rPr>
        <w:t>R$ 129.330,00 (cento e vinte e nove mil trezentos e trinta reais)</w:t>
      </w:r>
    </w:p>
    <w:p>
      <w:pPr>
        <w:pStyle w:val="Normal"/>
        <w:spacing w:lineRule="auto" w:line="360"/>
        <w:ind w:right="-54" w:hanging="0"/>
        <w:jc w:val="both"/>
        <w:rPr>
          <w:rFonts w:ascii="Arial" w:hAnsi="Arial" w:cs="Arial"/>
          <w:sz w:val="22"/>
          <w:szCs w:val="22"/>
        </w:rPr>
      </w:pPr>
      <w:r>
        <w:rPr>
          <w:rFonts w:cs="Arial" w:ascii="Arial" w:hAnsi="Arial"/>
          <w:sz w:val="22"/>
          <w:szCs w:val="22"/>
        </w:rPr>
        <w:t>d) Certidão Negativa de Falência, Concordata,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jc w:val="both"/>
        <w:rPr>
          <w:rFonts w:ascii="Arial" w:hAnsi="Arial" w:cs="Arial"/>
          <w:b/>
          <w:b/>
          <w:sz w:val="22"/>
          <w:szCs w:val="22"/>
          <w:u w:val="single"/>
        </w:rPr>
      </w:pPr>
      <w:r>
        <w:rPr>
          <w:rFonts w:cs="Arial" w:ascii="Arial" w:hAnsi="Arial"/>
          <w:b/>
          <w:sz w:val="22"/>
          <w:szCs w:val="22"/>
          <w:u w:val="single"/>
        </w:rPr>
        <w:t>5.5 - OUTRAS COMPROVAÇÕES</w:t>
      </w:r>
    </w:p>
    <w:p>
      <w:pPr>
        <w:pStyle w:val="Normal"/>
        <w:spacing w:lineRule="auto" w:line="360"/>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jc w:val="both"/>
        <w:rPr>
          <w:rFonts w:ascii="Arial" w:hAnsi="Arial" w:cs="Arial"/>
          <w:sz w:val="22"/>
          <w:szCs w:val="22"/>
        </w:rPr>
      </w:pPr>
      <w:r>
        <w:rPr>
          <w:rFonts w:cs="Arial" w:ascii="Arial" w:hAnsi="Arial"/>
          <w:sz w:val="22"/>
          <w:szCs w:val="22"/>
        </w:rPr>
        <w:t>b) Declaração elaborada em papel timbrado e subscrita pelo representante legal da licitante, de que a empresa disponibilizará para execução dos serviços, os profissionais devidamente habilitados, respeitando a legislação vigente.</w:t>
      </w:r>
    </w:p>
    <w:p>
      <w:pPr>
        <w:pStyle w:val="Normal"/>
        <w:spacing w:lineRule="auto" w:line="360"/>
        <w:ind w:right="-57" w:hanging="0"/>
        <w:jc w:val="both"/>
        <w:rPr>
          <w:rFonts w:ascii="Arial" w:hAnsi="Arial" w:cs="Arial"/>
          <w:b/>
          <w:b/>
          <w:sz w:val="22"/>
          <w:szCs w:val="22"/>
          <w:u w:val="single"/>
        </w:rPr>
      </w:pPr>
      <w:r>
        <w:rPr>
          <w:rFonts w:cs="Arial" w:ascii="Arial" w:hAnsi="Arial"/>
          <w:b/>
          <w:sz w:val="22"/>
          <w:szCs w:val="22"/>
          <w:u w:val="single"/>
        </w:rPr>
        <w:t>5.6 - DISPOSIÇÕES GERAIS DA HABILITAÇÃO</w:t>
      </w:r>
    </w:p>
    <w:p>
      <w:pPr>
        <w:pStyle w:val="Normal"/>
        <w:spacing w:lineRule="auto" w:line="360"/>
        <w:ind w:right="-57" w:hanging="0"/>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hanging="0"/>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hanging="0"/>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hanging="0"/>
        <w:jc w:val="both"/>
        <w:rPr>
          <w:rFonts w:ascii="Arial" w:hAnsi="Arial" w:cs="Arial"/>
          <w:sz w:val="22"/>
          <w:szCs w:val="22"/>
        </w:rPr>
      </w:pPr>
      <w:r>
        <w:rPr>
          <w:rFonts w:cs="Arial" w:ascii="Arial" w:hAnsi="Arial"/>
          <w:sz w:val="22"/>
          <w:szCs w:val="22"/>
        </w:rPr>
      </w:r>
    </w:p>
    <w:p>
      <w:pPr>
        <w:pStyle w:val="Nivel01"/>
        <w:numPr>
          <w:ilvl w:val="0"/>
          <w:numId w:val="2"/>
        </w:numPr>
        <w:spacing w:lineRule="auto" w:line="360" w:before="0" w:after="0"/>
        <w:ind w:left="0" w:hanging="0"/>
        <w:rPr>
          <w:sz w:val="22"/>
          <w:szCs w:val="22"/>
        </w:rPr>
      </w:pPr>
      <w:bookmarkStart w:id="19" w:name="_Toc122606107"/>
      <w:r>
        <w:rPr>
          <w:sz w:val="22"/>
          <w:szCs w:val="22"/>
        </w:rPr>
        <w:t>DA ABERTURA DA SESSÃO, CLASSIFICAÇÃO DAS PROPOSTAS E FORMULAÇÃO DE LANCES</w:t>
      </w:r>
      <w:bookmarkEnd w:id="19"/>
    </w:p>
    <w:p>
      <w:pPr>
        <w:pStyle w:val="Nivel2"/>
        <w:numPr>
          <w:ilvl w:val="1"/>
          <w:numId w:val="2"/>
        </w:numPr>
        <w:spacing w:lineRule="auto" w:line="360" w:before="0" w:after="0"/>
        <w:ind w:left="0" w:hanging="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2"/>
        </w:numPr>
        <w:spacing w:lineRule="auto" w:line="360" w:before="0" w:after="0"/>
        <w:ind w:left="0" w:hanging="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Será desclassificada a proposta que identifique o licitante.</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A desclassificação será sempre fundamentada e registrada no sistema, com acompanhamento em tempo real por todos os participantes.</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2"/>
        </w:numPr>
        <w:spacing w:lineRule="auto" w:line="360" w:before="0" w:after="0"/>
        <w:ind w:left="0" w:hanging="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2"/>
        </w:numPr>
        <w:spacing w:lineRule="auto" w:line="360" w:before="0" w:after="0"/>
        <w:ind w:left="0" w:hanging="0"/>
        <w:rPr>
          <w:color w:val="auto"/>
          <w:sz w:val="22"/>
          <w:szCs w:val="22"/>
        </w:rPr>
      </w:pPr>
      <w:r>
        <w:rPr>
          <w:color w:val="auto"/>
          <w:sz w:val="22"/>
          <w:szCs w:val="22"/>
        </w:rPr>
        <w:t>O sistema disponibilizará campo próprio para troca de mensagens entre o Pregoeiro e os licitantes.</w:t>
      </w:r>
    </w:p>
    <w:p>
      <w:pPr>
        <w:pStyle w:val="Nivel2"/>
        <w:numPr>
          <w:ilvl w:val="1"/>
          <w:numId w:val="2"/>
        </w:numPr>
        <w:spacing w:lineRule="auto" w:line="360" w:before="0" w:after="0"/>
        <w:ind w:left="0" w:hanging="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2"/>
        </w:numPr>
        <w:spacing w:lineRule="auto" w:line="360" w:before="0" w:after="0"/>
        <w:ind w:left="0" w:hanging="0"/>
        <w:rPr>
          <w:color w:val="auto"/>
          <w:sz w:val="22"/>
          <w:szCs w:val="22"/>
        </w:rPr>
      </w:pPr>
      <w:r>
        <w:rPr>
          <w:color w:val="auto"/>
          <w:sz w:val="22"/>
          <w:szCs w:val="22"/>
        </w:rPr>
        <w:t>O lance deverá ser ofertado pelo valor total global do lote.</w:t>
      </w:r>
    </w:p>
    <w:p>
      <w:pPr>
        <w:pStyle w:val="Nivel2"/>
        <w:numPr>
          <w:ilvl w:val="1"/>
          <w:numId w:val="2"/>
        </w:numPr>
        <w:spacing w:lineRule="auto" w:line="360" w:before="0" w:after="0"/>
        <w:ind w:left="0" w:hanging="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2"/>
        </w:numPr>
        <w:spacing w:lineRule="auto" w:line="360" w:before="0" w:after="0"/>
        <w:ind w:left="0" w:hanging="0"/>
        <w:rPr>
          <w:color w:val="auto"/>
          <w:sz w:val="22"/>
          <w:szCs w:val="22"/>
        </w:rPr>
      </w:pPr>
      <w:r>
        <w:rPr>
          <w:color w:val="auto"/>
          <w:sz w:val="22"/>
          <w:szCs w:val="22"/>
        </w:rPr>
        <w:t xml:space="preserve">O licitante somente poderá oferecer lance </w:t>
      </w:r>
      <w:r>
        <w:rPr>
          <w:iCs/>
          <w:color w:val="auto"/>
          <w:sz w:val="22"/>
          <w:szCs w:val="22"/>
        </w:rPr>
        <w:t>de valor inferior</w:t>
      </w:r>
      <w:r>
        <w:rPr>
          <w:color w:val="auto"/>
          <w:sz w:val="22"/>
          <w:szCs w:val="22"/>
        </w:rPr>
        <w:t xml:space="preserve"> ao último por ele ofertado e registrado pelo sistema. </w:t>
      </w:r>
    </w:p>
    <w:p>
      <w:pPr>
        <w:pStyle w:val="Nivel2"/>
        <w:numPr>
          <w:ilvl w:val="1"/>
          <w:numId w:val="2"/>
        </w:numPr>
        <w:spacing w:lineRule="auto" w:line="360" w:before="0" w:after="0"/>
        <w:ind w:left="0" w:hanging="0"/>
        <w:rPr>
          <w:color w:val="auto"/>
          <w:sz w:val="22"/>
          <w:szCs w:val="22"/>
        </w:rPr>
      </w:pPr>
      <w:r>
        <w:rPr>
          <w:color w:val="auto"/>
          <w:sz w:val="22"/>
          <w:szCs w:val="22"/>
        </w:rPr>
        <w:t>O procedimento seguirá de acordo com o modo de disputa adotado.</w:t>
      </w:r>
    </w:p>
    <w:p>
      <w:pPr>
        <w:pStyle w:val="Nivel2"/>
        <w:numPr>
          <w:ilvl w:val="1"/>
          <w:numId w:val="2"/>
        </w:numPr>
        <w:spacing w:lineRule="auto" w:line="360" w:before="0" w:after="0"/>
        <w:ind w:left="0" w:hanging="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2"/>
        </w:numPr>
        <w:tabs>
          <w:tab w:val="clear" w:pos="0"/>
          <w:tab w:val="left" w:pos="567" w:leader="none"/>
        </w:tabs>
        <w:spacing w:lineRule="auto" w:line="360" w:before="0" w:after="0"/>
        <w:ind w:left="567" w:hanging="0"/>
        <w:rPr>
          <w:iCs/>
          <w:color w:val="auto"/>
          <w:sz w:val="22"/>
          <w:szCs w:val="22"/>
        </w:rPr>
      </w:pPr>
      <w:bookmarkStart w:id="20" w:name="_Hlk113697759"/>
      <w:bookmarkEnd w:id="20"/>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2"/>
        </w:numPr>
        <w:tabs>
          <w:tab w:val="clear" w:pos="0"/>
          <w:tab w:val="left" w:pos="567" w:leader="none"/>
        </w:tabs>
        <w:spacing w:lineRule="auto" w:line="360" w:before="0" w:after="0"/>
        <w:ind w:left="567" w:hanging="0"/>
        <w:rPr>
          <w:iCs/>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2"/>
        </w:numPr>
        <w:tabs>
          <w:tab w:val="clear" w:pos="0"/>
          <w:tab w:val="left" w:pos="567" w:leader="none"/>
        </w:tabs>
        <w:spacing w:lineRule="auto" w:line="360" w:before="0" w:after="0"/>
        <w:ind w:left="567" w:hanging="0"/>
        <w:rPr>
          <w:iCs/>
          <w:color w:val="auto"/>
          <w:sz w:val="22"/>
          <w:szCs w:val="22"/>
        </w:rPr>
      </w:pPr>
      <w:bookmarkStart w:id="21" w:name="_Hlk113697816"/>
      <w:r>
        <w:rPr>
          <w:color w:val="auto"/>
          <w:sz w:val="22"/>
          <w:szCs w:val="22"/>
        </w:rPr>
        <w:t>Não havendo novos lances na forma estabelecida nos itens anteriores, a sessão pública encerrar-se-á automaticamente, e o sistema ordenará e divulgará os lances conforme a ordem final de classificação.</w:t>
      </w:r>
      <w:bookmarkEnd w:id="21"/>
    </w:p>
    <w:p>
      <w:pPr>
        <w:pStyle w:val="Nivel2"/>
        <w:numPr>
          <w:ilvl w:val="1"/>
          <w:numId w:val="2"/>
        </w:numPr>
        <w:spacing w:lineRule="auto" w:line="360" w:before="0" w:after="0"/>
        <w:ind w:left="0" w:hanging="0"/>
        <w:rPr>
          <w:i/>
          <w:i/>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2"/>
        </w:numPr>
        <w:spacing w:lineRule="auto" w:line="360" w:before="0" w:after="0"/>
        <w:ind w:left="0" w:hanging="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2"/>
        </w:numPr>
        <w:spacing w:lineRule="auto" w:line="360" w:before="0" w:after="0"/>
        <w:ind w:left="0" w:hanging="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2"/>
        </w:numPr>
        <w:spacing w:lineRule="auto" w:line="360" w:before="0" w:after="0"/>
        <w:ind w:left="0" w:hanging="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2"/>
        </w:numPr>
        <w:spacing w:lineRule="auto" w:line="360" w:before="0" w:after="0"/>
        <w:ind w:left="0" w:hanging="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2"/>
        </w:numPr>
        <w:spacing w:lineRule="auto" w:line="360" w:before="0" w:after="0"/>
        <w:ind w:left="0" w:hanging="0"/>
        <w:rPr>
          <w:color w:val="auto"/>
          <w:sz w:val="22"/>
          <w:szCs w:val="22"/>
        </w:rPr>
      </w:pPr>
      <w:r>
        <w:rPr>
          <w:color w:val="auto"/>
          <w:sz w:val="22"/>
          <w:szCs w:val="22"/>
        </w:rPr>
        <w:t>Caso o licitante não apresente lances, concorrerá com o valor de sua proposta.</w:t>
      </w:r>
    </w:p>
    <w:p>
      <w:pPr>
        <w:pStyle w:val="Nivel2"/>
        <w:numPr>
          <w:ilvl w:val="1"/>
          <w:numId w:val="2"/>
        </w:numPr>
        <w:spacing w:lineRule="auto" w:line="360" w:before="0" w:after="0"/>
        <w:ind w:left="0" w:hanging="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LinkdaInternet"/>
          <w:sz w:val="22"/>
          <w:szCs w:val="22"/>
          <w:rFonts w:eastAsia="Zurich BT"/>
          <w:color w:val="auto"/>
        </w:rPr>
        <w:instrText xml:space="preserve"> HYPERLINK "https://www.planalto.gov.br/ccivil_03/leis/lcp/lcp123.htm" \l "art44"</w:instrText>
      </w:r>
      <w:r>
        <w:rPr>
          <w:rStyle w:val="LinkdaInternet"/>
          <w:sz w:val="22"/>
          <w:szCs w:val="22"/>
          <w:rFonts w:eastAsia="Zurich BT"/>
          <w:color w:val="auto"/>
        </w:rPr>
        <w:fldChar w:fldCharType="separate"/>
      </w:r>
      <w:r>
        <w:rPr>
          <w:rStyle w:val="LinkdaInternet"/>
          <w:rFonts w:eastAsia="Zurich BT"/>
          <w:color w:val="auto"/>
          <w:sz w:val="22"/>
          <w:szCs w:val="22"/>
        </w:rPr>
        <w:t>arts. 44 e 45 da Lei Complementar nº 123, de 2006</w:t>
      </w:r>
      <w:r>
        <w:rPr>
          <w:rStyle w:val="LinkdaInternet"/>
          <w:sz w:val="22"/>
          <w:szCs w:val="22"/>
          <w:rFonts w:eastAsia="Zurich BT"/>
          <w:color w:val="auto"/>
        </w:rPr>
        <w:fldChar w:fldCharType="end"/>
      </w:r>
      <w:r>
        <w:rPr>
          <w:rFonts w:eastAsia="Zurich BT"/>
          <w:color w:val="auto"/>
          <w:sz w:val="22"/>
          <w:szCs w:val="22"/>
        </w:rPr>
        <w:t xml:space="preserve">, regulamentada pelo </w:t>
      </w:r>
      <w:hyperlink r:id="rId10">
        <w:r>
          <w:rPr>
            <w:rStyle w:val="LinkdaInternet"/>
            <w:rFonts w:eastAsia="Zurich BT"/>
            <w:color w:val="auto"/>
            <w:sz w:val="22"/>
            <w:szCs w:val="22"/>
          </w:rPr>
          <w:t>Decreto nº 8.538, de 2015</w:t>
        </w:r>
      </w:hyperlink>
      <w:r>
        <w:rPr>
          <w:rFonts w:eastAsia="Zurich BT"/>
          <w:color w:val="auto"/>
          <w:sz w:val="22"/>
          <w:szCs w:val="22"/>
        </w:rPr>
        <w:t>.</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2"/>
        </w:numPr>
        <w:spacing w:lineRule="auto" w:line="360" w:before="0" w:after="0"/>
        <w:ind w:left="0" w:hanging="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2"/>
        </w:numPr>
        <w:tabs>
          <w:tab w:val="clear" w:pos="0"/>
          <w:tab w:val="left" w:pos="567" w:leader="none"/>
        </w:tabs>
        <w:spacing w:lineRule="auto" w:line="360" w:before="0" w:after="0"/>
        <w:ind w:left="567" w:hanging="0"/>
        <w:rPr>
          <w:rFonts w:eastAsia="Times New Roman"/>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2"/>
        </w:numPr>
        <w:tabs>
          <w:tab w:val="clear" w:pos="0"/>
          <w:tab w:val="left" w:pos="567" w:leader="none"/>
        </w:tabs>
        <w:spacing w:lineRule="auto" w:line="360" w:before="0" w:after="0"/>
        <w:ind w:left="567" w:hanging="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2"/>
        </w:numPr>
        <w:spacing w:lineRule="auto" w:line="360" w:before="0" w:after="0"/>
        <w:ind w:left="0" w:hanging="0"/>
        <w:rPr>
          <w:rFonts w:eastAsia="Times New Roman"/>
          <w:color w:val="auto"/>
          <w:sz w:val="22"/>
          <w:szCs w:val="22"/>
        </w:rPr>
      </w:pPr>
      <w:bookmarkStart w:id="22" w:name="_Hlk114646655"/>
      <w:r>
        <w:rPr>
          <w:color w:val="auto"/>
          <w:sz w:val="22"/>
          <w:szCs w:val="22"/>
        </w:rPr>
        <w:t>Após a negociação do preço, o Pregoeiro iniciará a fase de aceitação e julgamento da proposta.</w:t>
      </w:r>
      <w:bookmarkEnd w:id="22"/>
    </w:p>
    <w:p>
      <w:pPr>
        <w:pStyle w:val="Nivel2"/>
        <w:numPr>
          <w:ilvl w:val="0"/>
          <w:numId w:val="0"/>
        </w:numPr>
        <w:spacing w:lineRule="auto" w:line="360" w:before="0" w:after="0"/>
        <w:ind w:left="0" w:hanging="0"/>
        <w:rPr>
          <w:rFonts w:eastAsia="Times New Roman"/>
          <w:color w:val="auto"/>
          <w:sz w:val="22"/>
          <w:szCs w:val="22"/>
        </w:rPr>
      </w:pPr>
      <w:r>
        <w:rPr>
          <w:rFonts w:eastAsia="Times New Roman"/>
          <w:color w:val="auto"/>
          <w:sz w:val="22"/>
          <w:szCs w:val="22"/>
        </w:rPr>
      </w:r>
    </w:p>
    <w:p>
      <w:pPr>
        <w:pStyle w:val="Nivel01"/>
        <w:numPr>
          <w:ilvl w:val="0"/>
          <w:numId w:val="2"/>
        </w:numPr>
        <w:spacing w:lineRule="auto" w:line="360" w:before="0" w:after="0"/>
        <w:ind w:left="0" w:hanging="0"/>
        <w:rPr>
          <w:sz w:val="22"/>
          <w:szCs w:val="22"/>
        </w:rPr>
      </w:pPr>
      <w:bookmarkStart w:id="23" w:name="_Toc122606108"/>
      <w:r>
        <w:rPr>
          <w:sz w:val="22"/>
          <w:szCs w:val="22"/>
        </w:rPr>
        <w:t>DA FASE DE JULGAMENTO</w:t>
      </w:r>
      <w:bookmarkEnd w:id="23"/>
    </w:p>
    <w:p>
      <w:pPr>
        <w:pStyle w:val="Nivel2"/>
        <w:numPr>
          <w:ilvl w:val="1"/>
          <w:numId w:val="2"/>
        </w:numPr>
        <w:spacing w:lineRule="auto" w:line="360" w:before="0" w:after="0"/>
        <w:ind w:left="0" w:hanging="0"/>
        <w:rPr>
          <w:color w:val="auto"/>
          <w:sz w:val="22"/>
          <w:szCs w:val="22"/>
        </w:rPr>
      </w:pPr>
      <w:bookmarkStart w:id="24"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color w:val="auto"/>
        </w:rPr>
        <w:instrText xml:space="preserve"> HYPERLINK "http://www.planalto.gov.br/ccivil_03/_ato2019-2022/2021/lei/L14133.htm" \l "art14"</w:instrText>
      </w:r>
      <w:r>
        <w:rPr>
          <w:rStyle w:val="LinkdaInternet"/>
          <w:sz w:val="22"/>
          <w:szCs w:val="22"/>
          <w:color w:val="auto"/>
        </w:rPr>
        <w:fldChar w:fldCharType="separate"/>
      </w:r>
      <w:r>
        <w:rPr>
          <w:rStyle w:val="LinkdaInternet"/>
          <w:color w:val="auto"/>
          <w:sz w:val="22"/>
          <w:szCs w:val="22"/>
        </w:rPr>
        <w:t>art. 14 da Lei nº 14.133/2021</w:t>
      </w:r>
      <w:r>
        <w:rPr>
          <w:rStyle w:val="LinkdaInternet"/>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24"/>
      <w:r>
        <w:rPr>
          <w:color w:val="auto"/>
          <w:sz w:val="22"/>
          <w:szCs w:val="22"/>
          <w:lang w:eastAsia="ar-SA"/>
        </w:rPr>
        <w:t>especialmente quanto à existência de sanção que impeça a participação no certame ou a futura contratação.</w:t>
      </w:r>
    </w:p>
    <w:p>
      <w:pPr>
        <w:pStyle w:val="Nivel2"/>
        <w:numPr>
          <w:ilvl w:val="1"/>
          <w:numId w:val="2"/>
        </w:numPr>
        <w:spacing w:lineRule="auto" w:line="360" w:before="0" w:after="0"/>
        <w:ind w:left="0" w:hanging="0"/>
        <w:rPr>
          <w:color w:val="auto"/>
          <w:sz w:val="22"/>
          <w:szCs w:val="22"/>
        </w:rPr>
      </w:pPr>
      <w:r>
        <w:rPr>
          <w:color w:val="auto"/>
          <w:sz w:val="22"/>
          <w:szCs w:val="22"/>
        </w:rPr>
        <w:t>Caso atendidas as condições de participação, será iniciado o procedimento de habilitação.</w:t>
      </w:r>
    </w:p>
    <w:p>
      <w:pPr>
        <w:pStyle w:val="Nivel2"/>
        <w:numPr>
          <w:ilvl w:val="1"/>
          <w:numId w:val="2"/>
        </w:numPr>
        <w:spacing w:lineRule="auto" w:line="360" w:before="0" w:after="0"/>
        <w:ind w:left="0" w:hanging="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2"/>
        </w:numPr>
        <w:spacing w:lineRule="auto" w:line="360" w:before="0" w:after="0"/>
        <w:ind w:left="0" w:hanging="0"/>
        <w:rPr>
          <w:b/>
          <w:b/>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2"/>
        </w:numPr>
        <w:spacing w:lineRule="auto" w:line="360" w:before="0" w:after="0"/>
        <w:ind w:left="0" w:hanging="0"/>
        <w:rPr>
          <w:b/>
          <w:b/>
          <w:color w:val="auto"/>
          <w:sz w:val="22"/>
          <w:szCs w:val="22"/>
        </w:rPr>
      </w:pPr>
      <w:r>
        <w:rPr>
          <w:color w:val="auto"/>
          <w:sz w:val="22"/>
          <w:szCs w:val="22"/>
        </w:rPr>
        <w:t xml:space="preserve">Será desclassificada a proposta vencedora que: </w:t>
      </w:r>
    </w:p>
    <w:p>
      <w:pPr>
        <w:pStyle w:val="Nivel3"/>
        <w:numPr>
          <w:ilvl w:val="2"/>
          <w:numId w:val="2"/>
        </w:numPr>
        <w:tabs>
          <w:tab w:val="clear" w:pos="0"/>
          <w:tab w:val="left" w:pos="567" w:leader="none"/>
        </w:tabs>
        <w:spacing w:lineRule="auto" w:line="360" w:before="0" w:after="0"/>
        <w:ind w:left="567" w:hanging="0"/>
        <w:rPr>
          <w:b/>
          <w:b/>
          <w:color w:val="auto"/>
          <w:sz w:val="22"/>
          <w:szCs w:val="22"/>
        </w:rPr>
      </w:pPr>
      <w:r>
        <w:rPr>
          <w:color w:val="auto"/>
          <w:sz w:val="22"/>
          <w:szCs w:val="22"/>
        </w:rPr>
        <w:t>contiver vícios insanáveis;</w:t>
      </w:r>
    </w:p>
    <w:p>
      <w:pPr>
        <w:pStyle w:val="Nivel3"/>
        <w:numPr>
          <w:ilvl w:val="2"/>
          <w:numId w:val="2"/>
        </w:numPr>
        <w:tabs>
          <w:tab w:val="clear" w:pos="0"/>
          <w:tab w:val="left" w:pos="567" w:leader="none"/>
        </w:tabs>
        <w:spacing w:lineRule="auto" w:line="360" w:before="0" w:after="0"/>
        <w:ind w:left="567" w:hanging="0"/>
        <w:rPr>
          <w:b/>
          <w:b/>
          <w:color w:val="auto"/>
          <w:sz w:val="22"/>
          <w:szCs w:val="22"/>
        </w:rPr>
      </w:pPr>
      <w:r>
        <w:rPr>
          <w:color w:val="auto"/>
          <w:sz w:val="22"/>
          <w:szCs w:val="22"/>
        </w:rPr>
        <w:t>não obedecer às especificações técnicas contidas no Termo de Referência;</w:t>
      </w:r>
    </w:p>
    <w:p>
      <w:pPr>
        <w:pStyle w:val="Nivel3"/>
        <w:numPr>
          <w:ilvl w:val="2"/>
          <w:numId w:val="2"/>
        </w:numPr>
        <w:tabs>
          <w:tab w:val="clear" w:pos="0"/>
          <w:tab w:val="left" w:pos="567" w:leader="none"/>
        </w:tabs>
        <w:spacing w:lineRule="auto" w:line="360" w:before="0" w:after="0"/>
        <w:ind w:left="567" w:hanging="0"/>
        <w:rPr>
          <w:b/>
          <w:b/>
          <w:color w:val="auto"/>
          <w:sz w:val="22"/>
          <w:szCs w:val="22"/>
        </w:rPr>
      </w:pPr>
      <w:r>
        <w:rPr>
          <w:color w:val="auto"/>
          <w:sz w:val="22"/>
          <w:szCs w:val="22"/>
        </w:rPr>
        <w:t>apresentar preços inexequíveis ou permanecerem acima do preço máximo definido para a contratação;</w:t>
      </w:r>
    </w:p>
    <w:p>
      <w:pPr>
        <w:pStyle w:val="Nivel3"/>
        <w:numPr>
          <w:ilvl w:val="2"/>
          <w:numId w:val="2"/>
        </w:numPr>
        <w:tabs>
          <w:tab w:val="clear" w:pos="0"/>
          <w:tab w:val="left" w:pos="567" w:leader="none"/>
        </w:tabs>
        <w:spacing w:lineRule="auto" w:line="360" w:before="0" w:after="0"/>
        <w:ind w:left="567" w:hanging="0"/>
        <w:rPr>
          <w:b/>
          <w:b/>
          <w:color w:val="auto"/>
          <w:sz w:val="22"/>
          <w:szCs w:val="22"/>
        </w:rPr>
      </w:pPr>
      <w:r>
        <w:rPr>
          <w:color w:val="auto"/>
          <w:sz w:val="22"/>
          <w:szCs w:val="22"/>
        </w:rPr>
        <w:t>não tiverem sua exequibilidade demonstrada, quando exigido pela Administração;</w:t>
      </w:r>
    </w:p>
    <w:p>
      <w:pPr>
        <w:pStyle w:val="Nivel3"/>
        <w:numPr>
          <w:ilvl w:val="2"/>
          <w:numId w:val="2"/>
        </w:numPr>
        <w:tabs>
          <w:tab w:val="clear" w:pos="0"/>
          <w:tab w:val="left" w:pos="567" w:leader="none"/>
        </w:tabs>
        <w:spacing w:lineRule="auto" w:line="360" w:before="0" w:after="0"/>
        <w:ind w:left="567" w:hanging="0"/>
        <w:rPr>
          <w:b/>
          <w:b/>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2"/>
        </w:numPr>
        <w:spacing w:lineRule="auto" w:line="360" w:before="0" w:after="0"/>
        <w:ind w:left="0" w:hanging="0"/>
        <w:rPr>
          <w:b/>
          <w:b/>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2"/>
        </w:numPr>
        <w:spacing w:lineRule="auto" w:line="360" w:before="0" w:after="0"/>
        <w:ind w:left="0" w:hanging="0"/>
        <w:rPr>
          <w:b/>
          <w:b/>
          <w:color w:val="auto"/>
          <w:sz w:val="22"/>
          <w:szCs w:val="22"/>
        </w:rPr>
      </w:pPr>
      <w:r>
        <w:rPr>
          <w:color w:val="auto"/>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pPr>
        <w:pStyle w:val="Nivel2"/>
        <w:numPr>
          <w:ilvl w:val="1"/>
          <w:numId w:val="2"/>
        </w:numPr>
        <w:spacing w:lineRule="auto" w:line="360" w:before="0" w:after="0"/>
        <w:ind w:left="0" w:hanging="0"/>
        <w:rPr>
          <w:bCs/>
          <w:color w:val="auto"/>
          <w:sz w:val="22"/>
          <w:szCs w:val="22"/>
        </w:rPr>
      </w:pPr>
      <w:r>
        <w:rPr>
          <w:bCs/>
          <w:color w:val="auto"/>
          <w:sz w:val="22"/>
          <w:szCs w:val="22"/>
        </w:rPr>
        <w:t xml:space="preserve">Caso </w:t>
      </w:r>
      <w:r>
        <w:rPr>
          <w:color w:val="auto"/>
          <w:sz w:val="22"/>
          <w:szCs w:val="22"/>
        </w:rPr>
        <w:t>seja solicitado planilha, erros em seu preenchimento não constituem motivo para a desclassificação da proposta. A planilha poderá́ ser ajustada pelo fornecedor, no prazo indicado pelo sistema, desde que não haja majoração do preço.</w:t>
      </w:r>
    </w:p>
    <w:p>
      <w:pPr>
        <w:pStyle w:val="Nivel3"/>
        <w:numPr>
          <w:ilvl w:val="2"/>
          <w:numId w:val="2"/>
        </w:numPr>
        <w:spacing w:lineRule="auto" w:line="360" w:before="60" w:after="60"/>
        <w:ind w:left="0" w:hanging="0"/>
        <w:rPr>
          <w:color w:val="auto"/>
          <w:sz w:val="22"/>
          <w:szCs w:val="22"/>
        </w:rPr>
      </w:pPr>
      <w:r>
        <w:rPr>
          <w:color w:val="auto"/>
          <w:sz w:val="22"/>
          <w:szCs w:val="22"/>
        </w:rPr>
        <w:t>O ajuste de que trata este dispositivo se limita a sanar erros ou falhas que não alterem a substância das propostas;</w:t>
      </w:r>
    </w:p>
    <w:p>
      <w:pPr>
        <w:pStyle w:val="Nivel3"/>
        <w:numPr>
          <w:ilvl w:val="2"/>
          <w:numId w:val="2"/>
        </w:numPr>
        <w:spacing w:lineRule="auto" w:line="360" w:before="60" w:after="60"/>
        <w:ind w:left="0" w:hanging="0"/>
        <w:rPr>
          <w:color w:val="auto"/>
          <w:sz w:val="22"/>
          <w:szCs w:val="22"/>
        </w:rPr>
      </w:pPr>
      <w:r>
        <w:rPr>
          <w:color w:val="auto"/>
          <w:sz w:val="22"/>
          <w:szCs w:val="22"/>
        </w:rPr>
        <w:t>Considera-se erro no preenchimento da planilha passível de correção a indicação de recolhimento de impostos e contribuições na forma do Simples Nacional, quando não cabível esse regime.</w:t>
      </w:r>
    </w:p>
    <w:p>
      <w:pPr>
        <w:pStyle w:val="Nivel2"/>
        <w:numPr>
          <w:ilvl w:val="1"/>
          <w:numId w:val="2"/>
        </w:numPr>
        <w:spacing w:lineRule="auto" w:line="360" w:before="0" w:after="0"/>
        <w:ind w:left="0" w:hanging="0"/>
        <w:rPr>
          <w:b/>
          <w:b/>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numPr>
          <w:ilvl w:val="0"/>
          <w:numId w:val="0"/>
        </w:numPr>
        <w:spacing w:lineRule="auto" w:line="360" w:before="0" w:after="0"/>
        <w:ind w:left="0" w:hanging="0"/>
        <w:rPr>
          <w:b/>
          <w:b/>
          <w:color w:val="auto"/>
          <w:sz w:val="22"/>
          <w:szCs w:val="22"/>
        </w:rPr>
      </w:pPr>
      <w:r>
        <w:rPr>
          <w:b/>
          <w:color w:val="auto"/>
          <w:sz w:val="22"/>
          <w:szCs w:val="22"/>
        </w:rPr>
      </w:r>
    </w:p>
    <w:p>
      <w:pPr>
        <w:pStyle w:val="Nivel01"/>
        <w:numPr>
          <w:ilvl w:val="0"/>
          <w:numId w:val="2"/>
        </w:numPr>
        <w:spacing w:lineRule="auto" w:line="360" w:before="0" w:after="0"/>
        <w:ind w:left="0" w:hanging="0"/>
        <w:rPr>
          <w:sz w:val="22"/>
          <w:szCs w:val="22"/>
        </w:rPr>
      </w:pPr>
      <w:bookmarkStart w:id="25" w:name="_Toc122606109"/>
      <w:r>
        <w:rPr>
          <w:sz w:val="22"/>
          <w:szCs w:val="22"/>
        </w:rPr>
        <w:t>DA FASE DE HABILITAÇÃO</w:t>
      </w:r>
      <w:bookmarkEnd w:id="25"/>
    </w:p>
    <w:p>
      <w:pPr>
        <w:pStyle w:val="Nivel2"/>
        <w:numPr>
          <w:ilvl w:val="1"/>
          <w:numId w:val="2"/>
        </w:numPr>
        <w:spacing w:lineRule="auto" w:line="360" w:before="0" w:after="0"/>
        <w:ind w:left="0" w:hanging="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color w:val="auto"/>
        </w:rPr>
        <w:instrText xml:space="preserve"> HYPERLINK "http://www.planalto.gov.br/ccivil_03/_ato2019-2022/2021/lei/L14133.htm" \l "art62"</w:instrText>
      </w:r>
      <w:r>
        <w:rPr>
          <w:rStyle w:val="LinkdaInternet"/>
          <w:sz w:val="22"/>
          <w:szCs w:val="22"/>
          <w:color w:val="auto"/>
        </w:rPr>
        <w:fldChar w:fldCharType="separate"/>
      </w:r>
      <w:r>
        <w:rPr>
          <w:rStyle w:val="LinkdaInternet"/>
          <w:color w:val="auto"/>
          <w:sz w:val="22"/>
          <w:szCs w:val="22"/>
        </w:rPr>
        <w:t>arts. 62 a 70 da Lei nº 14.133, de 2021</w:t>
      </w:r>
      <w:r>
        <w:rPr>
          <w:rStyle w:val="LinkdaInternet"/>
          <w:sz w:val="22"/>
          <w:szCs w:val="22"/>
          <w:color w:val="auto"/>
        </w:rPr>
        <w:fldChar w:fldCharType="end"/>
      </w:r>
      <w:r>
        <w:rPr>
          <w:color w:val="auto"/>
          <w:sz w:val="22"/>
          <w:szCs w:val="22"/>
        </w:rPr>
        <w:t>.</w:t>
      </w:r>
    </w:p>
    <w:p>
      <w:pPr>
        <w:pStyle w:val="Nivel2"/>
        <w:numPr>
          <w:ilvl w:val="1"/>
          <w:numId w:val="2"/>
        </w:numPr>
        <w:spacing w:lineRule="auto" w:line="360" w:before="0" w:after="0"/>
        <w:ind w:left="0" w:hanging="0"/>
        <w:rPr>
          <w:i/>
          <w:i/>
          <w:color w:val="auto"/>
          <w:sz w:val="22"/>
          <w:szCs w:val="22"/>
        </w:rPr>
      </w:pPr>
      <w:r>
        <w:rPr>
          <w:color w:val="auto"/>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2"/>
        </w:numPr>
        <w:tabs>
          <w:tab w:val="clear" w:pos="0"/>
          <w:tab w:val="left" w:pos="567" w:leader="none"/>
        </w:tabs>
        <w:spacing w:lineRule="auto" w:line="360" w:before="0" w:after="0"/>
        <w:ind w:left="567" w:hanging="0"/>
        <w:rPr>
          <w:i/>
          <w:i/>
          <w:iCs/>
          <w:color w:val="auto"/>
          <w:sz w:val="22"/>
          <w:szCs w:val="22"/>
        </w:rPr>
      </w:pPr>
      <w:r>
        <w:rPr>
          <w:color w:val="auto"/>
          <w:sz w:val="22"/>
          <w:szCs w:val="22"/>
        </w:rP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11">
        <w:r>
          <w:rPr>
            <w:rStyle w:val="LinkdaInternet"/>
            <w:color w:val="auto"/>
            <w:sz w:val="22"/>
            <w:szCs w:val="22"/>
          </w:rPr>
          <w:t>Decreto nº 8.660, de 29 de janeiro de 2016</w:t>
        </w:r>
      </w:hyperlink>
      <w:r>
        <w:rPr>
          <w:color w:val="auto"/>
          <w:sz w:val="22"/>
          <w:szCs w:val="22"/>
        </w:rPr>
        <w:t>, ou de outro que venha a substituí-lo, ou consularizados pelos respectivos consulados ou embaixadas.</w:t>
      </w:r>
    </w:p>
    <w:p>
      <w:pPr>
        <w:pStyle w:val="Nivel2"/>
        <w:numPr>
          <w:ilvl w:val="1"/>
          <w:numId w:val="2"/>
        </w:numPr>
        <w:spacing w:lineRule="auto" w:line="360" w:before="0" w:after="0"/>
        <w:ind w:left="0" w:hanging="0"/>
        <w:rPr>
          <w:i/>
          <w:i/>
          <w:color w:val="auto"/>
          <w:sz w:val="22"/>
          <w:szCs w:val="22"/>
        </w:rPr>
      </w:pPr>
      <w:r>
        <w:rPr>
          <w:color w:val="auto"/>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2"/>
        </w:numPr>
        <w:tabs>
          <w:tab w:val="clear" w:pos="0"/>
        </w:tabs>
        <w:spacing w:lineRule="auto" w:line="360" w:before="0" w:after="0"/>
        <w:ind w:left="567" w:hanging="0"/>
        <w:rPr>
          <w:color w:val="auto"/>
          <w:sz w:val="22"/>
          <w:szCs w:val="22"/>
        </w:rPr>
      </w:pPr>
      <w:r>
        <w:rPr>
          <w:color w:val="auto"/>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2"/>
        </w:numPr>
        <w:spacing w:lineRule="auto" w:line="360" w:before="0" w:after="0"/>
        <w:ind w:left="0" w:hanging="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2"/>
        </w:numPr>
        <w:spacing w:lineRule="auto" w:line="360" w:before="0" w:after="0"/>
        <w:ind w:left="0" w:hanging="0"/>
        <w:rPr>
          <w:color w:val="auto"/>
          <w:sz w:val="22"/>
          <w:szCs w:val="22"/>
        </w:rPr>
      </w:pPr>
      <w:r>
        <w:rPr>
          <w:color w:val="auto"/>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LinkdaInternet"/>
          <w:sz w:val="22"/>
          <w:szCs w:val="22"/>
          <w:color w:val="auto"/>
        </w:rPr>
        <w:instrText xml:space="preserve"> HYPERLINK "http://www.planalto.gov.br/ccivil_03/_ato2019-2022/2021/lei/L14133.htm" \l "art63"</w:instrText>
      </w:r>
      <w:r>
        <w:rPr>
          <w:rStyle w:val="LinkdaInternet"/>
          <w:sz w:val="22"/>
          <w:szCs w:val="22"/>
          <w:color w:val="auto"/>
        </w:rPr>
        <w:fldChar w:fldCharType="separate"/>
      </w:r>
      <w:r>
        <w:rPr>
          <w:rStyle w:val="LinkdaInternet"/>
          <w:color w:val="auto"/>
          <w:sz w:val="22"/>
          <w:szCs w:val="22"/>
        </w:rPr>
        <w:t>art. 63, I, da Lei nº 14.133/2021</w:t>
      </w:r>
      <w:r>
        <w:rPr>
          <w:rStyle w:val="LinkdaInternet"/>
          <w:sz w:val="22"/>
          <w:szCs w:val="22"/>
          <w:color w:val="auto"/>
        </w:rPr>
        <w:fldChar w:fldCharType="end"/>
      </w:r>
      <w:r>
        <w:rPr>
          <w:color w:val="auto"/>
          <w:sz w:val="22"/>
          <w:szCs w:val="22"/>
        </w:rPr>
        <w:t>).</w:t>
      </w:r>
    </w:p>
    <w:p>
      <w:pPr>
        <w:pStyle w:val="Nivel2"/>
        <w:numPr>
          <w:ilvl w:val="1"/>
          <w:numId w:val="2"/>
        </w:numPr>
        <w:spacing w:lineRule="auto" w:line="360" w:before="0" w:after="0"/>
        <w:ind w:left="0" w:hanging="0"/>
        <w:rPr>
          <w:i/>
          <w:i/>
          <w:iCs/>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2"/>
        </w:numPr>
        <w:spacing w:lineRule="auto" w:line="360" w:before="0" w:after="0"/>
        <w:ind w:left="567" w:hanging="0"/>
        <w:rPr>
          <w:i/>
          <w:i/>
          <w:iCs/>
          <w:color w:val="auto"/>
          <w:sz w:val="22"/>
          <w:szCs w:val="22"/>
        </w:rPr>
      </w:pPr>
      <w:bookmarkStart w:id="26" w:name="_Ref114663151"/>
      <w:r>
        <w:rPr>
          <w:color w:val="auto"/>
          <w:sz w:val="22"/>
          <w:szCs w:val="22"/>
        </w:rPr>
        <w:t xml:space="preserve">Os documentos exigidos para habilitação deverão ser enviados por meio do sistema, em formato digital, no prazo máximo de 02 (duas) horas, </w:t>
      </w:r>
      <w:bookmarkEnd w:id="26"/>
      <w:r>
        <w:rPr>
          <w:color w:val="auto"/>
          <w:sz w:val="22"/>
          <w:szCs w:val="22"/>
        </w:rPr>
        <w:t>contado da solicitação do Agente de Contratação.</w:t>
      </w:r>
    </w:p>
    <w:p>
      <w:pPr>
        <w:pStyle w:val="Nivel2"/>
        <w:numPr>
          <w:ilvl w:val="1"/>
          <w:numId w:val="2"/>
        </w:numPr>
        <w:spacing w:lineRule="auto" w:line="360" w:before="0" w:after="0"/>
        <w:ind w:left="0" w:hanging="0"/>
        <w:rPr>
          <w:i/>
          <w:i/>
          <w:color w:val="auto"/>
          <w:sz w:val="22"/>
          <w:szCs w:val="22"/>
        </w:rPr>
      </w:pPr>
      <w:r>
        <w:rPr>
          <w:color w:val="auto"/>
          <w:sz w:val="22"/>
          <w:szCs w:val="22"/>
        </w:rPr>
        <w:t>A exigência das documentações de habilitação somente será feita em relação ao licitante vencedor.</w:t>
      </w:r>
    </w:p>
    <w:p>
      <w:pPr>
        <w:pStyle w:val="Nivel2"/>
        <w:numPr>
          <w:ilvl w:val="1"/>
          <w:numId w:val="2"/>
        </w:numPr>
        <w:spacing w:lineRule="auto" w:line="360" w:before="0" w:after="0"/>
        <w:ind w:left="0" w:hanging="0"/>
        <w:rPr>
          <w:i/>
          <w:i/>
          <w:color w:val="auto"/>
          <w:sz w:val="22"/>
          <w:szCs w:val="22"/>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auto"/>
        </w:rPr>
        <w:instrText xml:space="preserve"> HYPERLINK "http://www.planalto.gov.br/ccivil_03/_ato2019-2022/2021/lei/L14133.htm" \l "art64"</w:instrText>
      </w:r>
      <w:r>
        <w:rPr>
          <w:rStyle w:val="LinkdaInternet"/>
          <w:sz w:val="22"/>
          <w:szCs w:val="22"/>
          <w:color w:val="auto"/>
        </w:rPr>
        <w:fldChar w:fldCharType="separate"/>
      </w:r>
      <w:r>
        <w:rPr>
          <w:rStyle w:val="LinkdaInternet"/>
          <w:color w:val="auto"/>
          <w:sz w:val="22"/>
          <w:szCs w:val="22"/>
        </w:rPr>
        <w:t>Lei 14.133/21, art. 64</w:t>
      </w:r>
      <w:r>
        <w:rPr>
          <w:rStyle w:val="LinkdaInternet"/>
          <w:sz w:val="22"/>
          <w:szCs w:val="22"/>
          <w:color w:val="auto"/>
        </w:rPr>
        <w:fldChar w:fldCharType="end"/>
      </w:r>
      <w:r>
        <w:rPr>
          <w:rStyle w:val="LinkdaInternet"/>
          <w:color w:val="auto"/>
          <w:sz w:val="22"/>
          <w:szCs w:val="22"/>
        </w:rPr>
        <w:t>)</w:t>
      </w:r>
    </w:p>
    <w:p>
      <w:pPr>
        <w:pStyle w:val="Nivel3"/>
        <w:numPr>
          <w:ilvl w:val="2"/>
          <w:numId w:val="2"/>
        </w:numPr>
        <w:tabs>
          <w:tab w:val="clear" w:pos="0"/>
        </w:tabs>
        <w:spacing w:lineRule="auto" w:line="360" w:before="0" w:after="0"/>
        <w:ind w:left="567" w:hanging="0"/>
        <w:rPr>
          <w:i/>
          <w:i/>
          <w:iCs/>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2"/>
        </w:numPr>
        <w:tabs>
          <w:tab w:val="clear" w:pos="0"/>
        </w:tabs>
        <w:spacing w:lineRule="auto" w:line="360" w:before="0" w:after="0"/>
        <w:ind w:left="567" w:hanging="0"/>
        <w:rPr>
          <w:i/>
          <w:i/>
          <w:iCs/>
          <w:color w:val="auto"/>
          <w:sz w:val="22"/>
          <w:szCs w:val="22"/>
        </w:rPr>
      </w:pPr>
      <w:r>
        <w:rPr>
          <w:color w:val="auto"/>
          <w:sz w:val="22"/>
          <w:szCs w:val="22"/>
        </w:rPr>
        <w:t>atualização de documentos cuja validade tenha expirado após a data de recebimento das propostas;</w:t>
      </w:r>
    </w:p>
    <w:p>
      <w:pPr>
        <w:pStyle w:val="Nivel2"/>
        <w:numPr>
          <w:ilvl w:val="1"/>
          <w:numId w:val="2"/>
        </w:numPr>
        <w:spacing w:lineRule="auto" w:line="360" w:before="0" w:after="0"/>
        <w:ind w:left="0" w:hanging="0"/>
        <w:rPr>
          <w:i/>
          <w:i/>
          <w:color w:val="auto"/>
          <w:sz w:val="22"/>
          <w:szCs w:val="22"/>
        </w:rPr>
      </w:pPr>
      <w:bookmarkStart w:id="27" w:name="_Ref114670319"/>
      <w:r>
        <w:rPr>
          <w:color w:val="auto"/>
          <w:sz w:val="22"/>
          <w:szCs w:val="22"/>
        </w:rPr>
        <w:t>Na análise dos documentos de habilitação, pregoeiro poderá sanar erros ou falhas, que não alterem a substância dos documentos e sua validade jurídica, mediante decisão fundamentada, registrada em ata e acessível a todos, atribuindo-lhes eﬁcácia para fins de habilitação e classificação.</w:t>
      </w:r>
      <w:bookmarkEnd w:id="27"/>
    </w:p>
    <w:p>
      <w:pPr>
        <w:pStyle w:val="Nivel2"/>
        <w:numPr>
          <w:ilvl w:val="1"/>
          <w:numId w:val="2"/>
        </w:numPr>
        <w:spacing w:lineRule="auto" w:line="360" w:before="0" w:after="0"/>
        <w:ind w:left="0" w:hanging="0"/>
        <w:rPr>
          <w:i/>
          <w:i/>
          <w:iCs/>
          <w:color w:val="auto"/>
          <w:sz w:val="22"/>
          <w:szCs w:val="22"/>
        </w:rPr>
      </w:pPr>
      <w:bookmarkStart w:id="28" w:name="_Ref114665528"/>
      <w:r>
        <w:rPr>
          <w:color w:val="auto"/>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\h </w:instrText>
      </w:r>
      <w:r>
        <w:rPr>
          <w:sz w:val="22"/>
          <w:szCs w:val="22"/>
          <w:color w:val="auto"/>
        </w:rPr>
        <w:fldChar w:fldCharType="separate"/>
      </w:r>
      <w:r>
        <w:rPr>
          <w:sz w:val="22"/>
          <w:szCs w:val="22"/>
          <w:color w:val="auto"/>
        </w:rPr>
        <w:t>8.6.1</w:t>
      </w:r>
      <w:r>
        <w:rPr>
          <w:sz w:val="22"/>
          <w:szCs w:val="22"/>
          <w:color w:val="auto"/>
        </w:rPr>
        <w:fldChar w:fldCharType="end"/>
      </w:r>
      <w:r>
        <w:rPr>
          <w:color w:val="auto"/>
          <w:sz w:val="22"/>
          <w:szCs w:val="22"/>
        </w:rPr>
        <w:t>.</w:t>
      </w:r>
      <w:bookmarkEnd w:id="28"/>
    </w:p>
    <w:p>
      <w:pPr>
        <w:pStyle w:val="Nivel2"/>
        <w:numPr>
          <w:ilvl w:val="1"/>
          <w:numId w:val="2"/>
        </w:numPr>
        <w:spacing w:lineRule="auto" w:line="360" w:before="0" w:after="0"/>
        <w:ind w:left="0" w:hanging="0"/>
        <w:rPr>
          <w:i/>
          <w:i/>
          <w:color w:val="auto"/>
          <w:sz w:val="22"/>
          <w:szCs w:val="22"/>
        </w:rPr>
      </w:pPr>
      <w:bookmarkStart w:id="29"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9"/>
      <w:r>
        <w:rPr>
          <w:color w:val="auto"/>
          <w:sz w:val="22"/>
          <w:szCs w:val="22"/>
        </w:rPr>
        <w:t>.</w:t>
      </w:r>
    </w:p>
    <w:p>
      <w:pPr>
        <w:pStyle w:val="Nivel2"/>
        <w:numPr>
          <w:ilvl w:val="0"/>
          <w:numId w:val="0"/>
        </w:numPr>
        <w:spacing w:lineRule="auto" w:line="360" w:before="0" w:after="0"/>
        <w:ind w:left="567" w:hanging="0"/>
        <w:rPr>
          <w:i/>
          <w:i/>
          <w:color w:val="auto"/>
          <w:sz w:val="22"/>
          <w:szCs w:val="22"/>
        </w:rPr>
      </w:pPr>
      <w:r>
        <w:rPr>
          <w:i/>
          <w:color w:val="auto"/>
          <w:sz w:val="22"/>
          <w:szCs w:val="22"/>
        </w:rPr>
      </w:r>
    </w:p>
    <w:p>
      <w:pPr>
        <w:pStyle w:val="Nivel01"/>
        <w:numPr>
          <w:ilvl w:val="0"/>
          <w:numId w:val="2"/>
        </w:numPr>
        <w:spacing w:lineRule="auto" w:line="360" w:before="0" w:after="0"/>
        <w:ind w:left="0" w:hanging="0"/>
        <w:rPr>
          <w:sz w:val="22"/>
          <w:szCs w:val="22"/>
        </w:rPr>
      </w:pPr>
      <w:bookmarkStart w:id="30" w:name="_Toc122606110"/>
      <w:r>
        <w:rPr>
          <w:sz w:val="22"/>
          <w:szCs w:val="22"/>
        </w:rPr>
        <w:t>DOS RECURSOS</w:t>
      </w:r>
      <w:bookmarkEnd w:id="30"/>
    </w:p>
    <w:p>
      <w:pPr>
        <w:pStyle w:val="Nivel2"/>
        <w:numPr>
          <w:ilvl w:val="1"/>
          <w:numId w:val="2"/>
        </w:numPr>
        <w:spacing w:lineRule="auto" w:line="360" w:before="0" w:after="0"/>
        <w:ind w:left="0" w:hanging="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auto"/>
        </w:rPr>
        <w:instrText xml:space="preserve"> HYPERLINK "http://www.planalto.gov.br/ccivil_03/_ato2019-2022/2021/lei/L14133.htm" \l "art165"</w:instrText>
      </w:r>
      <w:r>
        <w:rPr>
          <w:rStyle w:val="LinkdaInternet"/>
          <w:sz w:val="22"/>
          <w:szCs w:val="22"/>
          <w:color w:val="auto"/>
        </w:rPr>
        <w:fldChar w:fldCharType="separate"/>
      </w:r>
      <w:r>
        <w:rPr>
          <w:rStyle w:val="LinkdaInternet"/>
          <w:color w:val="auto"/>
          <w:sz w:val="22"/>
          <w:szCs w:val="22"/>
        </w:rPr>
        <w:t>art. 165 da Lei nº 14.133, de 2021</w:t>
      </w:r>
      <w:r>
        <w:rPr>
          <w:rStyle w:val="LinkdaInternet"/>
          <w:sz w:val="22"/>
          <w:szCs w:val="22"/>
          <w:color w:val="auto"/>
        </w:rPr>
        <w:fldChar w:fldCharType="end"/>
      </w:r>
      <w:r>
        <w:rPr>
          <w:color w:val="auto"/>
          <w:sz w:val="22"/>
          <w:szCs w:val="22"/>
        </w:rPr>
        <w:t>.</w:t>
      </w:r>
    </w:p>
    <w:p>
      <w:pPr>
        <w:pStyle w:val="Nivel2"/>
        <w:numPr>
          <w:ilvl w:val="1"/>
          <w:numId w:val="2"/>
        </w:numPr>
        <w:spacing w:lineRule="auto" w:line="360" w:before="0" w:after="0"/>
        <w:ind w:left="0" w:hanging="0"/>
        <w:rPr>
          <w:color w:val="auto"/>
          <w:sz w:val="22"/>
          <w:szCs w:val="22"/>
        </w:rPr>
      </w:pPr>
      <w:r>
        <w:rPr>
          <w:color w:val="auto"/>
          <w:sz w:val="22"/>
          <w:szCs w:val="22"/>
        </w:rPr>
        <w:t>O prazo recursal é de 3 (três) dias úteis, contados da data de intimação ou de lavratura da ata.</w:t>
      </w:r>
    </w:p>
    <w:p>
      <w:pPr>
        <w:pStyle w:val="Nivel2"/>
        <w:numPr>
          <w:ilvl w:val="1"/>
          <w:numId w:val="2"/>
        </w:numPr>
        <w:spacing w:lineRule="auto" w:line="360" w:before="0" w:after="0"/>
        <w:ind w:left="0" w:hanging="0"/>
        <w:rPr>
          <w:color w:val="auto"/>
          <w:sz w:val="22"/>
          <w:szCs w:val="22"/>
        </w:rPr>
      </w:pPr>
      <w:r>
        <w:rPr>
          <w:color w:val="auto"/>
          <w:sz w:val="22"/>
          <w:szCs w:val="22"/>
        </w:rPr>
        <w:t>Quando o recurso apresentado impugnar o julgamento das propostas ou o ato de habilitação ou inabilitação do licitante:</w:t>
      </w:r>
    </w:p>
    <w:p>
      <w:pPr>
        <w:pStyle w:val="Nivel3"/>
        <w:numPr>
          <w:ilvl w:val="2"/>
          <w:numId w:val="2"/>
        </w:numPr>
        <w:tabs>
          <w:tab w:val="clear" w:pos="0"/>
          <w:tab w:val="left" w:pos="567" w:leader="none"/>
        </w:tabs>
        <w:spacing w:lineRule="auto" w:line="360" w:before="0" w:after="0"/>
        <w:ind w:left="709" w:hanging="0"/>
        <w:rPr>
          <w:color w:val="auto"/>
          <w:sz w:val="22"/>
          <w:szCs w:val="22"/>
        </w:rPr>
      </w:pPr>
      <w:r>
        <w:rPr>
          <w:color w:val="auto"/>
          <w:sz w:val="22"/>
          <w:szCs w:val="22"/>
        </w:rPr>
        <w:t>a intenção de recorrer deverá ser manifestada imediatamente, sob pena de preclusão;</w:t>
      </w:r>
    </w:p>
    <w:p>
      <w:pPr>
        <w:pStyle w:val="Nivel3"/>
        <w:numPr>
          <w:ilvl w:val="2"/>
          <w:numId w:val="2"/>
        </w:numPr>
        <w:tabs>
          <w:tab w:val="clear" w:pos="0"/>
          <w:tab w:val="left" w:pos="567" w:leader="none"/>
        </w:tabs>
        <w:spacing w:lineRule="auto" w:line="360" w:before="0" w:after="0"/>
        <w:ind w:left="709" w:hanging="0"/>
        <w:rPr>
          <w:color w:val="auto"/>
          <w:sz w:val="22"/>
          <w:szCs w:val="22"/>
        </w:rPr>
      </w:pPr>
      <w:r>
        <w:rPr>
          <w:color w:val="auto"/>
          <w:sz w:val="22"/>
          <w:szCs w:val="22"/>
        </w:rPr>
        <w:t>o prazo para a manifestação da intenção de recorrer será de 30 (trinta) minutos;</w:t>
      </w:r>
    </w:p>
    <w:p>
      <w:pPr>
        <w:pStyle w:val="Nivel3"/>
        <w:numPr>
          <w:ilvl w:val="2"/>
          <w:numId w:val="2"/>
        </w:numPr>
        <w:tabs>
          <w:tab w:val="clear" w:pos="0"/>
          <w:tab w:val="left" w:pos="567" w:leader="none"/>
        </w:tabs>
        <w:spacing w:lineRule="auto" w:line="360" w:before="0" w:after="0"/>
        <w:ind w:left="709" w:hanging="0"/>
        <w:rPr>
          <w:color w:val="auto"/>
          <w:sz w:val="22"/>
          <w:szCs w:val="22"/>
        </w:rPr>
      </w:pPr>
      <w:r>
        <w:rPr>
          <w:color w:val="auto"/>
          <w:sz w:val="22"/>
          <w:szCs w:val="22"/>
        </w:rPr>
        <w:t>o prazo para apresentação das razões recursais será iniciado na data de intimação ou de lavratura da ata de habilitação ou inabilitação;</w:t>
      </w:r>
    </w:p>
    <w:p>
      <w:pPr>
        <w:pStyle w:val="Nivel2"/>
        <w:numPr>
          <w:ilvl w:val="1"/>
          <w:numId w:val="2"/>
        </w:numPr>
        <w:spacing w:lineRule="auto" w:line="360" w:before="0" w:after="0"/>
        <w:ind w:left="0" w:hanging="0"/>
        <w:rPr>
          <w:color w:val="auto"/>
          <w:sz w:val="22"/>
          <w:szCs w:val="22"/>
        </w:rPr>
      </w:pPr>
      <w:r>
        <w:rPr>
          <w:color w:val="auto"/>
          <w:sz w:val="22"/>
          <w:szCs w:val="22"/>
        </w:rPr>
        <w:t>Os recursos deverão ser encaminhados em campo próprio do sistema.</w:t>
      </w:r>
    </w:p>
    <w:p>
      <w:pPr>
        <w:pStyle w:val="Nivel2"/>
        <w:numPr>
          <w:ilvl w:val="1"/>
          <w:numId w:val="2"/>
        </w:numPr>
        <w:spacing w:lineRule="auto" w:line="360" w:before="0" w:after="0"/>
        <w:ind w:left="0" w:hanging="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2"/>
        </w:numPr>
        <w:spacing w:lineRule="auto" w:line="360" w:before="0" w:after="0"/>
        <w:ind w:left="0" w:hanging="0"/>
        <w:rPr>
          <w:color w:val="auto"/>
          <w:sz w:val="22"/>
          <w:szCs w:val="22"/>
        </w:rPr>
      </w:pPr>
      <w:r>
        <w:rPr>
          <w:color w:val="auto"/>
          <w:sz w:val="22"/>
          <w:szCs w:val="22"/>
        </w:rPr>
        <w:t xml:space="preserve">Os recursos interpostos fora do prazo não serão conhecidos. </w:t>
      </w:r>
    </w:p>
    <w:p>
      <w:pPr>
        <w:pStyle w:val="Nivel2"/>
        <w:numPr>
          <w:ilvl w:val="1"/>
          <w:numId w:val="2"/>
        </w:numPr>
        <w:spacing w:lineRule="auto" w:line="360" w:before="0" w:after="0"/>
        <w:ind w:left="0" w:hanging="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2"/>
        </w:numPr>
        <w:spacing w:lineRule="auto" w:line="360" w:before="0" w:after="0"/>
        <w:ind w:left="0" w:hanging="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2"/>
        </w:numPr>
        <w:spacing w:lineRule="auto" w:line="360" w:before="0" w:after="0"/>
        <w:ind w:left="0" w:hanging="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2"/>
        </w:numPr>
        <w:spacing w:lineRule="auto" w:line="360" w:before="0" w:after="0"/>
        <w:ind w:left="0" w:hanging="0"/>
        <w:rPr>
          <w:color w:val="auto"/>
          <w:sz w:val="22"/>
          <w:szCs w:val="22"/>
        </w:rPr>
      </w:pPr>
      <w:r>
        <w:rPr>
          <w:color w:val="auto"/>
          <w:sz w:val="22"/>
          <w:szCs w:val="22"/>
        </w:rPr>
        <w:t>Os autos do processo permanecerão com vista aos interessados, na Seção de Licitações, localizada na Avenida Luciano Consoline, 600 – Jardim de Lucca, Itatiba/SP.</w:t>
      </w:r>
    </w:p>
    <w:p>
      <w:pPr>
        <w:pStyle w:val="Nivel01"/>
        <w:numPr>
          <w:ilvl w:val="0"/>
          <w:numId w:val="2"/>
        </w:numPr>
        <w:spacing w:lineRule="auto" w:line="360" w:before="288" w:after="288"/>
        <w:ind w:left="0" w:hanging="0"/>
        <w:rPr>
          <w:sz w:val="22"/>
          <w:szCs w:val="22"/>
        </w:rPr>
      </w:pPr>
      <w:r>
        <w:rPr>
          <w:sz w:val="22"/>
          <w:szCs w:val="22"/>
        </w:rPr>
        <w:t>DA ADJUDICAÇÃO E HOMOLOGAÇÃO</w:t>
      </w:r>
    </w:p>
    <w:p>
      <w:pPr>
        <w:pStyle w:val="Nivel2"/>
        <w:numPr>
          <w:ilvl w:val="1"/>
          <w:numId w:val="2"/>
        </w:numPr>
        <w:spacing w:lineRule="auto" w:line="360" w:before="288" w:after="288"/>
        <w:ind w:left="0" w:hanging="0"/>
        <w:rPr>
          <w:color w:val="auto"/>
          <w:sz w:val="22"/>
          <w:szCs w:val="22"/>
        </w:rPr>
      </w:pPr>
      <w:r>
        <w:rPr>
          <w:color w:val="auto"/>
          <w:sz w:val="22"/>
          <w:szCs w:val="22"/>
        </w:rPr>
        <w:t>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pPr>
        <w:pStyle w:val="Nivel01"/>
        <w:numPr>
          <w:ilvl w:val="0"/>
          <w:numId w:val="2"/>
        </w:numPr>
        <w:spacing w:lineRule="auto" w:line="360"/>
        <w:rPr/>
      </w:pPr>
      <w:r>
        <w:rPr/>
        <w:t>DA CONTRATAÇÃO</w:t>
      </w:r>
    </w:p>
    <w:p>
      <w:pPr>
        <w:pStyle w:val="Nivel2"/>
        <w:numPr>
          <w:ilvl w:val="1"/>
          <w:numId w:val="2"/>
        </w:numPr>
        <w:spacing w:lineRule="auto" w:line="360" w:before="288" w:after="288"/>
        <w:ind w:left="0" w:hanging="7"/>
        <w:rPr/>
      </w:pPr>
      <w:r>
        <w:rPr>
          <w:sz w:val="22"/>
          <w:szCs w:val="22"/>
        </w:rPr>
        <w:t>A Contratação decorrente da presente licitação vigorará até o recebimento definitivo do objeto do contrato.</w:t>
      </w:r>
    </w:p>
    <w:p>
      <w:pPr>
        <w:pStyle w:val="Nivel2"/>
        <w:numPr>
          <w:ilvl w:val="1"/>
          <w:numId w:val="2"/>
        </w:numPr>
        <w:spacing w:lineRule="auto" w:line="360" w:before="288" w:after="288"/>
        <w:ind w:left="0" w:hanging="7"/>
        <w:rPr/>
      </w:pPr>
      <w:r>
        <w:rPr>
          <w:sz w:val="22"/>
          <w:szCs w:val="22"/>
        </w:rPr>
        <w:t>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0"/>
        </w:numPr>
        <w:tabs>
          <w:tab w:val="clear" w:pos="709"/>
          <w:tab w:val="left" w:pos="142" w:leader="none"/>
        </w:tabs>
        <w:spacing w:lineRule="auto" w:line="360" w:before="288" w:after="288"/>
        <w:ind w:left="0" w:hanging="0"/>
        <w:rPr/>
      </w:pPr>
      <w:r>
        <w:rPr>
          <w:sz w:val="22"/>
          <w:szCs w:val="22"/>
        </w:rPr>
        <w:t>a) Comprovante de depósito da garantia;</w:t>
      </w:r>
    </w:p>
    <w:p>
      <w:pPr>
        <w:pStyle w:val="Nivel2"/>
        <w:numPr>
          <w:ilvl w:val="0"/>
          <w:numId w:val="0"/>
        </w:numPr>
        <w:tabs>
          <w:tab w:val="clear" w:pos="709"/>
          <w:tab w:val="left" w:pos="142" w:leader="none"/>
        </w:tabs>
        <w:spacing w:lineRule="auto" w:line="360" w:before="288" w:after="288"/>
        <w:ind w:left="0" w:hanging="0"/>
        <w:rPr/>
      </w:pPr>
      <w:r>
        <w:rPr>
          <w:sz w:val="22"/>
          <w:szCs w:val="22"/>
        </w:rPr>
        <w:t>b) Indicação, por escrito, dentre os responsáveis técnicos constantes do(s) atestado(s) ou certidão(ões) de qualificação técnica, daquele que será responsável pela execução do serviço objeto do contrato, bem como do preposto que a representará no local dos trabalhos;</w:t>
      </w:r>
    </w:p>
    <w:p>
      <w:pPr>
        <w:pStyle w:val="Nivel2"/>
        <w:numPr>
          <w:ilvl w:val="0"/>
          <w:numId w:val="0"/>
        </w:numPr>
        <w:tabs>
          <w:tab w:val="clear" w:pos="709"/>
          <w:tab w:val="left" w:pos="142" w:leader="none"/>
        </w:tabs>
        <w:spacing w:lineRule="auto" w:line="360" w:before="288" w:after="288"/>
        <w:ind w:left="0" w:hanging="0"/>
        <w:rPr/>
      </w:pPr>
      <w:r>
        <w:rPr>
          <w:sz w:val="22"/>
          <w:szCs w:val="22"/>
        </w:rPr>
        <w:t>c) Planilha de composição de todos os preços unitários, abrangendo os valores unitários e totais de mão de obra, encargos sociais, BDI (Benefícios e Despesas Indiretas), equipamentos etc;</w:t>
      </w:r>
    </w:p>
    <w:p>
      <w:pPr>
        <w:pStyle w:val="Nivel2"/>
        <w:numPr>
          <w:ilvl w:val="0"/>
          <w:numId w:val="0"/>
        </w:numPr>
        <w:tabs>
          <w:tab w:val="clear" w:pos="709"/>
          <w:tab w:val="left" w:pos="142" w:leader="none"/>
        </w:tabs>
        <w:spacing w:lineRule="auto" w:line="360" w:before="288" w:after="288"/>
        <w:ind w:left="0" w:hanging="0"/>
        <w:rPr/>
      </w:pPr>
      <w:r>
        <w:rPr>
          <w:sz w:val="22"/>
          <w:szCs w:val="22"/>
        </w:rPr>
        <w:t>d) Comprovante de recolhimento da taxa correspondente à ART (Anotação de Responsabilidade Técnica), nos termos da resolução nº 307/86/CONFEA e da Lei Federal n°6.496/77 e averbação do registro no CREA-SP na hipótese de o mesmo ser de outra região, de acordo com a lei 5.194/66;</w:t>
      </w:r>
    </w:p>
    <w:p>
      <w:pPr>
        <w:pStyle w:val="Nivel2"/>
        <w:numPr>
          <w:ilvl w:val="0"/>
          <w:numId w:val="0"/>
        </w:numPr>
        <w:tabs>
          <w:tab w:val="clear" w:pos="709"/>
          <w:tab w:val="left" w:pos="142" w:leader="none"/>
        </w:tabs>
        <w:spacing w:lineRule="auto" w:line="360" w:before="288" w:after="288"/>
        <w:ind w:left="0" w:hanging="0"/>
        <w:rPr/>
      </w:pPr>
      <w:r>
        <w:rPr>
          <w:sz w:val="22"/>
          <w:szCs w:val="22"/>
        </w:rPr>
        <w:t>e) Indicação, por escrito, de endereço de e-mail para a realização de quaisquer comunicações sobre a execução do contrato;</w:t>
      </w:r>
    </w:p>
    <w:p>
      <w:pPr>
        <w:pStyle w:val="Nivel2"/>
        <w:numPr>
          <w:ilvl w:val="0"/>
          <w:numId w:val="0"/>
        </w:numPr>
        <w:tabs>
          <w:tab w:val="clear" w:pos="709"/>
          <w:tab w:val="left" w:pos="142" w:leader="none"/>
          <w:tab w:val="left" w:pos="1134" w:leader="none"/>
        </w:tabs>
        <w:spacing w:lineRule="auto" w:line="360" w:before="288" w:after="288"/>
        <w:ind w:left="0" w:hanging="0"/>
        <w:rPr>
          <w:sz w:val="22"/>
          <w:szCs w:val="22"/>
        </w:rPr>
      </w:pPr>
      <w:r>
        <w:rPr>
          <w:sz w:val="22"/>
          <w:szCs w:val="22"/>
        </w:rPr>
        <w:t>f) Apresentar o(s) documento(s) de identidade, R.G. e CPF, do(s) sócio(s) ou procurador(es) que assinará(ao) o contrato com a Prefeitura do Município de Itatiba;</w:t>
      </w:r>
    </w:p>
    <w:p>
      <w:pPr>
        <w:pStyle w:val="Nivel2"/>
        <w:numPr>
          <w:ilvl w:val="0"/>
          <w:numId w:val="0"/>
        </w:numPr>
        <w:tabs>
          <w:tab w:val="clear" w:pos="709"/>
          <w:tab w:val="left" w:pos="142" w:leader="none"/>
          <w:tab w:val="left" w:pos="1134" w:leader="none"/>
        </w:tabs>
        <w:spacing w:lineRule="auto" w:line="360" w:before="288" w:after="288"/>
        <w:ind w:left="0" w:hanging="0"/>
        <w:rPr>
          <w:sz w:val="22"/>
          <w:szCs w:val="22"/>
        </w:rPr>
      </w:pPr>
      <w:r>
        <w:rPr>
          <w:sz w:val="22"/>
          <w:szCs w:val="22"/>
        </w:rPr>
        <w:t xml:space="preserve">f.1)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 </w:t>
      </w:r>
    </w:p>
    <w:p>
      <w:pPr>
        <w:pStyle w:val="Nivel2"/>
        <w:numPr>
          <w:ilvl w:val="0"/>
          <w:numId w:val="0"/>
        </w:numPr>
        <w:tabs>
          <w:tab w:val="clear" w:pos="709"/>
          <w:tab w:val="left" w:pos="142" w:leader="none"/>
          <w:tab w:val="left" w:pos="1134" w:leader="none"/>
        </w:tabs>
        <w:spacing w:lineRule="auto" w:line="360" w:before="288" w:after="288"/>
        <w:ind w:left="0" w:hanging="0"/>
        <w:rPr>
          <w:sz w:val="22"/>
          <w:szCs w:val="22"/>
        </w:rPr>
      </w:pPr>
      <w:bookmarkStart w:id="31" w:name="_Hlk168562642"/>
      <w:r>
        <w:rPr>
          <w:rStyle w:val="Strong"/>
          <w:sz w:val="22"/>
          <w:szCs w:val="22"/>
        </w:rPr>
        <w:t>g) Plano de trabalho;</w:t>
      </w:r>
    </w:p>
    <w:p>
      <w:pPr>
        <w:pStyle w:val="Standard"/>
        <w:tabs>
          <w:tab w:val="clear" w:pos="709"/>
          <w:tab w:val="left" w:pos="142" w:leader="none"/>
        </w:tabs>
        <w:spacing w:lineRule="auto" w:line="360"/>
        <w:jc w:val="both"/>
        <w:rPr>
          <w:sz w:val="22"/>
          <w:szCs w:val="22"/>
        </w:rPr>
      </w:pPr>
      <w:r>
        <w:rPr>
          <w:rStyle w:val="Strong"/>
          <w:b w:val="false"/>
          <w:bCs w:val="false"/>
          <w:sz w:val="22"/>
          <w:szCs w:val="22"/>
        </w:rPr>
        <w:t>g.1) O plano de trabalho será submetido à aprovação do fiscal do contrato e deverá ser enviado no curso do contrato sempre que for alterado/atualizado, mediante prévia e escrita autorização;</w:t>
      </w:r>
    </w:p>
    <w:p>
      <w:pPr>
        <w:pStyle w:val="Standard"/>
        <w:tabs>
          <w:tab w:val="clear" w:pos="709"/>
          <w:tab w:val="left" w:pos="142" w:leader="none"/>
        </w:tabs>
        <w:spacing w:lineRule="auto" w:line="360"/>
        <w:jc w:val="both"/>
        <w:rPr>
          <w:sz w:val="22"/>
          <w:szCs w:val="22"/>
        </w:rPr>
      </w:pPr>
      <w:r>
        <w:rPr>
          <w:rStyle w:val="Strong"/>
          <w:b w:val="false"/>
          <w:bCs w:val="false"/>
          <w:sz w:val="22"/>
          <w:szCs w:val="22"/>
        </w:rPr>
        <w:t>g.2) Poderão ser inseridos novos locais de coleta, sendo que isso será feito de forma escrita pela municipalidade, e os mesmos deverão ser adicionados ao plano de trabalho;</w:t>
      </w:r>
    </w:p>
    <w:p>
      <w:pPr>
        <w:pStyle w:val="Standard"/>
        <w:tabs>
          <w:tab w:val="clear" w:pos="709"/>
          <w:tab w:val="left" w:pos="142" w:leader="none"/>
        </w:tabs>
        <w:spacing w:lineRule="auto" w:line="360"/>
        <w:jc w:val="both"/>
        <w:rPr>
          <w:sz w:val="22"/>
          <w:szCs w:val="22"/>
        </w:rPr>
      </w:pPr>
      <w:r>
        <w:rPr>
          <w:rStyle w:val="Strong"/>
          <w:b w:val="false"/>
          <w:bCs w:val="false"/>
          <w:sz w:val="22"/>
          <w:szCs w:val="22"/>
        </w:rPr>
        <w:t>g.3) Os planos deverão conter, no mínimo, cronograma com listagem dos estabelecimentos atendidos pelo serviço, com suas informações e frequência, inclusive o dia da semana, além de um mapa (digital e físico) com os locais cadastrados e legenda com as frequências de cada local.</w:t>
      </w:r>
    </w:p>
    <w:p>
      <w:pPr>
        <w:pStyle w:val="Standard"/>
        <w:tabs>
          <w:tab w:val="clear" w:pos="709"/>
          <w:tab w:val="left" w:pos="142" w:leader="none"/>
        </w:tabs>
        <w:spacing w:lineRule="auto" w:line="360"/>
        <w:jc w:val="both"/>
        <w:rPr>
          <w:sz w:val="22"/>
          <w:szCs w:val="22"/>
        </w:rPr>
      </w:pPr>
      <w:r>
        <w:rPr>
          <w:rStyle w:val="Strong"/>
          <w:b w:val="false"/>
          <w:bCs w:val="false"/>
          <w:sz w:val="22"/>
          <w:szCs w:val="22"/>
        </w:rPr>
        <w:t>g.4) Para elaboração do plano de trabalho a Contratante colocará a disposição todas as informações que a Contratada julgar necessárias;</w:t>
      </w:r>
    </w:p>
    <w:p>
      <w:pPr>
        <w:pStyle w:val="Standard"/>
        <w:tabs>
          <w:tab w:val="clear" w:pos="709"/>
          <w:tab w:val="left" w:pos="142" w:leader="none"/>
        </w:tabs>
        <w:spacing w:lineRule="auto" w:line="360"/>
        <w:jc w:val="both"/>
        <w:rPr>
          <w:sz w:val="22"/>
          <w:szCs w:val="22"/>
        </w:rPr>
      </w:pPr>
      <w:r>
        <w:rPr>
          <w:rStyle w:val="Strong"/>
          <w:b w:val="false"/>
          <w:bCs w:val="false"/>
          <w:sz w:val="22"/>
          <w:szCs w:val="22"/>
        </w:rPr>
        <w:t>h) No caso de subcontratação do tratamento e disposição dos resíduos apresentar o contrato entre a empresa contratada e a unidade de tratamento;</w:t>
      </w:r>
    </w:p>
    <w:p>
      <w:pPr>
        <w:pStyle w:val="Standard"/>
        <w:tabs>
          <w:tab w:val="clear" w:pos="709"/>
          <w:tab w:val="left" w:pos="142" w:leader="none"/>
        </w:tabs>
        <w:spacing w:lineRule="auto" w:line="360"/>
        <w:jc w:val="both"/>
        <w:rPr>
          <w:sz w:val="22"/>
          <w:szCs w:val="22"/>
        </w:rPr>
      </w:pPr>
      <w:r>
        <w:rPr>
          <w:rStyle w:val="Strong"/>
          <w:rFonts w:eastAsia="Calibri"/>
          <w:b w:val="false"/>
          <w:bCs w:val="false"/>
          <w:color w:val="000000"/>
          <w:kern w:val="0"/>
          <w:sz w:val="22"/>
          <w:szCs w:val="22"/>
          <w:lang w:eastAsia="en-US"/>
        </w:rPr>
        <w:t>h.1) No caso da utilização de unidade de transbordo subcontratada também deverá ser apresentado o contrato com a unidade;</w:t>
      </w:r>
    </w:p>
    <w:p>
      <w:pPr>
        <w:pStyle w:val="Standard"/>
        <w:tabs>
          <w:tab w:val="clear" w:pos="709"/>
          <w:tab w:val="left" w:pos="142" w:leader="none"/>
        </w:tabs>
        <w:spacing w:lineRule="auto" w:line="360"/>
        <w:jc w:val="both"/>
        <w:rPr>
          <w:sz w:val="22"/>
          <w:szCs w:val="22"/>
        </w:rPr>
      </w:pPr>
      <w:r>
        <w:rPr>
          <w:rStyle w:val="Strong"/>
          <w:b w:val="false"/>
          <w:bCs w:val="false"/>
          <w:sz w:val="22"/>
          <w:szCs w:val="22"/>
        </w:rPr>
        <w:t>i) Licenças e autorizações para tratamento e destinação para cada um dos tipos de resíduos de saúde coletados;</w:t>
      </w:r>
    </w:p>
    <w:p>
      <w:pPr>
        <w:pStyle w:val="Standard"/>
        <w:tabs>
          <w:tab w:val="clear" w:pos="709"/>
          <w:tab w:val="left" w:pos="142" w:leader="none"/>
        </w:tabs>
        <w:spacing w:lineRule="auto" w:line="360"/>
        <w:jc w:val="both"/>
        <w:rPr>
          <w:sz w:val="22"/>
          <w:szCs w:val="22"/>
        </w:rPr>
      </w:pPr>
      <w:r>
        <w:rPr>
          <w:rStyle w:val="Strong"/>
          <w:b w:val="false"/>
          <w:bCs w:val="false"/>
          <w:sz w:val="22"/>
          <w:szCs w:val="22"/>
        </w:rPr>
        <w:t>i.1) Licença ambiental da(s) unidade(s) de tratamento dos resíduos de saúde;</w:t>
      </w:r>
    </w:p>
    <w:p>
      <w:pPr>
        <w:pStyle w:val="Standard"/>
        <w:tabs>
          <w:tab w:val="clear" w:pos="709"/>
          <w:tab w:val="left" w:pos="142" w:leader="none"/>
        </w:tabs>
        <w:spacing w:lineRule="auto" w:line="360"/>
        <w:jc w:val="both"/>
        <w:rPr>
          <w:sz w:val="22"/>
          <w:szCs w:val="22"/>
        </w:rPr>
      </w:pPr>
      <w:r>
        <w:rPr>
          <w:rStyle w:val="Strong"/>
          <w:b w:val="false"/>
          <w:bCs w:val="false"/>
          <w:sz w:val="22"/>
          <w:szCs w:val="22"/>
        </w:rPr>
        <w:t>i.2) Caso seja realizado o transbordo dos resíduos apresentar a licença ambiental para recebimentos dos resíduos em questão;</w:t>
      </w:r>
    </w:p>
    <w:p>
      <w:pPr>
        <w:pStyle w:val="Standard"/>
        <w:shd w:val="clear" w:color="auto" w:fill="BFBFBF" w:themeFill="background1" w:themeFillShade="bf"/>
        <w:tabs>
          <w:tab w:val="clear" w:pos="709"/>
          <w:tab w:val="left" w:pos="142" w:leader="none"/>
        </w:tabs>
        <w:spacing w:lineRule="auto" w:line="360"/>
        <w:jc w:val="both"/>
        <w:rPr>
          <w:sz w:val="22"/>
          <w:szCs w:val="22"/>
        </w:rPr>
      </w:pPr>
      <w:bookmarkStart w:id="32" w:name="_Hlk168562642"/>
      <w:r>
        <w:rPr>
          <w:rStyle w:val="Strong"/>
          <w:b w:val="false"/>
          <w:bCs w:val="false"/>
          <w:sz w:val="22"/>
          <w:szCs w:val="22"/>
        </w:rPr>
        <w:t>j) Comprovação de execução de teste de Eficiência de Destruição de Resíduos – EDR, por meio de licenciamento ambiental, para tratamento de resíduos do Grupo B (sólidos e líquidos), conforme disposto na Resolução CONAMA nº 316/2002 e amparado na D.D. 42/2022 publicada em 11 de abril de 2022.</w:t>
      </w:r>
      <w:bookmarkEnd w:id="32"/>
    </w:p>
    <w:p>
      <w:pPr>
        <w:pStyle w:val="Standard"/>
        <w:tabs>
          <w:tab w:val="clear" w:pos="709"/>
          <w:tab w:val="left" w:pos="142" w:leader="none"/>
        </w:tabs>
        <w:spacing w:lineRule="auto" w:line="360"/>
        <w:jc w:val="both"/>
        <w:rPr>
          <w:sz w:val="22"/>
          <w:szCs w:val="22"/>
        </w:rPr>
      </w:pPr>
      <w:r>
        <w:rPr>
          <w:rStyle w:val="Strong"/>
          <w:b w:val="false"/>
          <w:bCs w:val="false"/>
          <w:sz w:val="22"/>
          <w:szCs w:val="22"/>
        </w:rPr>
        <w:t>l) Documentos necessários para a emissão do Certificado de Movimentação de Resíduos de Interesse Ambiental (CADRI) junto à Companhia Ambiental do Estado de São Paulo (CETESB) e Manifesto de Transporte de Resíduos (MTR) pelo Sistema Estadual de Gerenciamento Online de Resíduos Sólidos (SIGOR);</w:t>
      </w:r>
    </w:p>
    <w:p>
      <w:pPr>
        <w:pStyle w:val="Standard"/>
        <w:tabs>
          <w:tab w:val="clear" w:pos="709"/>
          <w:tab w:val="left" w:pos="142" w:leader="none"/>
        </w:tabs>
        <w:spacing w:lineRule="auto" w:line="360"/>
        <w:jc w:val="both"/>
        <w:rPr>
          <w:sz w:val="22"/>
          <w:szCs w:val="22"/>
        </w:rPr>
      </w:pPr>
      <w:r>
        <w:rPr>
          <w:rStyle w:val="Strong"/>
          <w:b w:val="false"/>
          <w:bCs w:val="false"/>
          <w:sz w:val="22"/>
          <w:szCs w:val="22"/>
        </w:rPr>
        <w:t>m) Entregar, caso seja necessário, documentos adicionais relacionados as autorizações ambientais para realização do serviço.</w:t>
      </w:r>
    </w:p>
    <w:p>
      <w:pPr>
        <w:pStyle w:val="Standard"/>
        <w:tabs>
          <w:tab w:val="clear" w:pos="709"/>
          <w:tab w:val="left" w:pos="142" w:leader="none"/>
        </w:tabs>
        <w:spacing w:lineRule="auto" w:line="360"/>
        <w:jc w:val="both"/>
        <w:rPr>
          <w:sz w:val="22"/>
          <w:szCs w:val="22"/>
        </w:rPr>
      </w:pPr>
      <w:r>
        <w:rPr>
          <w:rStyle w:val="Strong"/>
          <w:b w:val="false"/>
          <w:bCs w:val="false"/>
          <w:sz w:val="22"/>
          <w:szCs w:val="22"/>
        </w:rPr>
        <w:t>n) Declaração de que providenciará sistema de GPS para o veículo envolvido na execução do contrato, permitindo rastreabilidade e acompanhamento em tempo real pela Contratante, fornecendo, para tanto, à Contratante, depois da assinatura do contrato e antes do início da execução dos serviços todos os softwares necessários, com atualizações e assistência técnica durante todo o período de vigência do contrato;</w:t>
      </w:r>
    </w:p>
    <w:p>
      <w:pPr>
        <w:pStyle w:val="Nivel2"/>
        <w:numPr>
          <w:ilvl w:val="0"/>
          <w:numId w:val="0"/>
        </w:numPr>
        <w:tabs>
          <w:tab w:val="clear" w:pos="709"/>
          <w:tab w:val="left" w:pos="142" w:leader="none"/>
        </w:tabs>
        <w:spacing w:lineRule="auto" w:line="360" w:before="288" w:after="288"/>
        <w:ind w:left="0" w:hanging="0"/>
        <w:rPr/>
      </w:pPr>
      <w:r>
        <w:rPr/>
        <w:t xml:space="preserve">11.3 - </w:t>
      </w: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ivel01"/>
        <w:numPr>
          <w:ilvl w:val="0"/>
          <w:numId w:val="2"/>
        </w:numPr>
        <w:spacing w:lineRule="auto" w:line="360" w:before="0" w:after="0"/>
        <w:ind w:left="0" w:hanging="0"/>
        <w:rPr>
          <w:sz w:val="22"/>
          <w:szCs w:val="22"/>
        </w:rPr>
      </w:pPr>
      <w:bookmarkStart w:id="33" w:name="_Toc122606111"/>
      <w:r>
        <w:rPr>
          <w:sz w:val="22"/>
          <w:szCs w:val="22"/>
        </w:rPr>
        <w:t>DAS INFRAÇÕES ADMINISTRATIVAS E SANÇÕES</w:t>
      </w:r>
      <w:bookmarkEnd w:id="33"/>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12.1 - Para o caso de recusa em assinar o contrato: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a) A recusa injustificada da empresa vencedora em assinar o contrato, dentro do prazo estabelecido pela Prefeitura Municipal, impedirá a sua participação em novas licitações, pelo prazo de até 02 (dois) anos, bem como caberá multa de 20% (vinte inteiros por cento) sobre o valor da proposta, ficando ainda sujeita às sanções administrativas inscritas no Capítulo I do Título IV, da Lei Federal 14.133/2021 e demais normas pertinentes.</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b)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 independentemente das sanções previstas na Lei 14.133/2021 e suas posteriores alterações.</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12.2- No curso da execução contratual:</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12.2.1 - Salvo a ocorrência de casos fortuitos ou de força maior, devida e formalmente justificados e comprovados, ao não cumprimento, por parte da contratada, das obrigações assumidas, ou a infringência de preceitos legais pertinentes, serão aplicadas, segundo a gravidade da falta cometida, as seguintes penalidades:</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a) Advertência, sempre que forem constatadas irregularidades de pouca gravidade, para as quais tenha a Contratada concorrido diretamente, situação que será registrada no Cadastro de Fornecedores da Contratante;</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b) Multa, de acordo com os seguintes valores:</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1. Uso de veículos sem condições de limpeza e conservação que causem o derramamento de detritos no trajeto, ou, uso de veículos, uniformes ou equipamentos não padronizados: multa diária no valor de R$1.000,00 (mil reais) por infração;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2. Falta de equipamentos de segurança, utensílios de trabalho, ou, falta de substituição, quando determinada pela fiscalização: multa no valor de R$4.000,00 (quatro mil reais) por infração (por funcionário);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3. Pela execução dos serviços ou recolhimento de resíduos que não constem do objeto do presente contrato, por tentativa de fraude na pesagem dos resíduos ou pela descarga em local não autorizado: multa no valor de R$ 6.000,00 (seis mil reais) por infração;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4. Pelo não atendimento, dentro do prazo de 48 (quarenta e oito) horas, da determinação de substituição de empregados, multa no valor de R$600,00 (seiscentos reais) por infração;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5. Alteração do plano de trabalho, sem prévia autorização: multa no valor de R$4.000,00 (quatro mil reais) por ação desconforme com o plano de trabalho aprovado;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6. Circuitos não completados ou não realizados, atraso de mais de 3 (três) horas no horário fixado para a coleta: multa no valor de R$4.000,00 (quatro mil reais) por circuito efetuado, com qualquer das irregularidades indicadas;</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7. Havendo rescisão do contrato por inadimplência, por qualquer um dos motivos elencados na Cláusula DA RESCISÃO da Minuta de Contrato, será aplicada à Contratada a multa de 10% (dez por cento) do valor total do contrato atualizado, bem como a penalidade de suspensão temporária do direito de licitar e de contratar com a Contratante, pelo prazo de até 02 (dois) anos, sem prejuízo das demais sanções elencadas.</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b.1) Para efeito de aplicação de multa fica estabelecido: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1. Circuito de coleta é o percurso total dos locais atendidos por um veículo coletor em período de trabalho.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2. As multas serão atualizadas de acordo com o mesmo critério de reajuste dos preços praticados no contrato.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3. Em caso de reincidência, a multa a ser aplicada terá seu valor dobrado.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4. As multas são independentes e a aplicação de uma não exclui a das outras.</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5. As multas serão, após regular processo administrativo, descontadas dos créditos da Contratada ou, se for o caso, cobradas administrativa ou judicialmente.</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 xml:space="preserve"> </w:t>
      </w:r>
      <w:r>
        <w:rPr>
          <w:rFonts w:eastAsia="Arial"/>
          <w:color w:val="auto"/>
          <w:kern w:val="2"/>
          <w:sz w:val="22"/>
          <w:szCs w:val="22"/>
          <w:lang w:eastAsia="zh-CN"/>
        </w:rPr>
        <w:t>b.2) O prazo para pagamento das multas será de 05 (cinco) dias úteis a contar da data de recebimento da cobrança respectiva pela contratada. Não havendo pagamento pela empresa, o valor poderá ser descontado de seus créditos, da garantia ou inscrito como dívida ativa, sujeitando-se a contratada a processo executivo.</w:t>
      </w:r>
    </w:p>
    <w:p>
      <w:pPr>
        <w:pStyle w:val="Nivel2"/>
        <w:numPr>
          <w:ilvl w:val="0"/>
          <w:numId w:val="0"/>
        </w:numPr>
        <w:spacing w:lineRule="auto" w:line="360"/>
        <w:ind w:left="0" w:hanging="0"/>
        <w:rPr>
          <w:rFonts w:eastAsia="Arial"/>
          <w:color w:val="auto"/>
          <w:kern w:val="2"/>
          <w:sz w:val="22"/>
          <w:szCs w:val="22"/>
          <w:lang w:eastAsia="zh-CN"/>
        </w:rPr>
      </w:pPr>
      <w:r>
        <w:rPr>
          <w:rFonts w:eastAsia="Arial"/>
          <w:color w:val="auto"/>
          <w:kern w:val="2"/>
          <w:sz w:val="22"/>
          <w:szCs w:val="22"/>
          <w:lang w:eastAsia="zh-CN"/>
        </w:rPr>
        <w:t>12.2.2 - As penalidades previstas nesta cláusula têm caráter de sanção administrativa, consequentemente, a sua aplicação não exime a Contratada da reparação das eventuais perdas e danos que seu ato punível venha a acarretar ao Município de Itatiba ou a terceiros.</w:t>
      </w:r>
    </w:p>
    <w:p>
      <w:pPr>
        <w:pStyle w:val="Nivel2"/>
        <w:numPr>
          <w:ilvl w:val="0"/>
          <w:numId w:val="0"/>
        </w:numPr>
        <w:spacing w:lineRule="auto" w:line="360" w:before="0" w:after="0"/>
        <w:ind w:left="567" w:hanging="0"/>
        <w:rPr>
          <w:color w:val="auto"/>
          <w:sz w:val="22"/>
          <w:szCs w:val="22"/>
        </w:rPr>
      </w:pPr>
      <w:r>
        <w:rPr>
          <w:color w:val="auto"/>
          <w:sz w:val="22"/>
          <w:szCs w:val="22"/>
        </w:rPr>
      </w:r>
    </w:p>
    <w:p>
      <w:pPr>
        <w:pStyle w:val="Nivel01"/>
        <w:numPr>
          <w:ilvl w:val="0"/>
          <w:numId w:val="2"/>
        </w:numPr>
        <w:spacing w:lineRule="auto" w:line="360" w:before="0" w:after="0"/>
        <w:ind w:left="0" w:hanging="0"/>
        <w:rPr>
          <w:sz w:val="22"/>
          <w:szCs w:val="22"/>
        </w:rPr>
      </w:pPr>
      <w:bookmarkStart w:id="34" w:name="_Toc122606112"/>
      <w:r>
        <w:rPr>
          <w:sz w:val="22"/>
          <w:szCs w:val="22"/>
        </w:rPr>
        <w:t>DA IMPUGNAÇÃO AO EDITAL E DO PEDIDO DE ESCLARECIMENTO</w:t>
      </w:r>
      <w:bookmarkEnd w:id="34"/>
    </w:p>
    <w:p>
      <w:pPr>
        <w:pStyle w:val="Nivel2"/>
        <w:numPr>
          <w:ilvl w:val="1"/>
          <w:numId w:val="2"/>
        </w:numPr>
        <w:spacing w:lineRule="auto" w:line="360" w:before="0" w:after="0"/>
        <w:ind w:left="0" w:hanging="0"/>
        <w:rPr>
          <w:color w:val="auto"/>
          <w:sz w:val="22"/>
          <w:szCs w:val="22"/>
        </w:rPr>
      </w:pPr>
      <w:r>
        <w:rPr>
          <w:color w:val="auto"/>
          <w:sz w:val="22"/>
          <w:szCs w:val="22"/>
        </w:rPr>
        <w:t xml:space="preserve">Qualquer pessoa é parte legítima para impugnar este Edital por irregularidade na aplicação da </w:t>
      </w:r>
      <w:hyperlink r:id="rId12">
        <w:r>
          <w:rPr>
            <w:rStyle w:val="LinkdaInternet"/>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2"/>
        </w:numPr>
        <w:spacing w:lineRule="auto" w:line="360" w:before="0" w:after="0"/>
        <w:ind w:left="0" w:hanging="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2"/>
        </w:numPr>
        <w:spacing w:lineRule="auto" w:line="360" w:before="0" w:after="0"/>
        <w:ind w:left="0" w:hanging="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2"/>
        </w:numPr>
        <w:spacing w:lineRule="auto" w:line="360" w:before="0" w:after="0"/>
        <w:ind w:left="0" w:hanging="0"/>
        <w:rPr>
          <w:color w:val="auto"/>
          <w:sz w:val="22"/>
          <w:szCs w:val="22"/>
        </w:rPr>
      </w:pPr>
      <w:r>
        <w:rPr>
          <w:color w:val="auto"/>
          <w:sz w:val="22"/>
          <w:szCs w:val="22"/>
        </w:rPr>
        <w:t>As impugnações e pedidos de esclarecimentos não suspendem os prazos previstos no certame.</w:t>
      </w:r>
    </w:p>
    <w:p>
      <w:pPr>
        <w:pStyle w:val="Nivel3"/>
        <w:numPr>
          <w:ilvl w:val="2"/>
          <w:numId w:val="2"/>
        </w:numPr>
        <w:spacing w:lineRule="auto" w:line="360" w:before="0" w:after="0"/>
        <w:ind w:left="0" w:hanging="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2"/>
        </w:numPr>
        <w:spacing w:lineRule="auto" w:line="360" w:before="0" w:after="0"/>
        <w:ind w:left="0" w:hanging="0"/>
        <w:rPr>
          <w:color w:val="auto"/>
          <w:sz w:val="22"/>
          <w:szCs w:val="22"/>
        </w:rPr>
      </w:pPr>
      <w:r>
        <w:rPr>
          <w:color w:val="auto"/>
          <w:sz w:val="22"/>
          <w:szCs w:val="22"/>
        </w:rPr>
        <w:t>Acolhida a impugnação, será definida e publicada nova data para a realização do certame.</w:t>
      </w:r>
    </w:p>
    <w:p>
      <w:pPr>
        <w:pStyle w:val="Nivel2"/>
        <w:numPr>
          <w:ilvl w:val="0"/>
          <w:numId w:val="0"/>
        </w:numPr>
        <w:spacing w:lineRule="auto" w:line="360" w:before="0" w:after="0"/>
        <w:ind w:left="567" w:hanging="0"/>
        <w:rPr>
          <w:color w:val="auto"/>
          <w:sz w:val="22"/>
          <w:szCs w:val="22"/>
        </w:rPr>
      </w:pPr>
      <w:r>
        <w:rPr>
          <w:color w:val="auto"/>
          <w:sz w:val="22"/>
          <w:szCs w:val="22"/>
        </w:rPr>
      </w:r>
    </w:p>
    <w:p>
      <w:pPr>
        <w:pStyle w:val="Nivel01"/>
        <w:numPr>
          <w:ilvl w:val="0"/>
          <w:numId w:val="2"/>
        </w:numPr>
        <w:spacing w:lineRule="auto" w:line="360" w:before="0" w:after="0"/>
        <w:ind w:left="0" w:hanging="0"/>
        <w:rPr>
          <w:sz w:val="22"/>
          <w:szCs w:val="22"/>
        </w:rPr>
      </w:pPr>
      <w:bookmarkStart w:id="35" w:name="_Toc122606113"/>
      <w:r>
        <w:rPr>
          <w:sz w:val="22"/>
          <w:szCs w:val="22"/>
        </w:rPr>
        <w:t>DAS DISPOSIÇÕES GERAIS</w:t>
      </w:r>
      <w:bookmarkEnd w:id="35"/>
    </w:p>
    <w:p>
      <w:pPr>
        <w:pStyle w:val="Nivel2"/>
        <w:numPr>
          <w:ilvl w:val="1"/>
          <w:numId w:val="2"/>
        </w:numPr>
        <w:spacing w:lineRule="auto" w:line="360" w:before="0" w:after="0"/>
        <w:ind w:left="0" w:hanging="0"/>
        <w:rPr>
          <w:color w:val="auto"/>
          <w:sz w:val="22"/>
          <w:szCs w:val="22"/>
        </w:rPr>
      </w:pPr>
      <w:r>
        <w:rPr>
          <w:color w:val="auto"/>
          <w:sz w:val="22"/>
          <w:szCs w:val="22"/>
        </w:rPr>
        <w:t>Será divulgada ata da sessão pública no sistema eletrônico.</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A homologação do resultado desta licitação não implicará direito à contratação.</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2"/>
        </w:numPr>
        <w:spacing w:lineRule="auto" w:line="360" w:before="0" w:after="0"/>
        <w:ind w:left="0" w:hanging="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2"/>
        </w:numPr>
        <w:spacing w:lineRule="auto" w:line="360" w:before="0" w:after="0"/>
        <w:ind w:left="0" w:hanging="0"/>
        <w:rPr>
          <w:rFonts w:eastAsia="Times New Roman"/>
          <w:color w:val="auto"/>
          <w:sz w:val="22"/>
          <w:szCs w:val="22"/>
        </w:rPr>
      </w:pPr>
      <w:r>
        <w:rPr>
          <w:color w:val="auto"/>
          <w:sz w:val="22"/>
          <w:szCs w:val="22"/>
        </w:rPr>
        <w:t>Integram este Edital, para todos os fins e efeitos, os seguintes anexos:</w:t>
      </w:r>
    </w:p>
    <w:p>
      <w:pPr>
        <w:pStyle w:val="Nivel3"/>
        <w:numPr>
          <w:ilvl w:val="2"/>
          <w:numId w:val="2"/>
        </w:numPr>
        <w:tabs>
          <w:tab w:val="clear" w:pos="0"/>
          <w:tab w:val="left" w:pos="567" w:leader="none"/>
        </w:tabs>
        <w:spacing w:lineRule="auto" w:line="360" w:before="0" w:after="0"/>
        <w:ind w:left="567" w:hanging="0"/>
        <w:rPr>
          <w:color w:val="auto"/>
          <w:sz w:val="22"/>
          <w:szCs w:val="22"/>
        </w:rPr>
      </w:pPr>
      <w:r>
        <w:rPr>
          <w:color w:val="auto"/>
          <w:sz w:val="22"/>
          <w:szCs w:val="22"/>
        </w:rPr>
        <w:t>ANEXO I - Termo de Referência</w:t>
      </w:r>
    </w:p>
    <w:p>
      <w:pPr>
        <w:pStyle w:val="Nivel3"/>
        <w:numPr>
          <w:ilvl w:val="2"/>
          <w:numId w:val="2"/>
        </w:numPr>
        <w:spacing w:lineRule="auto" w:line="360" w:before="0" w:after="0"/>
        <w:ind w:left="567" w:right="-54" w:hanging="0"/>
        <w:rPr>
          <w:color w:val="auto"/>
          <w:sz w:val="22"/>
          <w:szCs w:val="22"/>
        </w:rPr>
      </w:pPr>
      <w:bookmarkStart w:id="36" w:name="_Hlk159412661"/>
      <w:r>
        <w:rPr>
          <w:color w:val="auto"/>
          <w:sz w:val="22"/>
          <w:szCs w:val="22"/>
        </w:rPr>
        <w:t>ANEXO II – Modelo de Procuração</w:t>
      </w:r>
      <w:bookmarkEnd w:id="36"/>
    </w:p>
    <w:p>
      <w:pPr>
        <w:pStyle w:val="Nivel3"/>
        <w:numPr>
          <w:ilvl w:val="2"/>
          <w:numId w:val="2"/>
        </w:numPr>
        <w:spacing w:lineRule="auto" w:line="360" w:before="0" w:after="0"/>
        <w:ind w:left="567" w:right="-54" w:hanging="0"/>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2"/>
        </w:numPr>
        <w:spacing w:lineRule="auto" w:line="360" w:before="0" w:after="0"/>
        <w:ind w:left="567" w:right="-54" w:hanging="0"/>
        <w:rPr>
          <w:color w:val="auto"/>
          <w:sz w:val="22"/>
          <w:szCs w:val="22"/>
        </w:rPr>
      </w:pPr>
      <w:r>
        <w:rPr>
          <w:color w:val="auto"/>
          <w:sz w:val="22"/>
          <w:szCs w:val="22"/>
        </w:rPr>
        <w:t>ANEXO IV – Modelo de Declaração de qualificação microempresa ou empresa de pequeno porte</w:t>
      </w:r>
    </w:p>
    <w:p>
      <w:pPr>
        <w:pStyle w:val="Nivel3"/>
        <w:numPr>
          <w:ilvl w:val="2"/>
          <w:numId w:val="2"/>
        </w:numPr>
        <w:spacing w:lineRule="auto" w:line="360" w:before="0" w:after="0"/>
        <w:ind w:left="567" w:hanging="0"/>
        <w:rPr>
          <w:color w:val="auto"/>
          <w:sz w:val="22"/>
          <w:szCs w:val="22"/>
        </w:rPr>
      </w:pPr>
      <w:r>
        <w:rPr>
          <w:color w:val="auto"/>
          <w:sz w:val="22"/>
          <w:szCs w:val="22"/>
        </w:rPr>
        <w:t>ANEXO V – Modelo de Proposta</w:t>
      </w:r>
    </w:p>
    <w:p>
      <w:pPr>
        <w:pStyle w:val="Nivel3"/>
        <w:numPr>
          <w:ilvl w:val="2"/>
          <w:numId w:val="2"/>
        </w:numPr>
        <w:spacing w:lineRule="auto" w:line="360" w:before="0" w:after="0"/>
        <w:ind w:left="567" w:hanging="0"/>
        <w:rPr>
          <w:color w:val="auto"/>
          <w:sz w:val="22"/>
          <w:szCs w:val="22"/>
        </w:rPr>
      </w:pPr>
      <w:bookmarkStart w:id="37" w:name="_Hlk82473550"/>
      <w:r>
        <w:rPr>
          <w:color w:val="auto"/>
          <w:sz w:val="22"/>
          <w:szCs w:val="22"/>
        </w:rPr>
        <w:t>ANEXO VI – Minuta de Contrato</w:t>
      </w:r>
      <w:bookmarkEnd w:id="37"/>
    </w:p>
    <w:p>
      <w:pPr>
        <w:pStyle w:val="Nivel2"/>
        <w:numPr>
          <w:ilvl w:val="0"/>
          <w:numId w:val="0"/>
        </w:numPr>
        <w:spacing w:lineRule="auto" w:line="360" w:before="0" w:after="0"/>
        <w:ind w:left="0" w:hanging="0"/>
        <w:rPr>
          <w:color w:val="auto"/>
          <w:sz w:val="22"/>
          <w:szCs w:val="22"/>
        </w:rPr>
      </w:pPr>
      <w:r>
        <w:rPr>
          <w:color w:val="auto"/>
          <w:sz w:val="22"/>
          <w:szCs w:val="22"/>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ormal"/>
        <w:spacing w:lineRule="auto" w:line="360"/>
        <w:rPr>
          <w:highlight w:val="none"/>
          <w:shd w:fill="auto" w:val="clear"/>
        </w:rPr>
      </w:pPr>
      <w:r>
        <w:rPr>
          <w:rFonts w:eastAsia="MS Mincho" w:cs="Arial" w:ascii="Arial" w:hAnsi="Arial"/>
          <w:sz w:val="22"/>
          <w:szCs w:val="22"/>
          <w:shd w:fill="auto" w:val="clear"/>
        </w:rPr>
        <w:t xml:space="preserve">Itatiba, </w:t>
      </w:r>
      <w:r>
        <w:rPr>
          <w:rFonts w:eastAsia="MS Mincho" w:cs="Arial" w:ascii="Arial" w:hAnsi="Arial"/>
          <w:sz w:val="22"/>
          <w:szCs w:val="22"/>
          <w:shd w:fill="auto" w:val="clear"/>
        </w:rPr>
        <w:t>10 de junho de 2024.</w:t>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jc w:val="center"/>
        <w:rPr>
          <w:rFonts w:ascii="Arial" w:hAnsi="Arial" w:cs="Arial"/>
          <w:sz w:val="22"/>
          <w:szCs w:val="22"/>
        </w:rPr>
      </w:pPr>
      <w:r>
        <w:rPr>
          <w:rFonts w:cs="Arial" w:ascii="Arial" w:hAnsi="Arial"/>
          <w:b/>
          <w:bCs/>
          <w:sz w:val="22"/>
          <w:szCs w:val="22"/>
        </w:rPr>
        <w:t>HERMÍNIO GEROMEL JUNIOR</w:t>
      </w:r>
    </w:p>
    <w:p>
      <w:pPr>
        <w:pStyle w:val="Normal"/>
        <w:spacing w:lineRule="auto" w:line="360"/>
        <w:jc w:val="center"/>
        <w:rPr>
          <w:rFonts w:ascii="Arial" w:hAnsi="Arial" w:cs="Arial"/>
          <w:sz w:val="22"/>
          <w:szCs w:val="22"/>
        </w:rPr>
      </w:pPr>
      <w:r>
        <w:rPr>
          <w:rFonts w:cs="Arial" w:ascii="Arial" w:hAnsi="Arial"/>
          <w:b/>
          <w:bCs/>
          <w:sz w:val="22"/>
          <w:szCs w:val="22"/>
        </w:rPr>
        <w:t>Secretário Municipal de Meio Ambiente e Agricultura</w:t>
      </w:r>
    </w:p>
    <w:p>
      <w:pPr>
        <w:pStyle w:val="Normal"/>
        <w:spacing w:lineRule="auto" w:line="360"/>
        <w:rPr>
          <w:rFonts w:ascii="Arial" w:hAnsi="Arial" w:eastAsia="MS Mincho" w:cs="Arial"/>
          <w:sz w:val="22"/>
          <w:szCs w:val="22"/>
        </w:rPr>
      </w:pPr>
      <w:r>
        <w:rPr>
          <w:rFonts w:eastAsia="MS Mincho" w:cs="Arial" w:ascii="Arial" w:hAnsi="Arial"/>
          <w:sz w:val="22"/>
          <w:szCs w:val="22"/>
        </w:rPr>
      </w:r>
    </w:p>
    <w:p>
      <w:pPr>
        <w:pStyle w:val="Normal"/>
        <w:spacing w:lineRule="auto" w:line="360"/>
        <w:ind w:right="-54" w:hanging="0"/>
        <w:jc w:val="center"/>
        <w:rPr>
          <w:rFonts w:ascii="Arial" w:hAnsi="Arial" w:cs="Arial"/>
          <w:b/>
          <w:b/>
          <w:bCs/>
          <w:sz w:val="22"/>
          <w:szCs w:val="22"/>
          <w:lang w:val="fr-FR"/>
        </w:rPr>
      </w:pPr>
      <w:r>
        <w:rPr>
          <w:rFonts w:cs="Arial" w:ascii="Arial" w:hAnsi="Arial"/>
          <w:b/>
          <w:bCs/>
          <w:sz w:val="22"/>
          <w:szCs w:val="22"/>
          <w:lang w:val="fr-FR"/>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ivel2"/>
        <w:numPr>
          <w:ilvl w:val="0"/>
          <w:numId w:val="0"/>
        </w:numPr>
        <w:spacing w:lineRule="auto" w:line="360" w:before="0" w:after="0"/>
        <w:ind w:left="0" w:hanging="0"/>
        <w:rPr>
          <w:color w:val="auto"/>
          <w:sz w:val="22"/>
          <w:szCs w:val="22"/>
        </w:rPr>
      </w:pPr>
      <w:r>
        <w:rPr>
          <w:color w:val="auto"/>
          <w:sz w:val="22"/>
          <w:szCs w:val="22"/>
        </w:rPr>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sz w:val="22"/>
          <w:szCs w:val="22"/>
        </w:rPr>
      </w:pPr>
      <w:r>
        <w:rPr>
          <w:rFonts w:cs="Arial" w:ascii="Arial" w:hAnsi="Arial"/>
          <w:b/>
          <w:bCs/>
          <w:sz w:val="22"/>
          <w:szCs w:val="22"/>
        </w:rPr>
        <w:t>ANEXO I</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r>
    </w:p>
    <w:p>
      <w:pPr>
        <w:pStyle w:val="Normal"/>
        <w:spacing w:lineRule="auto" w:line="360"/>
        <w:ind w:right="-57" w:hanging="0"/>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sz w:val="22"/>
          <w:szCs w:val="22"/>
        </w:rPr>
      </w:pPr>
      <w:r>
        <w:rPr>
          <w:rFonts w:cs="Arial" w:ascii="Arial" w:hAnsi="Arial"/>
          <w:b/>
          <w:bCs/>
          <w:sz w:val="22"/>
          <w:szCs w:val="22"/>
        </w:rPr>
        <w:t>PREGÃO ELETRÔNICO nº 40/2024</w:t>
      </w:r>
    </w:p>
    <w:p>
      <w:pPr>
        <w:pStyle w:val="Normal"/>
        <w:spacing w:lineRule="auto" w:line="360"/>
        <w:ind w:right="-57" w:hanging="0"/>
        <w:jc w:val="both"/>
        <w:rPr>
          <w:rFonts w:ascii="Arial" w:hAnsi="Arial" w:cs="Arial"/>
          <w:sz w:val="22"/>
          <w:szCs w:val="22"/>
        </w:rPr>
      </w:pPr>
      <w:r>
        <w:rPr>
          <w:rFonts w:cs="Arial" w:ascii="Arial" w:hAnsi="Arial"/>
          <w:b/>
          <w:bCs/>
          <w:sz w:val="22"/>
          <w:szCs w:val="22"/>
        </w:rPr>
        <w:t>Processo nº 3098/2024</w:t>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Standard"/>
        <w:pBdr>
          <w:top w:val="single" w:sz="4" w:space="1" w:color="000000"/>
          <w:left w:val="single" w:sz="4" w:space="4" w:color="000000"/>
          <w:bottom w:val="single" w:sz="4" w:space="1" w:color="000000"/>
          <w:right w:val="single" w:sz="4" w:space="4" w:color="000000"/>
        </w:pBdr>
        <w:spacing w:lineRule="auto" w:line="360"/>
        <w:jc w:val="center"/>
        <w:rPr>
          <w:sz w:val="22"/>
          <w:szCs w:val="22"/>
        </w:rPr>
      </w:pPr>
      <w:r>
        <w:rPr>
          <w:rStyle w:val="Strong"/>
          <w:sz w:val="22"/>
          <w:szCs w:val="22"/>
        </w:rPr>
        <w:t>TERMO DE REFERÊNCIA</w:t>
      </w:r>
    </w:p>
    <w:p>
      <w:pPr>
        <w:pStyle w:val="Standard"/>
        <w:spacing w:lineRule="auto" w:line="360"/>
        <w:jc w:val="both"/>
        <w:rPr>
          <w:b/>
          <w:b/>
          <w:caps/>
          <w:sz w:val="22"/>
          <w:szCs w:val="22"/>
        </w:rPr>
      </w:pPr>
      <w:r>
        <w:rPr>
          <w:b/>
          <w:caps/>
          <w:sz w:val="22"/>
          <w:szCs w:val="22"/>
        </w:rPr>
      </w:r>
    </w:p>
    <w:p>
      <w:pPr>
        <w:pStyle w:val="Standard"/>
        <w:spacing w:lineRule="auto" w:line="360"/>
        <w:jc w:val="both"/>
        <w:rPr>
          <w:b/>
          <w:b/>
          <w:caps/>
          <w:sz w:val="22"/>
          <w:szCs w:val="22"/>
        </w:rPr>
      </w:pPr>
      <w:r>
        <w:rPr>
          <w:b/>
          <w:caps/>
          <w:sz w:val="22"/>
          <w:szCs w:val="22"/>
        </w:rPr>
        <w:t>I - DESCRIÇÃO DO OBJETO</w:t>
      </w:r>
    </w:p>
    <w:p>
      <w:pPr>
        <w:pStyle w:val="Standard"/>
        <w:spacing w:lineRule="auto" w:line="360"/>
        <w:jc w:val="both"/>
        <w:rPr>
          <w:b/>
          <w:b/>
          <w:bCs/>
          <w:sz w:val="22"/>
          <w:szCs w:val="22"/>
        </w:rPr>
      </w:pPr>
      <w:r>
        <w:rPr>
          <w:rStyle w:val="Strong"/>
          <w:b w:val="false"/>
          <w:bCs w:val="false"/>
          <w:sz w:val="22"/>
          <w:szCs w:val="22"/>
        </w:rPr>
        <w:t>Contratação de empresa especializada visando a prestação dos serviços de coleta, transporte, tratamento e disposição final dos resíduos sólidos de serviços de saúde dos grupos “A”, “B” e “E” gerados no Município de acordo com a Resolução RDC ANVISA nº 222/2018, CONAMA nº 358/05 e CONAMA nº 316/02, com Sistema Informatizado de Pesagem Ponto a Ponto, em regime de empreitada por preço unitário.</w:t>
      </w:r>
    </w:p>
    <w:p>
      <w:pPr>
        <w:pStyle w:val="Standard"/>
        <w:spacing w:lineRule="auto" w:line="360"/>
        <w:jc w:val="both"/>
        <w:rPr>
          <w:sz w:val="22"/>
          <w:szCs w:val="22"/>
        </w:rPr>
      </w:pPr>
      <w:r>
        <w:rPr>
          <w:sz w:val="22"/>
          <w:szCs w:val="22"/>
        </w:rPr>
      </w:r>
    </w:p>
    <w:p>
      <w:pPr>
        <w:pStyle w:val="Standard"/>
        <w:spacing w:lineRule="auto" w:line="360"/>
        <w:jc w:val="both"/>
        <w:rPr>
          <w:rStyle w:val="Strong"/>
          <w:sz w:val="22"/>
          <w:szCs w:val="22"/>
        </w:rPr>
      </w:pPr>
      <w:r>
        <w:rPr>
          <w:rStyle w:val="Strong"/>
          <w:sz w:val="22"/>
          <w:szCs w:val="22"/>
        </w:rPr>
        <w:t>II – ITENS E QUANTITATIVOS</w:t>
      </w:r>
    </w:p>
    <w:p>
      <w:pPr>
        <w:pStyle w:val="Standard"/>
        <w:spacing w:lineRule="auto" w:line="360"/>
        <w:jc w:val="center"/>
        <w:rPr>
          <w:rStyle w:val="Strong"/>
          <w:sz w:val="22"/>
          <w:szCs w:val="22"/>
        </w:rPr>
      </w:pPr>
      <w:r>
        <w:rPr>
          <w:sz w:val="22"/>
          <w:szCs w:val="22"/>
        </w:rPr>
      </w:r>
    </w:p>
    <w:tbl>
      <w:tblPr>
        <w:tblW w:w="8282"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999"/>
        <w:gridCol w:w="2940"/>
        <w:gridCol w:w="857"/>
        <w:gridCol w:w="1018"/>
        <w:gridCol w:w="1247"/>
        <w:gridCol w:w="1220"/>
      </w:tblGrid>
      <w:tr>
        <w:trPr>
          <w:cantSplit w:val="true"/>
        </w:trPr>
        <w:tc>
          <w:tcPr>
            <w:tcW w:w="8281"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b/>
                <w:b/>
                <w:sz w:val="16"/>
                <w:szCs w:val="16"/>
              </w:rPr>
            </w:pPr>
            <w:r>
              <w:rPr>
                <w:rFonts w:cs="Arial" w:ascii="Arial" w:hAnsi="Arial"/>
                <w:b/>
                <w:sz w:val="16"/>
                <w:szCs w:val="16"/>
              </w:rPr>
              <w:t>LOTE 01</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Item</w:t>
            </w:r>
          </w:p>
        </w:tc>
        <w:tc>
          <w:tcPr>
            <w:tcW w:w="294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
                <w:bCs/>
                <w:sz w:val="16"/>
                <w:szCs w:val="16"/>
              </w:rPr>
            </w:pPr>
            <w:r>
              <w:rPr>
                <w:rFonts w:cs="Arial" w:ascii="Arial" w:hAnsi="Arial"/>
                <w:b/>
                <w:bCs/>
                <w:sz w:val="16"/>
                <w:szCs w:val="16"/>
              </w:rPr>
              <w:t>Material</w:t>
            </w:r>
          </w:p>
        </w:tc>
        <w:tc>
          <w:tcPr>
            <w:tcW w:w="85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
                <w:bCs/>
                <w:sz w:val="16"/>
                <w:szCs w:val="16"/>
              </w:rPr>
            </w:pPr>
            <w:r>
              <w:rPr>
                <w:rFonts w:cs="Arial" w:ascii="Arial" w:hAnsi="Arial"/>
                <w:b/>
                <w:bCs/>
                <w:sz w:val="16"/>
                <w:szCs w:val="16"/>
              </w:rPr>
              <w:t>Unidade</w:t>
            </w:r>
          </w:p>
        </w:tc>
        <w:tc>
          <w:tcPr>
            <w:tcW w:w="101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Quantidade</w:t>
            </w:r>
          </w:p>
        </w:tc>
        <w:tc>
          <w:tcPr>
            <w:tcW w:w="124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Preço Unitário</w:t>
            </w:r>
          </w:p>
        </w:tc>
        <w:tc>
          <w:tcPr>
            <w:tcW w:w="122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Preço Total</w:t>
            </w:r>
          </w:p>
        </w:tc>
      </w:tr>
      <w:tr>
        <w:trPr>
          <w:cantSplit w:val="true"/>
        </w:trPr>
        <w:tc>
          <w:tcPr>
            <w:tcW w:w="99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1.1</w:t>
            </w:r>
          </w:p>
        </w:tc>
        <w:tc>
          <w:tcPr>
            <w:tcW w:w="2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b/>
                <w:b/>
                <w:bCs/>
                <w:sz w:val="16"/>
                <w:szCs w:val="16"/>
              </w:rPr>
            </w:pPr>
            <w:r>
              <w:rPr>
                <w:rFonts w:cs="Arial" w:ascii="Arial" w:hAnsi="Arial"/>
                <w:b/>
                <w:bCs/>
                <w:sz w:val="16"/>
                <w:szCs w:val="16"/>
              </w:rPr>
              <w:t>2.03.23.0088-0 - Coleta, transporte, tratamento e disposição final de resíduos sólidos de serviços de saúde grupos A1, A4 e E</w:t>
            </w:r>
          </w:p>
        </w:tc>
        <w:tc>
          <w:tcPr>
            <w:tcW w:w="8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KG</w:t>
            </w:r>
          </w:p>
        </w:tc>
        <w:tc>
          <w:tcPr>
            <w:tcW w:w="10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288.000</w:t>
            </w:r>
          </w:p>
        </w:tc>
        <w:tc>
          <w:tcPr>
            <w:tcW w:w="124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7,02</w:t>
            </w:r>
          </w:p>
        </w:tc>
        <w:tc>
          <w:tcPr>
            <w:tcW w:w="12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2.021.760,00</w:t>
            </w:r>
          </w:p>
        </w:tc>
      </w:tr>
      <w:tr>
        <w:trPr>
          <w:cantSplit w:val="true"/>
        </w:trPr>
        <w:tc>
          <w:tcPr>
            <w:tcW w:w="8281"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6"/>
                <w:szCs w:val="16"/>
              </w:rPr>
            </w:pPr>
            <w:r>
              <w:rPr>
                <w:rFonts w:cs="Arial" w:ascii="Arial" w:hAnsi="Arial"/>
                <w:sz w:val="16"/>
                <w:szCs w:val="16"/>
              </w:rPr>
              <w:t>Coleta, transporte, tratamento e disposição final de resíduos sólidos de serviços de saúde grupos A1, A4 e E</w:t>
            </w:r>
          </w:p>
          <w:p>
            <w:pPr>
              <w:pStyle w:val="Normal"/>
              <w:widowControl w:val="false"/>
              <w:rPr>
                <w:rFonts w:ascii="Arial" w:hAnsi="Arial" w:cs="Arial"/>
                <w:sz w:val="16"/>
                <w:szCs w:val="16"/>
              </w:rPr>
            </w:pPr>
            <w:r>
              <w:rPr>
                <w:rFonts w:cs="Arial" w:ascii="Arial" w:hAnsi="Arial"/>
                <w:sz w:val="16"/>
                <w:szCs w:val="16"/>
              </w:rPr>
              <w:t xml:space="preserve">Quantidade mensal 12.000 kg - estimado 24 meses </w:t>
            </w:r>
          </w:p>
        </w:tc>
      </w:tr>
      <w:tr>
        <w:trPr>
          <w:cantSplit w:val="true"/>
        </w:trPr>
        <w:tc>
          <w:tcPr>
            <w:tcW w:w="99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1.2</w:t>
            </w:r>
          </w:p>
        </w:tc>
        <w:tc>
          <w:tcPr>
            <w:tcW w:w="2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b/>
                <w:b/>
                <w:bCs/>
                <w:sz w:val="16"/>
                <w:szCs w:val="16"/>
              </w:rPr>
            </w:pPr>
            <w:r>
              <w:rPr>
                <w:rFonts w:cs="Arial" w:ascii="Arial" w:hAnsi="Arial"/>
                <w:b/>
                <w:bCs/>
                <w:sz w:val="16"/>
                <w:szCs w:val="16"/>
              </w:rPr>
              <w:t>2.03.23.0089-8 - Coleta, transporte, tratamento e disposição final de resíduos sólidos de serviços de saúde grupo A2</w:t>
            </w:r>
          </w:p>
        </w:tc>
        <w:tc>
          <w:tcPr>
            <w:tcW w:w="8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KG</w:t>
            </w:r>
          </w:p>
        </w:tc>
        <w:tc>
          <w:tcPr>
            <w:tcW w:w="10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54.000</w:t>
            </w:r>
          </w:p>
        </w:tc>
        <w:tc>
          <w:tcPr>
            <w:tcW w:w="124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7,66</w:t>
            </w:r>
          </w:p>
        </w:tc>
        <w:tc>
          <w:tcPr>
            <w:tcW w:w="12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413.640,00</w:t>
            </w:r>
          </w:p>
        </w:tc>
      </w:tr>
      <w:tr>
        <w:trPr>
          <w:cantSplit w:val="true"/>
        </w:trPr>
        <w:tc>
          <w:tcPr>
            <w:tcW w:w="8281"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6"/>
                <w:szCs w:val="16"/>
              </w:rPr>
            </w:pPr>
            <w:r>
              <w:rPr>
                <w:rFonts w:cs="Arial" w:ascii="Arial" w:hAnsi="Arial"/>
                <w:sz w:val="16"/>
                <w:szCs w:val="16"/>
              </w:rPr>
              <w:t>Coleta, transporte, tratamento e disposição final de resíduos sólidos de serviços de saúde grupo A2</w:t>
            </w:r>
          </w:p>
          <w:p>
            <w:pPr>
              <w:pStyle w:val="Normal"/>
              <w:widowControl w:val="false"/>
              <w:rPr>
                <w:rFonts w:ascii="Arial" w:hAnsi="Arial" w:cs="Arial"/>
                <w:sz w:val="16"/>
                <w:szCs w:val="16"/>
              </w:rPr>
            </w:pPr>
            <w:r>
              <w:rPr>
                <w:rFonts w:cs="Arial" w:ascii="Arial" w:hAnsi="Arial"/>
                <w:sz w:val="16"/>
                <w:szCs w:val="16"/>
              </w:rPr>
              <w:t xml:space="preserve"> </w:t>
            </w:r>
            <w:r>
              <w:rPr>
                <w:rFonts w:cs="Arial" w:ascii="Arial" w:hAnsi="Arial"/>
                <w:sz w:val="16"/>
                <w:szCs w:val="16"/>
              </w:rPr>
              <w:t xml:space="preserve">Quantidade mensal 2.250kg - estimado 24 meses. </w:t>
            </w:r>
          </w:p>
        </w:tc>
      </w:tr>
      <w:tr>
        <w:trPr>
          <w:cantSplit w:val="true"/>
        </w:trPr>
        <w:tc>
          <w:tcPr>
            <w:tcW w:w="99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1.3</w:t>
            </w:r>
          </w:p>
        </w:tc>
        <w:tc>
          <w:tcPr>
            <w:tcW w:w="2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b/>
                <w:b/>
                <w:bCs/>
                <w:sz w:val="16"/>
                <w:szCs w:val="16"/>
              </w:rPr>
            </w:pPr>
            <w:r>
              <w:rPr>
                <w:rFonts w:cs="Arial" w:ascii="Arial" w:hAnsi="Arial"/>
                <w:b/>
                <w:bCs/>
                <w:sz w:val="16"/>
                <w:szCs w:val="16"/>
              </w:rPr>
              <w:t>2.03.23.0090-1 - Coleta, transporte, tratamento e disposição final de resíduos sólidos de serviços de saúde grupos A3, A5 e B.</w:t>
            </w:r>
          </w:p>
        </w:tc>
        <w:tc>
          <w:tcPr>
            <w:tcW w:w="8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KG</w:t>
            </w:r>
          </w:p>
        </w:tc>
        <w:tc>
          <w:tcPr>
            <w:tcW w:w="10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18.000</w:t>
            </w:r>
          </w:p>
        </w:tc>
        <w:tc>
          <w:tcPr>
            <w:tcW w:w="124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8,40</w:t>
            </w:r>
          </w:p>
        </w:tc>
        <w:tc>
          <w:tcPr>
            <w:tcW w:w="12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151.200,00</w:t>
            </w:r>
          </w:p>
        </w:tc>
      </w:tr>
      <w:tr>
        <w:trPr>
          <w:cantSplit w:val="true"/>
        </w:trPr>
        <w:tc>
          <w:tcPr>
            <w:tcW w:w="8281"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6"/>
                <w:szCs w:val="16"/>
              </w:rPr>
            </w:pPr>
            <w:r>
              <w:rPr>
                <w:rFonts w:cs="Arial" w:ascii="Arial" w:hAnsi="Arial"/>
                <w:sz w:val="16"/>
                <w:szCs w:val="16"/>
              </w:rPr>
              <w:t>Coleta, transporte, tratamento e disposição final de resíduos sólidos de serviços de saúde grupos A3, A5 e B.</w:t>
            </w:r>
          </w:p>
          <w:p>
            <w:pPr>
              <w:pStyle w:val="Normal"/>
              <w:widowControl w:val="false"/>
              <w:rPr>
                <w:rFonts w:ascii="Arial" w:hAnsi="Arial" w:cs="Arial"/>
                <w:sz w:val="16"/>
                <w:szCs w:val="16"/>
              </w:rPr>
            </w:pPr>
            <w:r>
              <w:rPr>
                <w:rFonts w:cs="Arial" w:ascii="Arial" w:hAnsi="Arial"/>
                <w:sz w:val="16"/>
                <w:szCs w:val="16"/>
              </w:rPr>
              <w:t>Quantidade mensal 750Kg - estimado 24 meses</w:t>
            </w:r>
          </w:p>
        </w:tc>
      </w:tr>
      <w:tr>
        <w:trPr>
          <w:cantSplit w:val="true"/>
        </w:trPr>
        <w:tc>
          <w:tcPr>
            <w:tcW w:w="8281"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right"/>
              <w:rPr>
                <w:rFonts w:ascii="Arial" w:hAnsi="Arial" w:cs="Arial"/>
                <w:b/>
                <w:b/>
                <w:bCs/>
                <w:sz w:val="16"/>
                <w:szCs w:val="16"/>
              </w:rPr>
            </w:pPr>
            <w:r>
              <w:rPr>
                <w:rFonts w:cs="Arial" w:ascii="Arial" w:hAnsi="Arial"/>
                <w:b/>
                <w:bCs/>
                <w:sz w:val="16"/>
                <w:szCs w:val="16"/>
              </w:rPr>
              <w:t>VALOR TOTAL DO LOTE 01 – R$ 2.586.600,00</w:t>
            </w:r>
          </w:p>
        </w:tc>
      </w:tr>
    </w:tbl>
    <w:p>
      <w:pPr>
        <w:pStyle w:val="Standard"/>
        <w:spacing w:lineRule="auto" w:line="360"/>
        <w:jc w:val="both"/>
        <w:rPr>
          <w:sz w:val="22"/>
          <w:szCs w:val="22"/>
        </w:rPr>
      </w:pPr>
      <w:r>
        <w:rPr>
          <w:sz w:val="22"/>
          <w:szCs w:val="22"/>
        </w:rPr>
      </w:r>
    </w:p>
    <w:p>
      <w:pPr>
        <w:pStyle w:val="Standard"/>
        <w:spacing w:lineRule="auto" w:line="360"/>
        <w:jc w:val="both"/>
        <w:rPr>
          <w:sz w:val="22"/>
          <w:szCs w:val="22"/>
        </w:rPr>
      </w:pPr>
      <w:r>
        <w:rPr>
          <w:sz w:val="22"/>
          <w:szCs w:val="22"/>
        </w:rPr>
      </w:r>
    </w:p>
    <w:p>
      <w:pPr>
        <w:pStyle w:val="Standard"/>
        <w:spacing w:lineRule="auto" w:line="360"/>
        <w:jc w:val="both"/>
        <w:rPr>
          <w:b/>
          <w:b/>
          <w:bCs/>
          <w:sz w:val="22"/>
          <w:szCs w:val="22"/>
        </w:rPr>
      </w:pPr>
      <w:r>
        <w:rPr>
          <w:b/>
          <w:bCs/>
          <w:sz w:val="22"/>
          <w:szCs w:val="22"/>
        </w:rPr>
        <w:t>III - CLASSIFICAÇÃO DOS RESÍDUOS DE SERVIÇOS DE SAÚDE</w:t>
      </w:r>
    </w:p>
    <w:p>
      <w:pPr>
        <w:pStyle w:val="Standard"/>
        <w:spacing w:lineRule="auto" w:line="360"/>
        <w:jc w:val="both"/>
        <w:rPr>
          <w:sz w:val="22"/>
          <w:szCs w:val="22"/>
        </w:rPr>
      </w:pPr>
      <w:r>
        <w:rPr>
          <w:sz w:val="22"/>
          <w:szCs w:val="22"/>
        </w:rPr>
        <w:t>Para fins de atendimento ao objeto licitado, as classificações adotadas para os Resíduos de Serviços de Saúde são as definidas pela Resolução CONAMA nº 358/05 e pela RDC ANVISA nº 222/18, cujo teor dos grupos a serem atendidos define-se:</w:t>
      </w:r>
    </w:p>
    <w:p>
      <w:pPr>
        <w:pStyle w:val="Standard"/>
        <w:spacing w:lineRule="auto" w:line="360"/>
        <w:jc w:val="both"/>
        <w:rPr>
          <w:sz w:val="22"/>
          <w:szCs w:val="22"/>
        </w:rPr>
      </w:pPr>
      <w:r>
        <w:rPr>
          <w:sz w:val="22"/>
          <w:szCs w:val="22"/>
        </w:rPr>
      </w:r>
    </w:p>
    <w:p>
      <w:pPr>
        <w:pStyle w:val="Standard"/>
        <w:spacing w:lineRule="auto" w:line="360"/>
        <w:jc w:val="both"/>
        <w:rPr>
          <w:b/>
          <w:b/>
          <w:bCs/>
          <w:sz w:val="22"/>
          <w:szCs w:val="22"/>
        </w:rPr>
      </w:pPr>
      <w:r>
        <w:rPr>
          <w:b/>
          <w:bCs/>
          <w:sz w:val="22"/>
          <w:szCs w:val="22"/>
        </w:rPr>
        <w:t>3.1 - GRUPO A</w:t>
      </w:r>
    </w:p>
    <w:p>
      <w:pPr>
        <w:pStyle w:val="Standard"/>
        <w:spacing w:lineRule="auto" w:line="360"/>
        <w:jc w:val="both"/>
        <w:rPr>
          <w:sz w:val="22"/>
          <w:szCs w:val="22"/>
        </w:rPr>
      </w:pPr>
      <w:r>
        <w:rPr>
          <w:sz w:val="22"/>
          <w:szCs w:val="22"/>
        </w:rPr>
        <w:t>Resíduos com a possível presença de agentes biológicos que, por suas características, podem apresentar risco de infecção.</w:t>
      </w:r>
    </w:p>
    <w:p>
      <w:pPr>
        <w:pStyle w:val="Standard"/>
        <w:spacing w:lineRule="auto" w:line="360"/>
        <w:jc w:val="both"/>
        <w:rPr>
          <w:b/>
          <w:b/>
          <w:bCs/>
          <w:sz w:val="22"/>
          <w:szCs w:val="22"/>
        </w:rPr>
      </w:pPr>
      <w:r>
        <w:rPr>
          <w:b/>
          <w:bCs/>
          <w:sz w:val="22"/>
          <w:szCs w:val="22"/>
        </w:rPr>
        <w:t>&gt; A1</w:t>
      </w:r>
    </w:p>
    <w:p>
      <w:pPr>
        <w:pStyle w:val="Standard"/>
        <w:numPr>
          <w:ilvl w:val="0"/>
          <w:numId w:val="14"/>
        </w:numPr>
        <w:spacing w:lineRule="auto" w:line="360" w:before="0" w:after="200"/>
        <w:jc w:val="both"/>
        <w:rPr>
          <w:sz w:val="22"/>
          <w:szCs w:val="22"/>
        </w:rPr>
      </w:pPr>
      <w:r>
        <w:rPr>
          <w:sz w:val="22"/>
          <w:szCs w:val="22"/>
        </w:rPr>
        <w:t>Culturas e estoques de micro-organismos; resíduos de fabricação de produtos biológicos, exceto os medicamentos hemoderivados; descarte de vacinas de microrganismos vivos, atenuados ou inativados; meios de cultura e instrumentais utilizados para transferência, inoculação ou mistura de culturas; resíduos de laboratórios de manipulação genética.</w:t>
      </w:r>
    </w:p>
    <w:p>
      <w:pPr>
        <w:pStyle w:val="Standard"/>
        <w:numPr>
          <w:ilvl w:val="0"/>
          <w:numId w:val="14"/>
        </w:numPr>
        <w:spacing w:lineRule="auto" w:line="360" w:before="0" w:after="200"/>
        <w:jc w:val="both"/>
        <w:rPr>
          <w:sz w:val="22"/>
          <w:szCs w:val="22"/>
        </w:rPr>
      </w:pPr>
      <w:r>
        <w:rPr>
          <w:sz w:val="22"/>
          <w:szCs w:val="22"/>
        </w:rPr>
        <w:t>Resíduos resultantes da atividade de ensino e pesquisa ou atenção à saúde de indivíduos ou animais, com suspeita ou certeza de contaminação biológica por agentes classe de risco 4, microrganismos com relevância epidemiológica e risco de disseminação ou causador de doença emergente que se torne epidemiologicamente importante ou cujo mecanismo de transmissão seja desconhecido.</w:t>
      </w:r>
    </w:p>
    <w:p>
      <w:pPr>
        <w:pStyle w:val="Standard"/>
        <w:numPr>
          <w:ilvl w:val="0"/>
          <w:numId w:val="14"/>
        </w:numPr>
        <w:spacing w:lineRule="auto" w:line="360" w:before="0" w:after="200"/>
        <w:jc w:val="both"/>
        <w:rPr>
          <w:sz w:val="22"/>
          <w:szCs w:val="22"/>
        </w:rPr>
      </w:pPr>
      <w:r>
        <w:rPr>
          <w:sz w:val="22"/>
          <w:szCs w:val="22"/>
        </w:rPr>
        <w:t>Bolsas transfusionais contendo sangue ou hemocomponentes rejeitadas por contaminação ou por má conservação, ou com prazo de validade vencido, e aquelas oriundas de coleta incompleta.</w:t>
      </w:r>
    </w:p>
    <w:p>
      <w:pPr>
        <w:pStyle w:val="Standard"/>
        <w:numPr>
          <w:ilvl w:val="0"/>
          <w:numId w:val="14"/>
        </w:numPr>
        <w:spacing w:lineRule="auto" w:line="360" w:before="0" w:after="200"/>
        <w:jc w:val="both"/>
        <w:rPr>
          <w:sz w:val="22"/>
          <w:szCs w:val="22"/>
        </w:rPr>
      </w:pPr>
      <w:r>
        <w:rPr>
          <w:sz w:val="22"/>
          <w:szCs w:val="22"/>
        </w:rPr>
        <w:t>Sobras de amostras de laboratório contendo sangue ou líquidos corpóreos, recipientes e materiais resultantes do processo de assistência à saúde, contendo sangue ou líquidos corpóreos na forma livre.</w:t>
      </w:r>
    </w:p>
    <w:p>
      <w:pPr>
        <w:pStyle w:val="Standard"/>
        <w:spacing w:lineRule="auto" w:line="360"/>
        <w:jc w:val="both"/>
        <w:rPr>
          <w:b/>
          <w:b/>
          <w:bCs/>
          <w:sz w:val="22"/>
          <w:szCs w:val="22"/>
        </w:rPr>
      </w:pPr>
      <w:r>
        <w:rPr>
          <w:b/>
          <w:bCs/>
          <w:sz w:val="22"/>
          <w:szCs w:val="22"/>
        </w:rPr>
        <w:t>&gt; A2</w:t>
      </w:r>
    </w:p>
    <w:p>
      <w:pPr>
        <w:pStyle w:val="Standard"/>
        <w:numPr>
          <w:ilvl w:val="0"/>
          <w:numId w:val="15"/>
        </w:numPr>
        <w:spacing w:lineRule="auto" w:line="360" w:before="0" w:after="200"/>
        <w:jc w:val="both"/>
        <w:rPr>
          <w:sz w:val="22"/>
          <w:szCs w:val="22"/>
        </w:rPr>
      </w:pPr>
      <w:r>
        <w:rPr>
          <w:sz w:val="22"/>
          <w:szCs w:val="22"/>
        </w:rPr>
        <w:t>Carcaças, peças anatômicas, vísceras e outros resíduos provenientes de animais submetidos a processos de experimentação com inoculação de microrganismos, bem como suas forrações, e os cadáveres de animais suspeitos de serem portadores de microrganismos de relevância epidemiológica e com risco de disseminação, que foram submetidos ou não a estudo anatomopatológico ou confirmação diagnóstica.</w:t>
      </w:r>
    </w:p>
    <w:p>
      <w:pPr>
        <w:pStyle w:val="Standard"/>
        <w:spacing w:lineRule="auto" w:line="360"/>
        <w:jc w:val="both"/>
        <w:rPr>
          <w:b/>
          <w:b/>
          <w:bCs/>
          <w:sz w:val="22"/>
          <w:szCs w:val="22"/>
        </w:rPr>
      </w:pPr>
      <w:r>
        <w:rPr>
          <w:b/>
          <w:bCs/>
          <w:sz w:val="22"/>
          <w:szCs w:val="22"/>
        </w:rPr>
        <w:t>&gt; A3 .</w:t>
      </w:r>
    </w:p>
    <w:p>
      <w:pPr>
        <w:pStyle w:val="Standard"/>
        <w:numPr>
          <w:ilvl w:val="0"/>
          <w:numId w:val="15"/>
        </w:numPr>
        <w:spacing w:lineRule="auto" w:line="360" w:before="0" w:after="200"/>
        <w:jc w:val="both"/>
        <w:rPr>
          <w:sz w:val="22"/>
          <w:szCs w:val="22"/>
        </w:rPr>
      </w:pPr>
      <w:r>
        <w:rPr>
          <w:sz w:val="22"/>
          <w:szCs w:val="22"/>
        </w:rPr>
        <w:t>Peças anatômicas (membros) do ser humano; produto de fecundação sem sinais vitais, com peso menor que 500 gramas ou estatura menor que 25 centímetros ou idade gestacional menor que 20 semanas, que não tenham valor científico ou legal e não tenha havido requisição pelo paciente ou seus familiares.</w:t>
      </w:r>
    </w:p>
    <w:p>
      <w:pPr>
        <w:pStyle w:val="Standard"/>
        <w:spacing w:lineRule="auto" w:line="360"/>
        <w:jc w:val="both"/>
        <w:rPr>
          <w:b/>
          <w:b/>
          <w:bCs/>
          <w:sz w:val="22"/>
          <w:szCs w:val="22"/>
        </w:rPr>
      </w:pPr>
      <w:r>
        <w:rPr>
          <w:b/>
          <w:bCs/>
          <w:sz w:val="22"/>
          <w:szCs w:val="22"/>
        </w:rPr>
        <w:t>&gt; A4 .</w:t>
      </w:r>
    </w:p>
    <w:p>
      <w:pPr>
        <w:pStyle w:val="Standard"/>
        <w:numPr>
          <w:ilvl w:val="0"/>
          <w:numId w:val="15"/>
        </w:numPr>
        <w:spacing w:lineRule="auto" w:line="360" w:before="0" w:after="200"/>
        <w:jc w:val="both"/>
        <w:rPr>
          <w:sz w:val="22"/>
          <w:szCs w:val="22"/>
        </w:rPr>
      </w:pPr>
      <w:r>
        <w:rPr>
          <w:sz w:val="22"/>
          <w:szCs w:val="22"/>
        </w:rPr>
        <w:t>Kits de linhas arteriais, endovenosas e dialisadores, quando descartados.</w:t>
      </w:r>
    </w:p>
    <w:p>
      <w:pPr>
        <w:pStyle w:val="Standard"/>
        <w:numPr>
          <w:ilvl w:val="0"/>
          <w:numId w:val="15"/>
        </w:numPr>
        <w:spacing w:lineRule="auto" w:line="360" w:before="0" w:after="200"/>
        <w:jc w:val="both"/>
        <w:rPr>
          <w:sz w:val="22"/>
          <w:szCs w:val="22"/>
        </w:rPr>
      </w:pPr>
      <w:r>
        <w:rPr>
          <w:sz w:val="22"/>
          <w:szCs w:val="22"/>
        </w:rPr>
        <w:t>Filtros de ar e gases aspirados de área contaminada; membrana filtrante de equipamento médico-hospitalar e de pesquisa, entre outros similares.</w:t>
      </w:r>
    </w:p>
    <w:p>
      <w:pPr>
        <w:pStyle w:val="Standard"/>
        <w:numPr>
          <w:ilvl w:val="0"/>
          <w:numId w:val="15"/>
        </w:numPr>
        <w:spacing w:lineRule="auto" w:line="360" w:before="0" w:after="200"/>
        <w:jc w:val="both"/>
        <w:rPr>
          <w:sz w:val="22"/>
          <w:szCs w:val="22"/>
        </w:rPr>
      </w:pPr>
      <w:r>
        <w:rPr>
          <w:sz w:val="22"/>
          <w:szCs w:val="22"/>
        </w:rPr>
        <w:t>Sobras de amostras de laboratório e seus recipientes contendo fezes, urina e secreções, provenientes de pacientes que não contenham e nem sejam suspeitos de conter agentes classe de risco 4, e nem apresentem relevância epidemiológica e risco de disseminação, ou microrganismo causador de doença emergente que se torne epidemiologicamente importante ou cujo mecanismo de transmissão seja desconhecido ou com suspeita de contaminação com príons.</w:t>
      </w:r>
    </w:p>
    <w:p>
      <w:pPr>
        <w:pStyle w:val="Standard"/>
        <w:numPr>
          <w:ilvl w:val="0"/>
          <w:numId w:val="15"/>
        </w:numPr>
        <w:spacing w:lineRule="auto" w:line="360" w:before="0" w:after="200"/>
        <w:jc w:val="both"/>
        <w:rPr>
          <w:sz w:val="22"/>
          <w:szCs w:val="22"/>
        </w:rPr>
      </w:pPr>
      <w:r>
        <w:rPr>
          <w:sz w:val="22"/>
          <w:szCs w:val="22"/>
        </w:rPr>
        <w:t>Resíduos de tecido adiposo proveniente de lipoaspiração, lipoescultura ou outro procedimento de cirurgia plástica que gere este tipo de resíduo.</w:t>
      </w:r>
    </w:p>
    <w:p>
      <w:pPr>
        <w:pStyle w:val="Standard"/>
        <w:numPr>
          <w:ilvl w:val="0"/>
          <w:numId w:val="15"/>
        </w:numPr>
        <w:spacing w:lineRule="auto" w:line="360" w:before="0" w:after="200"/>
        <w:jc w:val="both"/>
        <w:rPr>
          <w:sz w:val="22"/>
          <w:szCs w:val="22"/>
        </w:rPr>
      </w:pPr>
      <w:r>
        <w:rPr>
          <w:sz w:val="22"/>
          <w:szCs w:val="22"/>
        </w:rPr>
        <w:t>Recipientes e materiais resultantes do processo de assistência à saúde, que não contenha sangue ou líquidos corpóreos na forma livre.</w:t>
      </w:r>
    </w:p>
    <w:p>
      <w:pPr>
        <w:pStyle w:val="Standard"/>
        <w:numPr>
          <w:ilvl w:val="0"/>
          <w:numId w:val="15"/>
        </w:numPr>
        <w:spacing w:lineRule="auto" w:line="360" w:before="0" w:after="200"/>
        <w:jc w:val="both"/>
        <w:rPr>
          <w:sz w:val="22"/>
          <w:szCs w:val="22"/>
        </w:rPr>
      </w:pPr>
      <w:r>
        <w:rPr>
          <w:sz w:val="22"/>
          <w:szCs w:val="22"/>
        </w:rPr>
        <w:t>Peças anatômicas (órgãos e tecidos), incluindo a placenta, e outros resíduos provenientes de procedimentos cirúrgicos ou de estudos anatomopatológicos ou de confirmação diagnóstica.</w:t>
      </w:r>
    </w:p>
    <w:p>
      <w:pPr>
        <w:pStyle w:val="Standard"/>
        <w:numPr>
          <w:ilvl w:val="0"/>
          <w:numId w:val="15"/>
        </w:numPr>
        <w:spacing w:lineRule="auto" w:line="360" w:before="0" w:after="200"/>
        <w:jc w:val="both"/>
        <w:rPr>
          <w:sz w:val="22"/>
          <w:szCs w:val="22"/>
        </w:rPr>
      </w:pPr>
      <w:r>
        <w:rPr>
          <w:sz w:val="22"/>
          <w:szCs w:val="22"/>
        </w:rPr>
        <w:t>Cadáveres, carcaças, peças anatômicas, vísceras e outros resíduos provenientes de animais não submetidos a processos de experimentação com inoculação de microrganismos.</w:t>
      </w:r>
    </w:p>
    <w:p>
      <w:pPr>
        <w:pStyle w:val="Standard"/>
        <w:numPr>
          <w:ilvl w:val="0"/>
          <w:numId w:val="15"/>
        </w:numPr>
        <w:spacing w:lineRule="auto" w:line="360" w:before="0" w:after="200"/>
        <w:jc w:val="both"/>
        <w:rPr>
          <w:sz w:val="22"/>
          <w:szCs w:val="22"/>
        </w:rPr>
      </w:pPr>
      <w:r>
        <w:rPr>
          <w:sz w:val="22"/>
          <w:szCs w:val="22"/>
        </w:rPr>
        <w:t>Bolsas transfusionais vazias ou com volume residual pós-transfusão.</w:t>
      </w:r>
    </w:p>
    <w:p>
      <w:pPr>
        <w:pStyle w:val="Standard"/>
        <w:spacing w:lineRule="auto" w:line="360"/>
        <w:jc w:val="both"/>
        <w:rPr>
          <w:b/>
          <w:b/>
          <w:bCs/>
          <w:sz w:val="22"/>
          <w:szCs w:val="22"/>
        </w:rPr>
      </w:pPr>
      <w:r>
        <w:rPr>
          <w:b/>
          <w:bCs/>
          <w:sz w:val="22"/>
          <w:szCs w:val="22"/>
        </w:rPr>
        <w:t>&gt; A5 .</w:t>
      </w:r>
    </w:p>
    <w:p>
      <w:pPr>
        <w:pStyle w:val="Standard"/>
        <w:numPr>
          <w:ilvl w:val="0"/>
          <w:numId w:val="16"/>
        </w:numPr>
        <w:spacing w:lineRule="auto" w:line="360"/>
        <w:jc w:val="both"/>
        <w:rPr>
          <w:sz w:val="22"/>
          <w:szCs w:val="22"/>
        </w:rPr>
      </w:pPr>
      <w:r>
        <w:rPr>
          <w:sz w:val="22"/>
          <w:szCs w:val="22"/>
        </w:rPr>
        <w:t>Órgãos, tecidos e fluidos orgânicos de alta infectividade para príons, de casos suspeitos ou confirmados, bem como quaisquer materiais resultantes da atenção à saúde de indivíduos ou animais, suspeitos ou confirmados, e que tiveram contato com órgãos, tecidos e fluidos de alta infectividade para príons.</w:t>
      </w:r>
    </w:p>
    <w:p>
      <w:pPr>
        <w:pStyle w:val="Standard"/>
        <w:numPr>
          <w:ilvl w:val="0"/>
          <w:numId w:val="16"/>
        </w:numPr>
        <w:spacing w:lineRule="auto" w:line="360" w:before="0" w:after="200"/>
        <w:jc w:val="both"/>
        <w:rPr>
          <w:sz w:val="22"/>
          <w:szCs w:val="22"/>
        </w:rPr>
      </w:pPr>
      <w:r>
        <w:rPr>
          <w:sz w:val="22"/>
          <w:szCs w:val="22"/>
        </w:rPr>
        <w:t>Tecidos de alta infectividade para príons são aqueles assim definidos em documentos oficiais pelos órgãos sanitários competentes.</w:t>
      </w:r>
    </w:p>
    <w:p>
      <w:pPr>
        <w:pStyle w:val="Standard"/>
        <w:spacing w:lineRule="auto" w:line="360"/>
        <w:jc w:val="both"/>
        <w:rPr>
          <w:sz w:val="22"/>
          <w:szCs w:val="22"/>
        </w:rPr>
      </w:pPr>
      <w:r>
        <w:rPr>
          <w:sz w:val="22"/>
          <w:szCs w:val="22"/>
        </w:rPr>
      </w:r>
    </w:p>
    <w:p>
      <w:pPr>
        <w:pStyle w:val="Standard"/>
        <w:spacing w:lineRule="auto" w:line="360"/>
        <w:jc w:val="both"/>
        <w:rPr>
          <w:b/>
          <w:b/>
          <w:bCs/>
          <w:sz w:val="22"/>
          <w:szCs w:val="22"/>
        </w:rPr>
      </w:pPr>
      <w:r>
        <w:rPr>
          <w:b/>
          <w:bCs/>
          <w:sz w:val="22"/>
          <w:szCs w:val="22"/>
        </w:rPr>
        <w:t>3.2 - GRUPO B</w:t>
      </w:r>
    </w:p>
    <w:p>
      <w:pPr>
        <w:pStyle w:val="Standard"/>
        <w:spacing w:lineRule="auto" w:line="360"/>
        <w:jc w:val="both"/>
        <w:rPr>
          <w:sz w:val="22"/>
          <w:szCs w:val="22"/>
        </w:rPr>
      </w:pPr>
      <w:r>
        <w:rPr>
          <w:sz w:val="22"/>
          <w:szCs w:val="22"/>
        </w:rPr>
        <w:t>Resíduos contendo produtos químicos que apresentam periculosidade à saúde pública ou ao meio ambiente, dependendo de suas características de inflamabilidade, corrosividade, reatividade, toxicidade, carcinogenicidade, teratogenicidade, mutagenicidade e quantidade.</w:t>
      </w:r>
    </w:p>
    <w:p>
      <w:pPr>
        <w:pStyle w:val="Standard"/>
        <w:numPr>
          <w:ilvl w:val="0"/>
          <w:numId w:val="17"/>
        </w:numPr>
        <w:spacing w:lineRule="auto" w:line="360" w:before="0" w:after="200"/>
        <w:jc w:val="both"/>
        <w:rPr>
          <w:sz w:val="22"/>
          <w:szCs w:val="22"/>
        </w:rPr>
      </w:pPr>
      <w:r>
        <w:rPr>
          <w:sz w:val="22"/>
          <w:szCs w:val="22"/>
        </w:rPr>
        <w:t>Produtos farmacêuticos</w:t>
      </w:r>
    </w:p>
    <w:p>
      <w:pPr>
        <w:pStyle w:val="Standard"/>
        <w:numPr>
          <w:ilvl w:val="0"/>
          <w:numId w:val="17"/>
        </w:numPr>
        <w:spacing w:lineRule="auto" w:line="360" w:before="0" w:after="200"/>
        <w:jc w:val="both"/>
        <w:rPr>
          <w:sz w:val="22"/>
          <w:szCs w:val="22"/>
        </w:rPr>
      </w:pPr>
      <w:r>
        <w:rPr>
          <w:sz w:val="22"/>
          <w:szCs w:val="22"/>
        </w:rPr>
        <w:t>Resíduos de saneantes, desinfetantes, resíduos contendo metais pesados; reagentes para laboratório, inclusive os recipientes contaminados por estes.</w:t>
      </w:r>
    </w:p>
    <w:p>
      <w:pPr>
        <w:pStyle w:val="Standard"/>
        <w:numPr>
          <w:ilvl w:val="0"/>
          <w:numId w:val="17"/>
        </w:numPr>
        <w:spacing w:lineRule="auto" w:line="360" w:before="0" w:after="200"/>
        <w:jc w:val="both"/>
        <w:rPr>
          <w:sz w:val="22"/>
          <w:szCs w:val="22"/>
        </w:rPr>
      </w:pPr>
      <w:r>
        <w:rPr>
          <w:sz w:val="22"/>
          <w:szCs w:val="22"/>
        </w:rPr>
        <w:t>Efluentes de processadores de imagem (reveladores e fixadores).</w:t>
      </w:r>
    </w:p>
    <w:p>
      <w:pPr>
        <w:pStyle w:val="Standard"/>
        <w:numPr>
          <w:ilvl w:val="0"/>
          <w:numId w:val="17"/>
        </w:numPr>
        <w:spacing w:lineRule="auto" w:line="360" w:before="0" w:after="200"/>
        <w:jc w:val="both"/>
        <w:rPr>
          <w:sz w:val="22"/>
          <w:szCs w:val="22"/>
        </w:rPr>
      </w:pPr>
      <w:r>
        <w:rPr>
          <w:sz w:val="22"/>
          <w:szCs w:val="22"/>
        </w:rPr>
        <w:t>Efluentes dos equipamentos automatizados utilizados em análises clínicas.</w:t>
      </w:r>
    </w:p>
    <w:p>
      <w:pPr>
        <w:pStyle w:val="Standard"/>
        <w:numPr>
          <w:ilvl w:val="0"/>
          <w:numId w:val="17"/>
        </w:numPr>
        <w:spacing w:lineRule="auto" w:line="360" w:before="0" w:after="200"/>
        <w:jc w:val="both"/>
        <w:rPr>
          <w:sz w:val="22"/>
          <w:szCs w:val="22"/>
        </w:rPr>
      </w:pPr>
      <w:r>
        <w:rPr>
          <w:sz w:val="22"/>
          <w:szCs w:val="22"/>
        </w:rPr>
        <w:t>Demais produtos considerados perigosos: tóxicos, corrosivos, inflamáveis e reativos.</w:t>
      </w:r>
    </w:p>
    <w:p>
      <w:pPr>
        <w:pStyle w:val="Standard"/>
        <w:spacing w:lineRule="auto" w:line="360"/>
        <w:jc w:val="both"/>
        <w:rPr>
          <w:sz w:val="22"/>
          <w:szCs w:val="22"/>
        </w:rPr>
      </w:pPr>
      <w:r>
        <w:rPr>
          <w:sz w:val="22"/>
          <w:szCs w:val="22"/>
        </w:rPr>
      </w:r>
    </w:p>
    <w:p>
      <w:pPr>
        <w:pStyle w:val="Standard"/>
        <w:spacing w:lineRule="auto" w:line="360"/>
        <w:jc w:val="both"/>
        <w:rPr>
          <w:b/>
          <w:b/>
          <w:bCs/>
          <w:sz w:val="22"/>
          <w:szCs w:val="22"/>
        </w:rPr>
      </w:pPr>
      <w:r>
        <w:rPr>
          <w:b/>
          <w:bCs/>
          <w:sz w:val="22"/>
          <w:szCs w:val="22"/>
        </w:rPr>
        <w:t>3.3 - GRUPO E</w:t>
      </w:r>
    </w:p>
    <w:p>
      <w:pPr>
        <w:pStyle w:val="Standard"/>
        <w:numPr>
          <w:ilvl w:val="0"/>
          <w:numId w:val="13"/>
        </w:numPr>
        <w:spacing w:lineRule="auto" w:line="360" w:before="0" w:after="200"/>
        <w:jc w:val="both"/>
        <w:rPr>
          <w:sz w:val="22"/>
          <w:szCs w:val="22"/>
        </w:rPr>
      </w:pPr>
      <w:r>
        <w:rPr>
          <w:sz w:val="22"/>
          <w:szCs w:val="22"/>
        </w:rPr>
        <w:t>Materiais perfurocortantes ou escarificantes, tais como: lâminas de barbear, agulhas, escalpes, ampolas de vidro, brocas, limas endodônticas, pontas diamantadas, lâminas de bisturi, lancetas; tubos capilares; ponteiras de micropipetas; lâminas e lamínulas; espátulas; e todos os utensílios de vidro quebrados no laboratório (pipetas, tubos de coleta sanguínea e placas de Petri) e outros similares.</w:t>
      </w:r>
    </w:p>
    <w:p>
      <w:pPr>
        <w:pStyle w:val="Standard"/>
        <w:spacing w:lineRule="auto" w:line="360"/>
        <w:jc w:val="both"/>
        <w:rPr>
          <w:sz w:val="22"/>
          <w:szCs w:val="22"/>
        </w:rPr>
      </w:pPr>
      <w:r>
        <w:rPr>
          <w:sz w:val="22"/>
          <w:szCs w:val="22"/>
        </w:rPr>
      </w:r>
    </w:p>
    <w:p>
      <w:pPr>
        <w:pStyle w:val="Standard"/>
        <w:spacing w:lineRule="auto" w:line="360"/>
        <w:jc w:val="both"/>
        <w:rPr>
          <w:sz w:val="22"/>
          <w:szCs w:val="22"/>
        </w:rPr>
      </w:pPr>
      <w:r>
        <w:rPr>
          <w:rStyle w:val="Strong"/>
          <w:sz w:val="22"/>
          <w:szCs w:val="22"/>
        </w:rPr>
        <w:t>IV - ESPECIFICAÇÃO DA CONTRATAÇÃO</w:t>
      </w:r>
    </w:p>
    <w:p>
      <w:pPr>
        <w:pStyle w:val="Standard"/>
        <w:spacing w:lineRule="auto" w:line="360"/>
        <w:jc w:val="both"/>
        <w:rPr>
          <w:sz w:val="22"/>
          <w:szCs w:val="22"/>
        </w:rPr>
      </w:pPr>
      <w:r>
        <w:rPr>
          <w:sz w:val="22"/>
          <w:szCs w:val="22"/>
        </w:rPr>
        <w:t>Trata-se do serviço do gerenciamento dos resíduos de saúde (RSS), compreendendo os serviços de coleta, transporte, tratamento e disposição final dos resíduos dos serviços de saúde gerados no município de Itatiba, de acordo com a Resolução RDC ANVISA nº 222/2018, CONAMA nº 358/05 e CONAMA nº 316/02, com Sistema Informatizado de Pesagem Ponto a Ponto.</w:t>
      </w:r>
    </w:p>
    <w:p>
      <w:pPr>
        <w:pStyle w:val="Standard"/>
        <w:spacing w:lineRule="auto" w:line="360"/>
        <w:jc w:val="both"/>
        <w:rPr>
          <w:sz w:val="22"/>
          <w:szCs w:val="22"/>
        </w:rPr>
      </w:pPr>
      <w:r>
        <w:rPr>
          <w:sz w:val="22"/>
          <w:szCs w:val="22"/>
        </w:rPr>
        <w:t>Os serviços consistem na coleta, transporte, tratamento e disposição final dos resíduos sólidos de serviços de saúde grupos A, B e E, de acordo com a Resolução RDC ANVISA nº 222/2018, CONAMA nº 358/05 e CONAMA nº 316/02, com pesagem ponto a ponto, nos estabelecimentos de saúde cadastrados no município.</w:t>
      </w:r>
    </w:p>
    <w:p>
      <w:pPr>
        <w:pStyle w:val="Standard"/>
        <w:spacing w:lineRule="auto" w:line="360"/>
        <w:jc w:val="both"/>
        <w:rPr>
          <w:sz w:val="22"/>
          <w:szCs w:val="22"/>
        </w:rPr>
      </w:pPr>
      <w:r>
        <w:rPr>
          <w:rFonts w:eastAsia="Calibri"/>
          <w:sz w:val="22"/>
          <w:szCs w:val="22"/>
        </w:rPr>
        <w:t>A coleta dos RSS (grupos A, B e E) deve ser feita nos abrigos externos de cada gerador ou que o mesmo traga fora do estabelecimento (não adentrar nos prédios sem prévia autorização); deve ser aferido no local o peso individualizado da quantidade coletada em cada estabelecimento, utilizando balança aferida pelo INMETRO, com registro eletrônico das informações e emissão de comprovante; deve ser feito o transporte até a unidade de tratamento dos resíduos até o local devidamente licenciado para o grupo coletado sob responsabilidade da Contratada.</w:t>
      </w:r>
    </w:p>
    <w:p>
      <w:pPr>
        <w:pStyle w:val="Standard"/>
        <w:spacing w:lineRule="auto" w:line="360"/>
        <w:jc w:val="both"/>
        <w:rPr>
          <w:sz w:val="22"/>
          <w:szCs w:val="22"/>
        </w:rPr>
      </w:pPr>
      <w:r>
        <w:rPr>
          <w:rFonts w:eastAsia="Calibri"/>
          <w:sz w:val="22"/>
          <w:szCs w:val="22"/>
        </w:rPr>
        <w:t>A coleta dos resíduos dos grupos A, B e E devem ser realizadas diariamente (exceto sábados, domingos e feriados), conforme programação. Os locais cadastrados podem possuir coletas com frequências diárias, semanais, quinzenais e mensais, algumas sob agendamento (exceção) que necessitam com menor frequência.</w:t>
      </w:r>
    </w:p>
    <w:p>
      <w:pPr>
        <w:pStyle w:val="Standard"/>
        <w:spacing w:lineRule="auto" w:line="360"/>
        <w:jc w:val="both"/>
        <w:rPr>
          <w:sz w:val="22"/>
          <w:szCs w:val="22"/>
        </w:rPr>
      </w:pPr>
      <w:r>
        <w:rPr>
          <w:rFonts w:eastAsia="Calibri"/>
          <w:sz w:val="22"/>
          <w:szCs w:val="22"/>
        </w:rPr>
        <w:t>A forma de gestão dos resíduos foi elaborada considerando as legislações em vigor no âmbito federal, estadual e municipal. Dentre elas destacamos a Política Nacional dos Resíduos Sólidos (Lei Federal n º 12.305/2010), Resolução da Diretoria Colegiada (RDC) nº 222, 28 de março de 2018, da Agência Nacional de Vigilância Sanitária (ANVISA) e a Resolução nº 358 de 29 abril de 2005 do Conselho Nacional do Meio Ambiente (CONAMA).</w:t>
      </w:r>
    </w:p>
    <w:p>
      <w:pPr>
        <w:pStyle w:val="Standard"/>
        <w:spacing w:lineRule="auto" w:line="360"/>
        <w:jc w:val="both"/>
        <w:rPr>
          <w:sz w:val="22"/>
          <w:szCs w:val="22"/>
        </w:rPr>
      </w:pPr>
      <w:r>
        <w:rPr>
          <w:rFonts w:eastAsia="Calibri"/>
          <w:sz w:val="22"/>
          <w:szCs w:val="22"/>
        </w:rPr>
        <w:t>As condições e etapas foram elaboradas considerando as atuais e futuras necessidades da municipalidade na prestação do serviço, tendo como perspectiva um maior controle, segurança, integração pelos usuários e prestadores de serviço, além da possibilidade de alterações e melhorias na legislação municipal que trata sobre o assunto.</w:t>
      </w:r>
    </w:p>
    <w:p>
      <w:pPr>
        <w:pStyle w:val="Standard"/>
        <w:spacing w:lineRule="auto" w:line="360"/>
        <w:jc w:val="both"/>
        <w:rPr>
          <w:sz w:val="22"/>
          <w:szCs w:val="22"/>
        </w:rPr>
      </w:pPr>
      <w:r>
        <w:rPr>
          <w:sz w:val="22"/>
          <w:szCs w:val="22"/>
        </w:rPr>
      </w:r>
    </w:p>
    <w:p>
      <w:pPr>
        <w:pStyle w:val="Standard"/>
        <w:spacing w:lineRule="auto" w:line="360"/>
        <w:jc w:val="both"/>
        <w:rPr>
          <w:b/>
          <w:b/>
          <w:bCs/>
          <w:sz w:val="22"/>
          <w:szCs w:val="22"/>
        </w:rPr>
      </w:pPr>
      <w:r>
        <w:rPr>
          <w:rFonts w:eastAsia="Calibri"/>
          <w:b/>
          <w:bCs/>
          <w:sz w:val="22"/>
          <w:szCs w:val="22"/>
        </w:rPr>
        <w:t>4.1- Prestação do serviço</w:t>
      </w:r>
    </w:p>
    <w:p>
      <w:pPr>
        <w:pStyle w:val="Standard"/>
        <w:spacing w:lineRule="auto" w:line="360"/>
        <w:ind w:left="397" w:hanging="0"/>
        <w:jc w:val="both"/>
        <w:rPr>
          <w:sz w:val="22"/>
          <w:szCs w:val="22"/>
        </w:rPr>
      </w:pPr>
      <w:r>
        <w:rPr>
          <w:sz w:val="22"/>
          <w:szCs w:val="22"/>
        </w:rPr>
        <w:t>a) A quantidade estimada total para a coleta é de 15.000 kg (15 ton) por mês, quantidade prevista para até o final do contrato. Esse valor pode variar ao longo do contrato, devido ao cadastramento e descadastramento geradores;</w:t>
      </w:r>
    </w:p>
    <w:p>
      <w:pPr>
        <w:pStyle w:val="Standard"/>
        <w:spacing w:lineRule="auto" w:line="360"/>
        <w:ind w:left="397" w:hanging="0"/>
        <w:jc w:val="both"/>
        <w:rPr>
          <w:sz w:val="22"/>
          <w:szCs w:val="22"/>
        </w:rPr>
      </w:pPr>
      <w:r>
        <w:rPr>
          <w:sz w:val="22"/>
          <w:szCs w:val="22"/>
        </w:rPr>
        <w:t>b) A relação dos estabelecimentos atualmente cadastrados encontra-se no Anexo 1 desse Termo de Referência, podendo ser atualizada ao longo do contrato em função ao cadastramento ou descadastramento de novas unidades;</w:t>
      </w:r>
    </w:p>
    <w:p>
      <w:pPr>
        <w:pStyle w:val="Standard"/>
        <w:spacing w:lineRule="auto" w:line="360"/>
        <w:ind w:left="397" w:hanging="0"/>
        <w:jc w:val="both"/>
        <w:rPr>
          <w:sz w:val="22"/>
          <w:szCs w:val="22"/>
        </w:rPr>
      </w:pPr>
      <w:r>
        <w:rPr>
          <w:sz w:val="22"/>
          <w:szCs w:val="22"/>
        </w:rPr>
        <w:t>c) Os geradores serão responsáveis pela triagem e acondicionamento prévio dos resíduos conforme definido por normas da Associação Brasileira de Normas Técnicas (ABNT) NBR 12.810, 9.190, 9.191 e outras que possam ser aplicáveis;</w:t>
      </w:r>
    </w:p>
    <w:p>
      <w:pPr>
        <w:pStyle w:val="Standard"/>
        <w:spacing w:lineRule="auto" w:line="360"/>
        <w:ind w:left="397" w:hanging="0"/>
        <w:jc w:val="both"/>
        <w:rPr>
          <w:sz w:val="22"/>
          <w:szCs w:val="22"/>
        </w:rPr>
      </w:pPr>
      <w:r>
        <w:rPr>
          <w:sz w:val="22"/>
          <w:szCs w:val="22"/>
        </w:rPr>
        <w:t>d) A empresa coletará em cada um dos estabelecimentos cadastrados os RSS entregues ou armazenados para a coleta, atendendo às normas da ABNT NBR 12.807, 12.809, 12.810, 7.500 e outras que sejam relacionadas;</w:t>
      </w:r>
    </w:p>
    <w:p>
      <w:pPr>
        <w:pStyle w:val="Standard"/>
        <w:spacing w:lineRule="auto" w:line="360"/>
        <w:ind w:left="397" w:hanging="0"/>
        <w:jc w:val="both"/>
        <w:rPr>
          <w:sz w:val="22"/>
          <w:szCs w:val="22"/>
        </w:rPr>
      </w:pPr>
      <w:r>
        <w:rPr>
          <w:sz w:val="22"/>
          <w:szCs w:val="22"/>
        </w:rPr>
        <w:t>e) A coleta e o transporte dos recipientes ou resíduos ensacados deverão ser executados com o cuidado necessário para não danificá-los, evitando assim acidentes e derramamento nas vias;</w:t>
      </w:r>
    </w:p>
    <w:p>
      <w:pPr>
        <w:pStyle w:val="Standard"/>
        <w:spacing w:lineRule="auto" w:line="360"/>
        <w:ind w:left="397" w:hanging="0"/>
        <w:jc w:val="both"/>
        <w:rPr>
          <w:sz w:val="22"/>
          <w:szCs w:val="22"/>
        </w:rPr>
      </w:pPr>
      <w:r>
        <w:rPr>
          <w:sz w:val="22"/>
          <w:szCs w:val="22"/>
        </w:rPr>
        <w:t>f) Os serviços deverão ser executados diariamente, exceto sábados, domingos e feriados, conforme programação;</w:t>
      </w:r>
    </w:p>
    <w:p>
      <w:pPr>
        <w:pStyle w:val="Standard"/>
        <w:spacing w:lineRule="auto" w:line="360"/>
        <w:ind w:left="397" w:hanging="0"/>
        <w:jc w:val="both"/>
        <w:rPr>
          <w:sz w:val="22"/>
          <w:szCs w:val="22"/>
        </w:rPr>
      </w:pPr>
      <w:r>
        <w:rPr>
          <w:sz w:val="22"/>
          <w:szCs w:val="22"/>
        </w:rPr>
        <w:t>g) A Contratada durante a coleta deverá realizar a pesagem dos resíduos coletados em cada ponto de coleta, e a emissão do comprovante de pesagem (ticket), sendo uma via para o gerador e outra para a municipalidade, podendo ser físicos ou digitais;</w:t>
      </w:r>
    </w:p>
    <w:p>
      <w:pPr>
        <w:pStyle w:val="Standard"/>
        <w:spacing w:lineRule="auto" w:line="360"/>
        <w:ind w:left="850" w:hanging="0"/>
        <w:jc w:val="both"/>
        <w:rPr>
          <w:sz w:val="22"/>
          <w:szCs w:val="22"/>
        </w:rPr>
      </w:pPr>
      <w:r>
        <w:rPr>
          <w:sz w:val="22"/>
          <w:szCs w:val="22"/>
        </w:rPr>
        <w:t>g.1) Na pesagem deverá ser considerada a informação do tipo de tratamento que será dado aos resíduos, constando no ticket os grupos englobados, para possibilitar posterior quantitativo pela municipalidade;</w:t>
      </w:r>
    </w:p>
    <w:p>
      <w:pPr>
        <w:pStyle w:val="Standard"/>
        <w:spacing w:lineRule="auto" w:line="360"/>
        <w:ind w:left="397" w:hanging="0"/>
        <w:jc w:val="both"/>
        <w:rPr>
          <w:sz w:val="22"/>
          <w:szCs w:val="22"/>
        </w:rPr>
      </w:pPr>
      <w:r>
        <w:rPr>
          <w:sz w:val="22"/>
          <w:szCs w:val="22"/>
        </w:rPr>
        <w:t>h) A Contratada deverá transportar e destinar os RSS até os locais de tratamento ou unidade de transbordo ao final de cada dia/rota de coleta;</w:t>
      </w:r>
    </w:p>
    <w:p>
      <w:pPr>
        <w:pStyle w:val="Standard"/>
        <w:spacing w:lineRule="auto" w:line="360"/>
        <w:ind w:left="850" w:hanging="0"/>
        <w:jc w:val="both"/>
        <w:rPr>
          <w:sz w:val="22"/>
          <w:szCs w:val="22"/>
        </w:rPr>
      </w:pPr>
      <w:r>
        <w:rPr>
          <w:sz w:val="22"/>
          <w:szCs w:val="22"/>
        </w:rPr>
        <w:t>h.1) É permitida a subcontratação do tratamento e da unidade de transbordo dos resíduos coletados, desde que a unidade esteja devidamente licenciada para tratamento dos resíduos coletados;</w:t>
      </w:r>
    </w:p>
    <w:p>
      <w:pPr>
        <w:pStyle w:val="Standard"/>
        <w:spacing w:lineRule="auto" w:line="360"/>
        <w:ind w:left="397" w:hanging="0"/>
        <w:jc w:val="both"/>
        <w:rPr>
          <w:sz w:val="22"/>
          <w:szCs w:val="22"/>
        </w:rPr>
      </w:pPr>
      <w:r>
        <w:rPr>
          <w:sz w:val="22"/>
          <w:szCs w:val="22"/>
        </w:rPr>
        <w:t>i) A contratada deverá obedecer às diretrizes constantes na Lei n° 12.305, de 2010 - Política Nacional de Resíduos Sólidos, Resolução RDC ANVISA nº 222/2018, CONAMA nº 358/05 e CONAMA nº 316/02, e possíveis alterações;</w:t>
      </w:r>
    </w:p>
    <w:p>
      <w:pPr>
        <w:pStyle w:val="Standard"/>
        <w:spacing w:lineRule="auto" w:line="360"/>
        <w:ind w:left="850" w:hanging="0"/>
        <w:jc w:val="both"/>
        <w:rPr>
          <w:sz w:val="22"/>
          <w:szCs w:val="22"/>
        </w:rPr>
      </w:pPr>
      <w:r>
        <w:rPr>
          <w:sz w:val="22"/>
          <w:szCs w:val="22"/>
        </w:rPr>
        <w:t>i.2) A contratada deverá apresentar os comprovantes que demonstrem que todos os resíduos coletados tiveram o devido tratamento e destinação final;</w:t>
      </w:r>
    </w:p>
    <w:p>
      <w:pPr>
        <w:pStyle w:val="Standard"/>
        <w:spacing w:lineRule="auto" w:line="360"/>
        <w:ind w:left="397" w:hanging="0"/>
        <w:jc w:val="both"/>
        <w:rPr>
          <w:sz w:val="22"/>
          <w:szCs w:val="22"/>
        </w:rPr>
      </w:pPr>
      <w:r>
        <w:rPr>
          <w:sz w:val="22"/>
          <w:szCs w:val="22"/>
        </w:rPr>
        <w:t>j) Deverá ser obtido no local de destino e entregue à Contratante, junto à medição mensal, os comprovantes de destinação correta dos RSS, de forma a comprovar que os resíduos tiveram o tratamento/disposição final adequados;</w:t>
      </w:r>
    </w:p>
    <w:p>
      <w:pPr>
        <w:pStyle w:val="Standard"/>
        <w:spacing w:lineRule="auto" w:line="360"/>
        <w:ind w:left="397" w:hanging="0"/>
        <w:jc w:val="both"/>
        <w:rPr>
          <w:sz w:val="22"/>
          <w:szCs w:val="22"/>
        </w:rPr>
      </w:pPr>
      <w:r>
        <w:rPr>
          <w:sz w:val="22"/>
          <w:szCs w:val="22"/>
        </w:rPr>
        <w:t>k) Relação estimada de equipamentos e mão de obra:</w:t>
      </w:r>
    </w:p>
    <w:p>
      <w:pPr>
        <w:pStyle w:val="Standard"/>
        <w:spacing w:lineRule="auto" w:line="360"/>
        <w:ind w:left="850" w:hanging="0"/>
        <w:jc w:val="both"/>
        <w:rPr>
          <w:sz w:val="22"/>
          <w:szCs w:val="22"/>
        </w:rPr>
      </w:pPr>
      <w:r>
        <w:rPr>
          <w:sz w:val="22"/>
          <w:szCs w:val="22"/>
        </w:rPr>
        <w:t>k.1) 01 (um) caminhão baú para coleta em dias úteis Grupos A, B e E;</w:t>
      </w:r>
    </w:p>
    <w:p>
      <w:pPr>
        <w:pStyle w:val="Standard"/>
        <w:spacing w:lineRule="auto" w:line="360"/>
        <w:ind w:left="850" w:hanging="0"/>
        <w:jc w:val="both"/>
        <w:rPr>
          <w:sz w:val="22"/>
          <w:szCs w:val="22"/>
        </w:rPr>
      </w:pPr>
      <w:r>
        <w:rPr>
          <w:sz w:val="22"/>
          <w:szCs w:val="22"/>
        </w:rPr>
        <w:t>k.2) 01 (um) motorista de resíduos de serviço de saúde para coleta em dias úteis Grupos A, B e E;</w:t>
      </w:r>
    </w:p>
    <w:p>
      <w:pPr>
        <w:pStyle w:val="Standard"/>
        <w:spacing w:lineRule="auto" w:line="360"/>
        <w:ind w:left="850" w:hanging="0"/>
        <w:jc w:val="both"/>
        <w:rPr>
          <w:sz w:val="22"/>
          <w:szCs w:val="22"/>
        </w:rPr>
      </w:pPr>
      <w:r>
        <w:rPr>
          <w:sz w:val="22"/>
          <w:szCs w:val="22"/>
        </w:rPr>
        <w:t>k.3) 01 (um) coletor de serviço de saúde para coleta em dias úteis Grupos A, B e E.</w:t>
      </w:r>
    </w:p>
    <w:p>
      <w:pPr>
        <w:pStyle w:val="Standard"/>
        <w:spacing w:lineRule="auto" w:line="360"/>
        <w:jc w:val="both"/>
        <w:rPr>
          <w:sz w:val="22"/>
          <w:szCs w:val="22"/>
        </w:rPr>
      </w:pPr>
      <w:r>
        <w:rPr>
          <w:sz w:val="22"/>
          <w:szCs w:val="22"/>
        </w:rPr>
      </w:r>
    </w:p>
    <w:p>
      <w:pPr>
        <w:pStyle w:val="Standard"/>
        <w:spacing w:lineRule="auto" w:line="360"/>
        <w:jc w:val="both"/>
        <w:rPr>
          <w:b/>
          <w:b/>
          <w:bCs/>
          <w:sz w:val="22"/>
          <w:szCs w:val="22"/>
        </w:rPr>
      </w:pPr>
      <w:r>
        <w:rPr>
          <w:b/>
          <w:bCs/>
          <w:sz w:val="22"/>
          <w:szCs w:val="22"/>
        </w:rPr>
        <w:t>4.2- Veículos</w:t>
      </w:r>
    </w:p>
    <w:p>
      <w:pPr>
        <w:pStyle w:val="Standard"/>
        <w:spacing w:lineRule="auto" w:line="360"/>
        <w:jc w:val="both"/>
        <w:rPr>
          <w:sz w:val="22"/>
          <w:szCs w:val="22"/>
        </w:rPr>
      </w:pPr>
      <w:r>
        <w:rPr>
          <w:sz w:val="22"/>
          <w:szCs w:val="22"/>
        </w:rPr>
        <w:t>O veículo a ser utilizado na execução dos serviços deverá respeitar as seguintes condições gerais:</w:t>
      </w:r>
    </w:p>
    <w:p>
      <w:pPr>
        <w:pStyle w:val="Standard"/>
        <w:spacing w:lineRule="auto" w:line="360"/>
        <w:ind w:left="397" w:hanging="0"/>
        <w:jc w:val="both"/>
        <w:rPr>
          <w:sz w:val="22"/>
          <w:szCs w:val="22"/>
        </w:rPr>
      </w:pPr>
      <w:r>
        <w:rPr>
          <w:sz w:val="22"/>
          <w:szCs w:val="22"/>
        </w:rPr>
        <w:t>a) O veículo deverá possuir compartimento de carga estanque, isolado da cabine do condutor, e provido de carroceria revestida internamente com material de superfície lisa, de cantos arredondados, impermeável e lavável. O veículo deverá estar equipado com dispositivos especiais e ser carregado de maneira a não transbordar os resíduos, chorume e líquidos na via;</w:t>
      </w:r>
    </w:p>
    <w:p>
      <w:pPr>
        <w:pStyle w:val="Standard"/>
        <w:spacing w:lineRule="auto" w:line="360"/>
        <w:ind w:left="397" w:hanging="0"/>
        <w:jc w:val="both"/>
        <w:rPr>
          <w:sz w:val="22"/>
          <w:szCs w:val="22"/>
        </w:rPr>
      </w:pPr>
      <w:r>
        <w:rPr>
          <w:sz w:val="22"/>
          <w:szCs w:val="22"/>
        </w:rPr>
        <w:t>b) O veículo utilizado para o transporte dos resíduos de serviços de saúde deverá ser equipado em conformidade com as Normas ABNT NBR 13221 e NBR 14652, o mesmo deverá ainda trazer placas regulamentares sobre os resíduos transportados conforme exigências legais, identificação da contratada, telefone para reclamações e informação de que está a serviço da Prefeitura do Município de Itatiba, na forma a ser estabelecida pela prefeitura;</w:t>
      </w:r>
    </w:p>
    <w:p>
      <w:pPr>
        <w:pStyle w:val="Standard"/>
        <w:spacing w:lineRule="auto" w:line="360"/>
        <w:ind w:left="397" w:hanging="0"/>
        <w:jc w:val="both"/>
        <w:rPr>
          <w:sz w:val="22"/>
          <w:szCs w:val="22"/>
        </w:rPr>
      </w:pPr>
      <w:r>
        <w:rPr>
          <w:sz w:val="22"/>
          <w:szCs w:val="22"/>
        </w:rPr>
        <w:t>c) O veículo deverá apresentar dimensionamento que atenda o volume de resíduos de serviços de saúde a serem coletados no município conforme previsto no referido memorial;</w:t>
      </w:r>
    </w:p>
    <w:p>
      <w:pPr>
        <w:pStyle w:val="Standard"/>
        <w:spacing w:lineRule="auto" w:line="360"/>
        <w:ind w:left="397" w:hanging="0"/>
        <w:jc w:val="both"/>
        <w:rPr>
          <w:sz w:val="22"/>
          <w:szCs w:val="22"/>
        </w:rPr>
      </w:pPr>
      <w:r>
        <w:rPr>
          <w:sz w:val="22"/>
          <w:szCs w:val="22"/>
        </w:rPr>
        <w:t>d) O veículo utilizado no transporte de resíduos de serviços de saúde, deverá atender as Legislações e Normas pertinentes para transportes de produtos perigosos, especialmente as Resoluções da ANTT 420/2004 e 701/2004, bem como condições de apresentação de Laudo do INMETRO (Certificado de Inspeção Veicular – CIV e Certificado de Inspeção de Produtos Perigosos – CIPP) dos respectivos veículos e habilitados para as referidas funções;</w:t>
      </w:r>
    </w:p>
    <w:p>
      <w:pPr>
        <w:pStyle w:val="Standard"/>
        <w:spacing w:lineRule="auto" w:line="360"/>
        <w:ind w:left="397" w:hanging="0"/>
        <w:jc w:val="both"/>
        <w:rPr>
          <w:sz w:val="22"/>
          <w:szCs w:val="22"/>
        </w:rPr>
      </w:pPr>
      <w:r>
        <w:rPr>
          <w:sz w:val="22"/>
          <w:szCs w:val="22"/>
        </w:rPr>
        <w:t>e) O veículo deverá possuir sistema de rastreamento e monitoramento (equipamento de GPS) que permita, também à Contratante, rastreabilidade e acompanhamento em tempo real, sendo a Contratada responsável pela disponibilização dos softwares necessários;</w:t>
      </w:r>
    </w:p>
    <w:p>
      <w:pPr>
        <w:pStyle w:val="Standard"/>
        <w:spacing w:lineRule="auto" w:line="360"/>
        <w:ind w:left="397" w:hanging="0"/>
        <w:jc w:val="both"/>
        <w:rPr>
          <w:sz w:val="22"/>
          <w:szCs w:val="22"/>
        </w:rPr>
      </w:pPr>
      <w:r>
        <w:rPr>
          <w:sz w:val="22"/>
          <w:szCs w:val="22"/>
        </w:rPr>
        <w:t>f) O veículo deverá ser dotado de balança aferida pelo INMETRO com capacidade para pesagem dos resíduos a serem coletados nos diversos pontos de coleta, para que o peso do material recolhido seja aferido no momento do recolhimento e à vista do responsável pelo estabelecimento e registrado preferencialmente eletronicamente (sem necessidade de digitação do peso apurado), garantindo precisão das informações. Deverá ser entregue ao gerador comprovante de pesagem (ticket), bem como, outra via para a municipalidade, podendo ser físicos ou digitais. A municipalidade deverá ter acesso ao registro das operações se utilizado sistema informatizado (via eletrônica), de forma a ter acesso aos dados de pesagem de forma eletrônica;</w:t>
      </w:r>
    </w:p>
    <w:p>
      <w:pPr>
        <w:pStyle w:val="Standard"/>
        <w:spacing w:lineRule="auto" w:line="360"/>
        <w:ind w:left="850" w:hanging="0"/>
        <w:jc w:val="both"/>
        <w:rPr>
          <w:sz w:val="22"/>
          <w:szCs w:val="22"/>
        </w:rPr>
      </w:pPr>
      <w:r>
        <w:rPr>
          <w:sz w:val="22"/>
          <w:szCs w:val="22"/>
        </w:rPr>
        <w:t>f.1) A balança móvel deve ser devidamente aferida, e seu laudo deve ser apresentado sempre que solicitado pela administração ou que a mesma seja calibrada e/ou aferida;</w:t>
      </w:r>
    </w:p>
    <w:p>
      <w:pPr>
        <w:pStyle w:val="Standard"/>
        <w:spacing w:lineRule="auto" w:line="360"/>
        <w:ind w:left="397" w:hanging="0"/>
        <w:jc w:val="both"/>
        <w:rPr>
          <w:sz w:val="22"/>
          <w:szCs w:val="22"/>
        </w:rPr>
      </w:pPr>
      <w:r>
        <w:rPr>
          <w:sz w:val="22"/>
          <w:szCs w:val="22"/>
        </w:rPr>
        <w:t>g) No veículo e equipamentos somente deverão constar dizeres ou símbolos definidos por lei e NBR, de identificação da contratada ou autorizados pela Prefeitura do Município de Itatiba, não sendo permitida a exploração de publicidade;</w:t>
      </w:r>
    </w:p>
    <w:p>
      <w:pPr>
        <w:pStyle w:val="Standard"/>
        <w:spacing w:lineRule="auto" w:line="360"/>
        <w:ind w:left="397" w:hanging="0"/>
        <w:jc w:val="both"/>
        <w:rPr>
          <w:sz w:val="22"/>
          <w:szCs w:val="22"/>
        </w:rPr>
      </w:pPr>
      <w:r>
        <w:rPr>
          <w:sz w:val="22"/>
          <w:szCs w:val="22"/>
        </w:rPr>
        <w:t>h) O veículo utilizado na coleta de resíduos dos estabelecimentos da saúde deverá ser lavado e desinfetado diariamente;</w:t>
      </w:r>
    </w:p>
    <w:p>
      <w:pPr>
        <w:pStyle w:val="Standard"/>
        <w:spacing w:lineRule="auto" w:line="360"/>
        <w:ind w:left="397" w:hanging="0"/>
        <w:jc w:val="both"/>
        <w:rPr>
          <w:sz w:val="22"/>
          <w:szCs w:val="22"/>
        </w:rPr>
      </w:pPr>
      <w:r>
        <w:rPr>
          <w:sz w:val="22"/>
          <w:szCs w:val="22"/>
        </w:rPr>
        <w:t>i) O veículo e demais equipamentos necessários à execução dos serviços, deverão ser adequados, estar em bom estado de uso e conservação. A Prefeitura Municipal poderá exigir a qualquer momento a troca de veículo ou equipamento que não seja adequado ou não atenda as exigências e normas relativas aos serviços objeto deste termo de referência;</w:t>
      </w:r>
    </w:p>
    <w:p>
      <w:pPr>
        <w:pStyle w:val="Standard"/>
        <w:spacing w:lineRule="auto" w:line="360"/>
        <w:ind w:left="397" w:hanging="0"/>
        <w:jc w:val="both"/>
        <w:rPr>
          <w:sz w:val="22"/>
          <w:szCs w:val="22"/>
        </w:rPr>
      </w:pPr>
      <w:r>
        <w:rPr>
          <w:sz w:val="22"/>
          <w:szCs w:val="22"/>
        </w:rPr>
        <w:t>j) A Contratada deverá manter o veículo e equipamentos em perfeitas condições de funcionamento, em especial quanto à manutenção, limpeza e acessórios de segurança, e preservação do meio ambiente, sendo que a verificação das condições de funcionamento e segurança dos veículos e equipamentos será feita periodicamente pela Fiscalização, sem prejuízo da responsabilidade da Contratada.</w:t>
      </w:r>
    </w:p>
    <w:p>
      <w:pPr>
        <w:pStyle w:val="Standard"/>
        <w:spacing w:lineRule="auto" w:line="360"/>
        <w:ind w:left="397" w:hanging="0"/>
        <w:jc w:val="both"/>
        <w:rPr>
          <w:sz w:val="22"/>
          <w:szCs w:val="22"/>
        </w:rPr>
      </w:pPr>
      <w:r>
        <w:rPr>
          <w:sz w:val="22"/>
          <w:szCs w:val="22"/>
        </w:rPr>
      </w:r>
    </w:p>
    <w:p>
      <w:pPr>
        <w:pStyle w:val="Standard"/>
        <w:spacing w:lineRule="auto" w:line="360"/>
        <w:jc w:val="both"/>
        <w:rPr>
          <w:b/>
          <w:b/>
          <w:bCs/>
          <w:sz w:val="22"/>
          <w:szCs w:val="22"/>
        </w:rPr>
      </w:pPr>
      <w:r>
        <w:rPr>
          <w:b/>
          <w:bCs/>
          <w:sz w:val="22"/>
          <w:szCs w:val="22"/>
        </w:rPr>
        <w:t>4.3- Mão de obra</w:t>
      </w:r>
    </w:p>
    <w:p>
      <w:pPr>
        <w:pStyle w:val="Standard"/>
        <w:spacing w:lineRule="auto" w:line="360"/>
        <w:jc w:val="both"/>
        <w:rPr>
          <w:sz w:val="22"/>
          <w:szCs w:val="22"/>
        </w:rPr>
      </w:pPr>
      <w:r>
        <w:rPr>
          <w:sz w:val="22"/>
          <w:szCs w:val="22"/>
        </w:rPr>
        <w:t>Os trabalhadores responsáveis pela execução dos serviços (mão de obra) deverão respeitar as seguintes condições gerais:</w:t>
      </w:r>
    </w:p>
    <w:p>
      <w:pPr>
        <w:pStyle w:val="Standard"/>
        <w:spacing w:lineRule="auto" w:line="360"/>
        <w:ind w:left="397" w:hanging="0"/>
        <w:jc w:val="both"/>
        <w:rPr>
          <w:sz w:val="22"/>
          <w:szCs w:val="22"/>
        </w:rPr>
      </w:pPr>
      <w:r>
        <w:rPr>
          <w:sz w:val="22"/>
          <w:szCs w:val="22"/>
        </w:rPr>
        <w:t>a) Caberá a Contratada a admissão de motoristas, coletores e demais operários necessários ao desempenho do serviço contratado, sendo de sua responsabilidade os encargos sociais, seguros, uniformes, equipamentos de segurança do trabalho e/ou refeitórios e demais exigências das leis trabalhistas;</w:t>
      </w:r>
    </w:p>
    <w:p>
      <w:pPr>
        <w:pStyle w:val="Standard"/>
        <w:spacing w:lineRule="auto" w:line="360"/>
        <w:ind w:left="397" w:hanging="0"/>
        <w:jc w:val="both"/>
        <w:rPr>
          <w:sz w:val="22"/>
          <w:szCs w:val="22"/>
        </w:rPr>
      </w:pPr>
      <w:r>
        <w:rPr>
          <w:sz w:val="22"/>
          <w:szCs w:val="22"/>
        </w:rPr>
        <w:t>b) Os serviços deverão iniciar com a utilização de uniformes nos padrões habituais da contratada, não sendo permitida a exploração de publicidade;</w:t>
      </w:r>
    </w:p>
    <w:p>
      <w:pPr>
        <w:pStyle w:val="Standard"/>
        <w:spacing w:lineRule="auto" w:line="360"/>
        <w:ind w:left="397" w:hanging="0"/>
        <w:jc w:val="both"/>
        <w:rPr>
          <w:sz w:val="22"/>
          <w:szCs w:val="22"/>
        </w:rPr>
      </w:pPr>
      <w:r>
        <w:rPr>
          <w:sz w:val="22"/>
          <w:szCs w:val="22"/>
        </w:rPr>
        <w:t>c) A contratada será responsável pela disponibilização dos Equipamentos de Proteção Individual (EPI’s) e Coletivos (EPC’s) exigidos pela legislação e normas vigentes relacionadas ao serviço;</w:t>
      </w:r>
    </w:p>
    <w:p>
      <w:pPr>
        <w:pStyle w:val="Standard"/>
        <w:spacing w:lineRule="auto" w:line="360"/>
        <w:ind w:left="397" w:hanging="0"/>
        <w:jc w:val="both"/>
        <w:rPr>
          <w:sz w:val="22"/>
          <w:szCs w:val="22"/>
        </w:rPr>
      </w:pPr>
      <w:r>
        <w:rPr>
          <w:sz w:val="22"/>
          <w:szCs w:val="22"/>
        </w:rPr>
        <w:t>d) Os salários e outros benefícios dos funcionários da contratada deverão obedecer às leis trabalhistas e aos acordos coletivos das categorias.</w:t>
      </w:r>
    </w:p>
    <w:p>
      <w:pPr>
        <w:pStyle w:val="Standard"/>
        <w:spacing w:lineRule="auto" w:line="360"/>
        <w:ind w:left="397" w:hanging="0"/>
        <w:jc w:val="both"/>
        <w:rPr>
          <w:sz w:val="22"/>
          <w:szCs w:val="22"/>
        </w:rPr>
      </w:pPr>
      <w:r>
        <w:rPr>
          <w:sz w:val="22"/>
          <w:szCs w:val="22"/>
        </w:rPr>
        <w:t>e) A contratada será inteira e exclusivamente responsável pelo cumprimento das prescrições referentes às leis trabalhistas, de previdência social, de segurança contra acidentes de trabalho, bem como a manutenção de seguro, de forma que cubra todo o pessoal do serviço durante o período de execução.</w:t>
      </w:r>
    </w:p>
    <w:p>
      <w:pPr>
        <w:pStyle w:val="Standard"/>
        <w:spacing w:lineRule="auto" w:line="360"/>
        <w:ind w:left="397" w:hanging="0"/>
        <w:jc w:val="both"/>
        <w:rPr>
          <w:sz w:val="22"/>
          <w:szCs w:val="22"/>
        </w:rPr>
      </w:pPr>
      <w:r>
        <w:rPr>
          <w:sz w:val="22"/>
          <w:szCs w:val="22"/>
        </w:rPr>
        <w:t>f) A contratada deverá seguir rigorosamente as determinações legais, notadamente aquelas relativas à Segurança do Trabalho e Vigilância, fornecendo aos seus empregados todos os equipamentos de proteção individual de caráter rotineiro e outros que se fizerem necessários.</w:t>
      </w:r>
    </w:p>
    <w:p>
      <w:pPr>
        <w:pStyle w:val="Standard"/>
        <w:spacing w:lineRule="auto" w:line="360"/>
        <w:ind w:left="397" w:hanging="0"/>
        <w:jc w:val="both"/>
        <w:rPr>
          <w:sz w:val="22"/>
          <w:szCs w:val="22"/>
        </w:rPr>
      </w:pPr>
      <w:r>
        <w:rPr>
          <w:sz w:val="22"/>
          <w:szCs w:val="22"/>
        </w:rPr>
        <w:t>g) Será exigido mensalmente da contratada a comprovação, no mínimo, de recolhimentos do FGTS e contribuição do INSS.</w:t>
      </w:r>
    </w:p>
    <w:p>
      <w:pPr>
        <w:pStyle w:val="Standard"/>
        <w:spacing w:lineRule="auto" w:line="360"/>
        <w:ind w:left="397" w:hanging="0"/>
        <w:jc w:val="both"/>
        <w:rPr>
          <w:sz w:val="22"/>
          <w:szCs w:val="22"/>
        </w:rPr>
      </w:pPr>
      <w:r>
        <w:rPr>
          <w:sz w:val="22"/>
          <w:szCs w:val="22"/>
        </w:rPr>
        <w:t>h) Manter um programa de capacitação e treinamento periódico do pessoal envolvido na coleta, abrangendo conhecimentos básicos sobre RSS, legislação, procedimentos e responsabilidades, utilização de EPI’s e EPC’s, higienização pessoal e veicular, ações em situações de emergência e acidentes.</w:t>
      </w:r>
    </w:p>
    <w:p>
      <w:pPr>
        <w:pStyle w:val="Standard"/>
        <w:spacing w:lineRule="auto" w:line="360"/>
        <w:ind w:left="397" w:hanging="0"/>
        <w:jc w:val="both"/>
        <w:rPr>
          <w:sz w:val="22"/>
          <w:szCs w:val="22"/>
        </w:rPr>
      </w:pPr>
      <w:r>
        <w:rPr>
          <w:sz w:val="22"/>
          <w:szCs w:val="22"/>
        </w:rPr>
        <w:t>i) Cumprir rigorosamente a Convenção Coletiva ou Acordo Coletivo de Trabalho, quanto a salários, encargos, prazos, benefícios, vacinação e outros quesitos abordados no documento;</w:t>
      </w:r>
    </w:p>
    <w:p>
      <w:pPr>
        <w:pStyle w:val="Standard"/>
        <w:spacing w:lineRule="auto" w:line="360"/>
        <w:ind w:left="397" w:hanging="0"/>
        <w:jc w:val="both"/>
        <w:rPr>
          <w:sz w:val="22"/>
          <w:szCs w:val="22"/>
        </w:rPr>
      </w:pPr>
      <w:r>
        <w:rPr>
          <w:sz w:val="22"/>
          <w:szCs w:val="22"/>
        </w:rPr>
        <w:t>j) Garantir o cumprimento das normas técnicas relacionadas ao transporte dos resíduos, responsabilizando-se pela sua pesagem, identificação, classificação e seu acondicionamento após a saída das unidades de saúde de cada gerador, bem como a segurança de seus próprios empregados para cada tipo de coleta.</w:t>
      </w:r>
    </w:p>
    <w:p>
      <w:pPr>
        <w:pStyle w:val="Standard"/>
        <w:spacing w:lineRule="auto" w:line="360"/>
        <w:jc w:val="both"/>
        <w:rPr>
          <w:sz w:val="22"/>
          <w:szCs w:val="22"/>
        </w:rPr>
      </w:pPr>
      <w:r>
        <w:rPr>
          <w:sz w:val="22"/>
          <w:szCs w:val="22"/>
        </w:rPr>
      </w:r>
    </w:p>
    <w:p>
      <w:pPr>
        <w:pStyle w:val="Standard"/>
        <w:spacing w:lineRule="auto" w:line="360"/>
        <w:jc w:val="both"/>
        <w:rPr>
          <w:b/>
          <w:b/>
          <w:bCs/>
          <w:sz w:val="22"/>
          <w:szCs w:val="22"/>
        </w:rPr>
      </w:pPr>
      <w:r>
        <w:rPr>
          <w:b/>
          <w:bCs/>
          <w:sz w:val="22"/>
          <w:szCs w:val="22"/>
        </w:rPr>
        <w:t>4.4- Custos diretos e indiretos</w:t>
      </w:r>
    </w:p>
    <w:p>
      <w:pPr>
        <w:pStyle w:val="Standard"/>
        <w:spacing w:lineRule="auto" w:line="360"/>
        <w:ind w:left="397" w:hanging="0"/>
        <w:jc w:val="both"/>
        <w:rPr>
          <w:sz w:val="22"/>
          <w:szCs w:val="22"/>
        </w:rPr>
      </w:pPr>
      <w:r>
        <w:rPr>
          <w:sz w:val="22"/>
          <w:szCs w:val="22"/>
        </w:rPr>
        <w:t>a) A contratada será inteira e exclusivamente responsável pelos encargos fiscais e comerciais resultantes da execução do contrato;</w:t>
      </w:r>
    </w:p>
    <w:p>
      <w:pPr>
        <w:pStyle w:val="Standard"/>
        <w:spacing w:lineRule="auto" w:line="360"/>
        <w:ind w:left="397" w:hanging="0"/>
        <w:jc w:val="both"/>
        <w:rPr>
          <w:sz w:val="22"/>
          <w:szCs w:val="22"/>
        </w:rPr>
      </w:pPr>
      <w:r>
        <w:rPr>
          <w:sz w:val="22"/>
          <w:szCs w:val="22"/>
        </w:rPr>
        <w:t>b) Todas as despesas relativas à execução do objeto, como materiais, mão de obra, equipamentos, sistemas e ferramentas, instalações, óleos lubrificantes, manutenções, combustíveis e fretes, transportes horizontais e verticais, impostos, taxas e emolumentos, seguros, leis sociais entre outras, correrão por conta da contratada;</w:t>
      </w:r>
    </w:p>
    <w:p>
      <w:pPr>
        <w:pStyle w:val="Standard"/>
        <w:spacing w:lineRule="auto" w:line="360"/>
        <w:ind w:left="397" w:hanging="0"/>
        <w:jc w:val="both"/>
        <w:rPr>
          <w:sz w:val="22"/>
          <w:szCs w:val="22"/>
        </w:rPr>
      </w:pPr>
      <w:r>
        <w:rPr>
          <w:sz w:val="22"/>
          <w:szCs w:val="22"/>
        </w:rPr>
        <w:t>c) Se responsabilizar pela reparação de danos causados por qualquer acidente relacionado a prestação dos serviços, para o Município e/ou da Contratante, de seus funcionários ou de terceiros, por acidentes tais como acidentes de trânsito, estruturais ou ambientais.</w:t>
      </w:r>
    </w:p>
    <w:p>
      <w:pPr>
        <w:pStyle w:val="Standard"/>
        <w:spacing w:lineRule="auto" w:line="360"/>
        <w:jc w:val="both"/>
        <w:rPr>
          <w:sz w:val="22"/>
          <w:szCs w:val="22"/>
        </w:rPr>
      </w:pPr>
      <w:r>
        <w:rPr>
          <w:sz w:val="22"/>
          <w:szCs w:val="22"/>
        </w:rPr>
      </w:r>
    </w:p>
    <w:p>
      <w:pPr>
        <w:pStyle w:val="Standard"/>
        <w:spacing w:lineRule="auto" w:line="360"/>
        <w:jc w:val="both"/>
        <w:rPr>
          <w:sz w:val="22"/>
          <w:szCs w:val="22"/>
        </w:rPr>
      </w:pPr>
      <w:r>
        <w:rPr>
          <w:sz w:val="22"/>
          <w:szCs w:val="22"/>
        </w:rPr>
      </w:r>
    </w:p>
    <w:p>
      <w:pPr>
        <w:pStyle w:val="Corpodetexto32"/>
        <w:spacing w:lineRule="auto" w:line="360"/>
        <w:rPr>
          <w:rFonts w:ascii="Arial" w:hAnsi="Arial" w:cs="Arial"/>
          <w:b/>
          <w:b/>
          <w:caps/>
          <w:sz w:val="22"/>
          <w:szCs w:val="22"/>
        </w:rPr>
      </w:pPr>
      <w:r>
        <w:rPr>
          <w:rFonts w:cs="Arial" w:ascii="Arial" w:hAnsi="Arial"/>
          <w:b/>
          <w:caps/>
          <w:sz w:val="22"/>
          <w:szCs w:val="22"/>
        </w:rPr>
        <w:t>VI – Prazo DO CONTRATO</w:t>
      </w:r>
    </w:p>
    <w:p>
      <w:pPr>
        <w:pStyle w:val="Corpodetexto32"/>
        <w:spacing w:lineRule="auto" w:line="360"/>
        <w:rPr>
          <w:rFonts w:ascii="Arial" w:hAnsi="Arial" w:cs="Arial"/>
          <w:bCs/>
          <w:sz w:val="22"/>
          <w:szCs w:val="22"/>
        </w:rPr>
      </w:pPr>
      <w:r>
        <w:rPr>
          <w:rFonts w:cs="Arial" w:ascii="Arial" w:hAnsi="Arial"/>
          <w:bCs/>
          <w:sz w:val="22"/>
          <w:szCs w:val="22"/>
        </w:rPr>
        <w:t>6.1 - O prazo do contrato será de 24 (vinte e quatro) meses, contados da assinatura, e poderá ser prorrogado nos termos do art. art. 107 da Lei Federal nº 14.133/2021.</w:t>
      </w:r>
    </w:p>
    <w:p>
      <w:pPr>
        <w:pStyle w:val="Corpodetexto32"/>
        <w:spacing w:lineRule="auto" w:line="360"/>
        <w:rPr>
          <w:rFonts w:ascii="Arial" w:hAnsi="Arial" w:cs="Arial"/>
          <w:bCs/>
          <w:sz w:val="22"/>
          <w:szCs w:val="22"/>
        </w:rPr>
      </w:pPr>
      <w:r>
        <w:rPr>
          <w:rFonts w:cs="Arial" w:ascii="Arial" w:hAnsi="Arial"/>
          <w:bCs/>
          <w:sz w:val="22"/>
          <w:szCs w:val="22"/>
        </w:rPr>
        <w:t>6.2 - Os serviços contratados deverão ser iniciados no prazo máximo de 15 (quinze) dias, contados da data de assinatura do contrato ou a partir do encerramento do contrato vigente.</w:t>
      </w:r>
    </w:p>
    <w:p>
      <w:pPr>
        <w:pStyle w:val="Corpodetexto32"/>
        <w:spacing w:lineRule="auto" w:line="360"/>
        <w:rPr>
          <w:rFonts w:ascii="Arial" w:hAnsi="Arial" w:cs="Arial"/>
          <w:bCs/>
          <w:caps/>
          <w:sz w:val="22"/>
          <w:szCs w:val="22"/>
        </w:rPr>
      </w:pPr>
      <w:r>
        <w:rPr>
          <w:rFonts w:cs="Arial" w:ascii="Arial" w:hAnsi="Arial"/>
          <w:bCs/>
          <w:caps/>
          <w:sz w:val="22"/>
          <w:szCs w:val="22"/>
        </w:rPr>
      </w:r>
    </w:p>
    <w:p>
      <w:pPr>
        <w:pStyle w:val="Corpodetexto32"/>
        <w:spacing w:lineRule="auto" w:line="360"/>
        <w:rPr>
          <w:rFonts w:ascii="Arial" w:hAnsi="Arial" w:cs="Arial"/>
          <w:b/>
          <w:b/>
          <w:bCs/>
          <w:caps/>
          <w:color w:val="000000"/>
          <w:sz w:val="22"/>
          <w:szCs w:val="22"/>
        </w:rPr>
      </w:pPr>
      <w:r>
        <w:rPr>
          <w:rFonts w:cs="Arial" w:ascii="Arial" w:hAnsi="Arial"/>
          <w:b/>
          <w:bCs/>
          <w:caps/>
          <w:color w:val="000000"/>
          <w:kern w:val="0"/>
          <w:sz w:val="22"/>
          <w:szCs w:val="22"/>
        </w:rPr>
        <w:t>Vii - Critério de reajuste</w:t>
      </w:r>
    </w:p>
    <w:p>
      <w:pPr>
        <w:pStyle w:val="Textbodyindent"/>
        <w:spacing w:lineRule="auto" w:line="360" w:before="0" w:after="0"/>
        <w:ind w:left="0" w:hanging="0"/>
        <w:jc w:val="both"/>
        <w:rPr>
          <w:sz w:val="22"/>
          <w:szCs w:val="22"/>
        </w:rPr>
      </w:pPr>
      <w:r>
        <w:rPr>
          <w:rStyle w:val="Fontepargpadro3"/>
          <w:color w:val="000000"/>
          <w:kern w:val="0"/>
          <w:sz w:val="22"/>
          <w:szCs w:val="22"/>
        </w:rPr>
        <w:t>7.1 - Ap</w:t>
      </w:r>
      <w:r>
        <w:rPr>
          <w:rStyle w:val="Fontepargpadro3"/>
          <w:bCs/>
          <w:color w:val="000000"/>
          <w:kern w:val="0"/>
          <w:sz w:val="22"/>
          <w:szCs w:val="22"/>
        </w:rPr>
        <w:t>ós 12 (doze) meses da data da apresentação da proposta, os preços contratados poderão ser reajustados com base na variação do IPCA-IBGE, considerando-se como data-base o mês correspondente à data marcada para a apresentação das propostas na licitação.</w:t>
      </w:r>
    </w:p>
    <w:p>
      <w:pPr>
        <w:pStyle w:val="Corpodetexto32"/>
        <w:spacing w:lineRule="auto" w:line="360"/>
        <w:rPr>
          <w:rFonts w:ascii="Arial" w:hAnsi="Arial" w:cs="Arial"/>
          <w:bCs/>
          <w:caps/>
          <w:sz w:val="22"/>
          <w:szCs w:val="22"/>
        </w:rPr>
      </w:pPr>
      <w:r>
        <w:rPr>
          <w:rFonts w:cs="Arial" w:ascii="Arial" w:hAnsi="Arial"/>
          <w:bCs/>
          <w:caps/>
          <w:sz w:val="22"/>
          <w:szCs w:val="22"/>
        </w:rPr>
      </w:r>
    </w:p>
    <w:p>
      <w:pPr>
        <w:pStyle w:val="Standard"/>
        <w:spacing w:lineRule="auto" w:line="360"/>
        <w:ind w:right="-54" w:hanging="0"/>
        <w:jc w:val="both"/>
        <w:rPr>
          <w:sz w:val="22"/>
          <w:szCs w:val="22"/>
        </w:rPr>
      </w:pPr>
      <w:r>
        <w:rPr>
          <w:rStyle w:val="Strong"/>
          <w:sz w:val="22"/>
          <w:szCs w:val="22"/>
        </w:rPr>
        <w:t xml:space="preserve">VIII - </w:t>
      </w:r>
      <w:r>
        <w:rPr>
          <w:b/>
          <w:bCs/>
          <w:sz w:val="22"/>
          <w:szCs w:val="22"/>
        </w:rPr>
        <w:t>DAS CONDIÇÕES DE PAGAMENTO</w:t>
      </w:r>
    </w:p>
    <w:p>
      <w:pPr>
        <w:pStyle w:val="Standard"/>
        <w:spacing w:lineRule="auto" w:line="360"/>
        <w:ind w:right="-54" w:hanging="0"/>
        <w:jc w:val="both"/>
        <w:rPr>
          <w:sz w:val="22"/>
          <w:szCs w:val="22"/>
        </w:rPr>
      </w:pPr>
      <w:r>
        <w:rPr>
          <w:sz w:val="22"/>
          <w:szCs w:val="22"/>
        </w:rPr>
        <w:t>8.1 - O faturamento será mensal.</w:t>
      </w:r>
    </w:p>
    <w:p>
      <w:pPr>
        <w:pStyle w:val="Standard"/>
        <w:spacing w:lineRule="auto" w:line="360"/>
        <w:ind w:right="-54" w:hanging="0"/>
        <w:jc w:val="both"/>
        <w:rPr>
          <w:sz w:val="22"/>
          <w:szCs w:val="22"/>
        </w:rPr>
      </w:pPr>
      <w:r>
        <w:rPr>
          <w:sz w:val="22"/>
          <w:szCs w:val="22"/>
        </w:rPr>
        <w:t>8.2 - A liberação do pagamento ficará condicionada à apresentação mensal dos seguintes documentos:</w:t>
      </w:r>
    </w:p>
    <w:p>
      <w:pPr>
        <w:pStyle w:val="Standard"/>
        <w:spacing w:lineRule="auto" w:line="360"/>
        <w:ind w:left="397" w:hanging="0"/>
        <w:jc w:val="both"/>
        <w:rPr>
          <w:sz w:val="22"/>
          <w:szCs w:val="22"/>
        </w:rPr>
      </w:pPr>
      <w:r>
        <w:rPr>
          <w:sz w:val="22"/>
          <w:szCs w:val="22"/>
        </w:rPr>
        <w:t>8.2.1 - Comprovação dos recolhimentos do FGTS por meio dos seguintes documentos:</w:t>
      </w:r>
    </w:p>
    <w:p>
      <w:pPr>
        <w:pStyle w:val="Standard"/>
        <w:spacing w:lineRule="auto" w:line="360"/>
        <w:ind w:left="850" w:hanging="0"/>
        <w:jc w:val="both"/>
        <w:rPr>
          <w:sz w:val="22"/>
          <w:szCs w:val="22"/>
        </w:rPr>
      </w:pPr>
      <w:r>
        <w:rPr>
          <w:sz w:val="22"/>
          <w:szCs w:val="22"/>
        </w:rPr>
        <w:t>a) Cópia do protocolo de envio de arquivos, emitido pela Conectividade Social (GFIP);</w:t>
      </w:r>
    </w:p>
    <w:p>
      <w:pPr>
        <w:pStyle w:val="Standard"/>
        <w:spacing w:lineRule="auto" w:line="360"/>
        <w:ind w:left="850" w:hanging="0"/>
        <w:jc w:val="both"/>
        <w:rPr>
          <w:sz w:val="22"/>
          <w:szCs w:val="22"/>
        </w:rPr>
      </w:pPr>
      <w:r>
        <w:rPr>
          <w:sz w:val="22"/>
          <w:szCs w:val="22"/>
        </w:rPr>
        <w:t>b) Cópia da Guia de Recolhimento do FGTS (GRF) com a autenticação mecânica ou acompanhada do comprovante de recolhimento bancário ou o comprovante emitido quando o recolhimento for efetuado pela internet;</w:t>
      </w:r>
    </w:p>
    <w:p>
      <w:pPr>
        <w:pStyle w:val="Standard"/>
        <w:spacing w:lineRule="auto" w:line="360"/>
        <w:ind w:left="397" w:hanging="0"/>
        <w:jc w:val="both"/>
        <w:rPr>
          <w:sz w:val="22"/>
          <w:szCs w:val="22"/>
        </w:rPr>
      </w:pPr>
      <w:r>
        <w:rPr>
          <w:sz w:val="22"/>
          <w:szCs w:val="22"/>
        </w:rPr>
        <w:t>8.2.2 - Comprovação dos recolhimentos das contribuições ao INSS por meio de:</w:t>
      </w:r>
    </w:p>
    <w:p>
      <w:pPr>
        <w:pStyle w:val="Standard"/>
        <w:spacing w:lineRule="auto" w:line="360"/>
        <w:ind w:left="850" w:hanging="0"/>
        <w:jc w:val="both"/>
        <w:rPr>
          <w:sz w:val="22"/>
          <w:szCs w:val="22"/>
        </w:rPr>
      </w:pPr>
      <w:r>
        <w:rPr>
          <w:sz w:val="22"/>
          <w:szCs w:val="22"/>
        </w:rPr>
        <w:t>a) Cópia do protocolo de envio de arquivos, emitido pela conectividade Social (GFIP);</w:t>
      </w:r>
    </w:p>
    <w:p>
      <w:pPr>
        <w:pStyle w:val="Standard"/>
        <w:spacing w:lineRule="auto" w:line="360"/>
        <w:ind w:left="850" w:hanging="0"/>
        <w:jc w:val="both"/>
        <w:rPr>
          <w:sz w:val="22"/>
          <w:szCs w:val="22"/>
        </w:rPr>
      </w:pPr>
      <w:r>
        <w:rPr>
          <w:sz w:val="22"/>
          <w:szCs w:val="22"/>
        </w:rPr>
        <w:t>b) Cópia do comprovante de Declaração à Previdência;</w:t>
      </w:r>
    </w:p>
    <w:p>
      <w:pPr>
        <w:pStyle w:val="Standard"/>
        <w:spacing w:lineRule="auto" w:line="360"/>
        <w:ind w:left="850" w:hanging="0"/>
        <w:jc w:val="both"/>
        <w:rPr>
          <w:sz w:val="22"/>
          <w:szCs w:val="22"/>
        </w:rPr>
      </w:pPr>
      <w:r>
        <w:rPr>
          <w:sz w:val="22"/>
          <w:szCs w:val="22"/>
        </w:rPr>
        <w:t>c) Cópia da Guia da Previdência Social (GPS) com autenticação mecânica ou acompanhada do comprovante emitido quando o recolhimento for efetuado pela internet.</w:t>
      </w:r>
    </w:p>
    <w:p>
      <w:pPr>
        <w:pStyle w:val="Standard"/>
        <w:spacing w:lineRule="auto" w:line="360"/>
        <w:ind w:left="454" w:hanging="0"/>
        <w:jc w:val="both"/>
        <w:rPr>
          <w:color w:val="000000"/>
          <w:sz w:val="22"/>
          <w:szCs w:val="22"/>
        </w:rPr>
      </w:pPr>
      <w:r>
        <w:rPr>
          <w:rFonts w:eastAsia="Calibri"/>
          <w:color w:val="000000"/>
          <w:kern w:val="0"/>
          <w:sz w:val="22"/>
          <w:szCs w:val="22"/>
          <w:lang w:eastAsia="en-US"/>
        </w:rPr>
        <w:t>8.2.3 – Certificado de tratamento dos resíduos de saúde coletados no município.</w:t>
      </w:r>
    </w:p>
    <w:p>
      <w:pPr>
        <w:pStyle w:val="Standard"/>
        <w:spacing w:lineRule="auto" w:line="360"/>
        <w:ind w:right="-54" w:hanging="0"/>
        <w:jc w:val="both"/>
        <w:rPr>
          <w:sz w:val="22"/>
          <w:szCs w:val="22"/>
        </w:rPr>
      </w:pPr>
      <w:r>
        <w:rPr>
          <w:sz w:val="22"/>
          <w:szCs w:val="22"/>
        </w:rPr>
        <w:t>8.3 - O pagamento será realizado através de medições dos serviços.</w:t>
      </w:r>
    </w:p>
    <w:p>
      <w:pPr>
        <w:pStyle w:val="Standard"/>
        <w:spacing w:lineRule="auto" w:line="360"/>
        <w:ind w:right="-54" w:hanging="0"/>
        <w:jc w:val="both"/>
        <w:rPr>
          <w:sz w:val="22"/>
          <w:szCs w:val="22"/>
        </w:rPr>
      </w:pPr>
      <w:r>
        <w:rPr>
          <w:sz w:val="22"/>
          <w:szCs w:val="22"/>
        </w:rPr>
        <w:t xml:space="preserve">8.4 - A contratada deverá apresentar </w:t>
      </w:r>
      <w:r>
        <w:rPr>
          <w:b/>
          <w:bCs/>
          <w:sz w:val="22"/>
          <w:szCs w:val="22"/>
        </w:rPr>
        <w:t>mensalmente</w:t>
      </w:r>
      <w:r>
        <w:rPr>
          <w:sz w:val="22"/>
          <w:szCs w:val="22"/>
        </w:rPr>
        <w:t xml:space="preserve"> a medição dos serviços executados sob a forma de documento escrito à Contratante/Secretaria Gestora, instruído com a documentação necessária a verificação da respectiva medição;</w:t>
      </w:r>
    </w:p>
    <w:p>
      <w:pPr>
        <w:pStyle w:val="Standard"/>
        <w:spacing w:lineRule="auto" w:line="360"/>
        <w:ind w:right="-54" w:hanging="0"/>
        <w:jc w:val="both"/>
        <w:rPr>
          <w:sz w:val="22"/>
          <w:szCs w:val="22"/>
        </w:rPr>
      </w:pPr>
      <w:r>
        <w:rPr>
          <w:sz w:val="22"/>
          <w:szCs w:val="22"/>
        </w:rPr>
        <w:t>8.5 - No caso da não aceitação da medição realizada, a Contratante a devolverá à Contratada, para retificação, devendo ser emitida nova medição, no prazo de 05 (cinco) dias. A Secretaria Gestora terá novamente o prazo de cinco dias para confirmar ou não o aceite;</w:t>
      </w:r>
    </w:p>
    <w:p>
      <w:pPr>
        <w:pStyle w:val="Standard"/>
        <w:spacing w:lineRule="auto" w:line="360"/>
        <w:ind w:right="-54" w:hanging="0"/>
        <w:jc w:val="both"/>
        <w:rPr>
          <w:sz w:val="22"/>
          <w:szCs w:val="22"/>
        </w:rPr>
      </w:pPr>
      <w:r>
        <w:rPr>
          <w:sz w:val="22"/>
          <w:szCs w:val="22"/>
        </w:rPr>
        <w:t>8.6 - Aceita a medição, os serviços serão faturados e o pagamento dar-se-á no prazo de 10 (dez) dias, contados da data da aprovação da medição;</w:t>
      </w:r>
    </w:p>
    <w:p>
      <w:pPr>
        <w:pStyle w:val="Standard"/>
        <w:spacing w:lineRule="auto" w:line="360"/>
        <w:ind w:right="-54" w:hanging="0"/>
        <w:jc w:val="both"/>
        <w:rPr>
          <w:sz w:val="22"/>
          <w:szCs w:val="22"/>
        </w:rPr>
      </w:pPr>
      <w:r>
        <w:rPr>
          <w:sz w:val="22"/>
          <w:szCs w:val="22"/>
        </w:rPr>
        <w:t>8.7 - Havendo erro na fatura a tramitação da fatura será suspensa para que a Contratada adote as providências necessárias a sua correção. Passará a ser considerada, para efeito de pagamento, a data do aceite da fatura;</w:t>
      </w:r>
    </w:p>
    <w:p>
      <w:pPr>
        <w:pStyle w:val="Standard"/>
        <w:spacing w:lineRule="auto" w:line="360"/>
        <w:ind w:right="-54" w:hanging="0"/>
        <w:jc w:val="both"/>
        <w:rPr>
          <w:sz w:val="22"/>
          <w:szCs w:val="22"/>
        </w:rPr>
      </w:pPr>
      <w:r>
        <w:rPr>
          <w:sz w:val="22"/>
          <w:szCs w:val="22"/>
        </w:rPr>
        <w:t>8.8 - Havendo atraso no pagamento, sobre o valor devido incidirá correção monetária com base no IPCA-IBGE, bem como juros de mora a razão de 0,5% (cinco décimos por cento) ao mês, calculado "pro rata tempore" em relação do atraso verificado, salvo aquele ocasionado pela situação prevista no item 8.7;</w:t>
      </w:r>
    </w:p>
    <w:p>
      <w:pPr>
        <w:pStyle w:val="Standard"/>
        <w:spacing w:lineRule="auto" w:line="360"/>
        <w:ind w:right="-54" w:hanging="0"/>
        <w:jc w:val="both"/>
        <w:rPr>
          <w:sz w:val="22"/>
          <w:szCs w:val="22"/>
        </w:rPr>
      </w:pPr>
      <w:r>
        <w:rPr>
          <w:sz w:val="22"/>
          <w:szCs w:val="22"/>
        </w:rPr>
        <w:t>8.9 - Quaisquer pagamentos não isentarão a Contratada das responsabilidades contratuais, nem implicarão a aceitação dos serviços ou obras.</w:t>
      </w:r>
    </w:p>
    <w:p>
      <w:pPr>
        <w:pStyle w:val="Standard"/>
        <w:spacing w:lineRule="auto" w:line="360"/>
        <w:ind w:right="-54" w:hanging="0"/>
        <w:jc w:val="both"/>
        <w:rPr>
          <w:sz w:val="22"/>
          <w:szCs w:val="22"/>
        </w:rPr>
      </w:pPr>
      <w:r>
        <w:rPr>
          <w:sz w:val="22"/>
          <w:szCs w:val="22"/>
        </w:rPr>
      </w:r>
    </w:p>
    <w:p>
      <w:pPr>
        <w:pStyle w:val="Standard"/>
        <w:spacing w:lineRule="auto" w:line="360"/>
        <w:jc w:val="both"/>
        <w:rPr>
          <w:b/>
          <w:b/>
          <w:smallCaps/>
          <w:sz w:val="22"/>
          <w:szCs w:val="22"/>
        </w:rPr>
      </w:pPr>
      <w:r>
        <w:rPr>
          <w:b/>
          <w:smallCaps/>
          <w:sz w:val="22"/>
          <w:szCs w:val="22"/>
        </w:rPr>
        <w:t>IX - OBRIGAÇÕES DA CONTRATANTE</w:t>
      </w:r>
    </w:p>
    <w:p>
      <w:pPr>
        <w:pStyle w:val="Nivel2"/>
        <w:numPr>
          <w:ilvl w:val="0"/>
          <w:numId w:val="0"/>
        </w:numPr>
        <w:spacing w:lineRule="auto" w:line="360" w:before="120" w:after="288"/>
        <w:ind w:left="0" w:hanging="0"/>
        <w:rPr>
          <w:sz w:val="22"/>
          <w:szCs w:val="22"/>
        </w:rPr>
      </w:pPr>
      <w:r>
        <w:rPr>
          <w:sz w:val="22"/>
          <w:szCs w:val="22"/>
        </w:rPr>
        <w:t>9.1 - São obrigações do Contratante:</w:t>
      </w:r>
    </w:p>
    <w:p>
      <w:pPr>
        <w:pStyle w:val="Nivel2"/>
        <w:numPr>
          <w:ilvl w:val="0"/>
          <w:numId w:val="0"/>
        </w:numPr>
        <w:spacing w:lineRule="auto" w:line="360" w:before="120" w:after="288"/>
        <w:ind w:left="0" w:hanging="7"/>
        <w:rPr>
          <w:sz w:val="22"/>
          <w:szCs w:val="22"/>
        </w:rPr>
      </w:pPr>
      <w:r>
        <w:rPr>
          <w:sz w:val="22"/>
          <w:szCs w:val="22"/>
        </w:rPr>
        <w:t>a) Exigir o cumprimento de todas as obrigações assumidas pelo Contratado, de acordo com o contrato e seus anexos;</w:t>
      </w:r>
    </w:p>
    <w:p>
      <w:pPr>
        <w:pStyle w:val="Nivel2"/>
        <w:numPr>
          <w:ilvl w:val="0"/>
          <w:numId w:val="0"/>
        </w:numPr>
        <w:spacing w:lineRule="auto" w:line="360" w:before="120" w:after="288"/>
        <w:ind w:left="0" w:hanging="7"/>
        <w:rPr>
          <w:sz w:val="22"/>
          <w:szCs w:val="22"/>
        </w:rPr>
      </w:pPr>
      <w:r>
        <w:rPr>
          <w:sz w:val="22"/>
          <w:szCs w:val="22"/>
        </w:rPr>
        <w:t>b) Receber o objeto no prazo e condições estabelecidas no Termo de Referência;</w:t>
      </w:r>
    </w:p>
    <w:p>
      <w:pPr>
        <w:pStyle w:val="Nivel2"/>
        <w:numPr>
          <w:ilvl w:val="0"/>
          <w:numId w:val="0"/>
        </w:numPr>
        <w:spacing w:lineRule="auto" w:line="360" w:before="120" w:after="288"/>
        <w:ind w:left="0" w:hanging="7"/>
        <w:rPr>
          <w:sz w:val="22"/>
          <w:szCs w:val="22"/>
        </w:rPr>
      </w:pPr>
      <w:r>
        <w:rPr>
          <w:sz w:val="22"/>
          <w:szCs w:val="22"/>
        </w:rPr>
        <w:t>c) Notificar o Contratado, por escrito, sobre vícios, defeitos ou incorreções verificadas no objeto fornecido, para que seja por ele substituído, reparado ou corrigido, no total ou em parte, às suas expensas;</w:t>
      </w:r>
    </w:p>
    <w:p>
      <w:pPr>
        <w:pStyle w:val="Nivel2"/>
        <w:numPr>
          <w:ilvl w:val="0"/>
          <w:numId w:val="0"/>
        </w:numPr>
        <w:spacing w:lineRule="auto" w:line="360" w:before="120" w:after="288"/>
        <w:ind w:left="0" w:hanging="7"/>
        <w:rPr>
          <w:sz w:val="22"/>
          <w:szCs w:val="22"/>
        </w:rPr>
      </w:pPr>
      <w:r>
        <w:rPr>
          <w:sz w:val="22"/>
          <w:szCs w:val="22"/>
        </w:rPr>
        <w:t>d) Acompanhar e fiscalizar a execução do contrato e o cumprimento das obrigações pelo Contratado;</w:t>
      </w:r>
    </w:p>
    <w:p>
      <w:pPr>
        <w:pStyle w:val="Nivel2"/>
        <w:numPr>
          <w:ilvl w:val="0"/>
          <w:numId w:val="0"/>
        </w:numPr>
        <w:spacing w:lineRule="auto" w:line="360" w:before="120" w:after="288"/>
        <w:ind w:left="0" w:hanging="7"/>
        <w:rPr>
          <w:sz w:val="22"/>
          <w:szCs w:val="22"/>
        </w:rPr>
      </w:pPr>
      <w:r>
        <w:rPr>
          <w:sz w:val="22"/>
          <w:szCs w:val="22"/>
        </w:rPr>
        <w:t>e) Efetuar o pagamento ao Contratado do valor correspondente ao fornecimento do objeto, no prazo, forma e condições estabelecidos no presente Contrato;</w:t>
      </w:r>
    </w:p>
    <w:p>
      <w:pPr>
        <w:pStyle w:val="Nivel2"/>
        <w:numPr>
          <w:ilvl w:val="0"/>
          <w:numId w:val="0"/>
        </w:numPr>
        <w:spacing w:lineRule="auto" w:line="360" w:before="120" w:after="288"/>
        <w:ind w:left="0" w:hanging="7"/>
        <w:rPr>
          <w:sz w:val="22"/>
          <w:szCs w:val="22"/>
        </w:rPr>
      </w:pPr>
      <w:r>
        <w:rPr>
          <w:sz w:val="22"/>
          <w:szCs w:val="22"/>
        </w:rPr>
        <w:t>f) Aplicar ao Contratado as sanções previstas na lei e neste Contrato;</w:t>
      </w:r>
    </w:p>
    <w:p>
      <w:pPr>
        <w:pStyle w:val="Nivel2"/>
        <w:numPr>
          <w:ilvl w:val="0"/>
          <w:numId w:val="0"/>
        </w:numPr>
        <w:spacing w:lineRule="auto" w:line="360" w:before="120" w:after="288"/>
        <w:ind w:left="0" w:hanging="7"/>
        <w:rPr>
          <w:sz w:val="22"/>
          <w:szCs w:val="22"/>
        </w:rPr>
      </w:pPr>
      <w:r>
        <w:rPr>
          <w:sz w:val="22"/>
          <w:szCs w:val="22"/>
        </w:rPr>
        <w:t>g) Explicitamente emitir decisão sobre todas as solicitações e reclamações relacionadas à execução do presente Contrato, ressalvados os requerimentos manifestamente impertinentes, meramente protelatórios ou de nenhum interesse para a boa execução do ajuste.h.1) A Administração terá o prazo de</w:t>
      </w:r>
      <w:r>
        <w:rPr>
          <w:i/>
          <w:iCs/>
          <w:sz w:val="22"/>
          <w:szCs w:val="22"/>
        </w:rPr>
        <w:t xml:space="preserve"> 30 (trinta) dias</w:t>
      </w:r>
      <w:r>
        <w:rPr>
          <w:sz w:val="22"/>
          <w:szCs w:val="22"/>
        </w:rPr>
        <w:t>, a contar da data do protocolo do requerimento para decidir, admitida a prorrogação motivada, por igual período.</w:t>
      </w:r>
    </w:p>
    <w:p>
      <w:pPr>
        <w:pStyle w:val="Nivel2"/>
        <w:numPr>
          <w:ilvl w:val="0"/>
          <w:numId w:val="0"/>
        </w:numPr>
        <w:spacing w:lineRule="auto" w:line="360" w:before="120" w:after="288"/>
        <w:ind w:left="0" w:hanging="7"/>
        <w:rPr>
          <w:sz w:val="22"/>
          <w:szCs w:val="22"/>
        </w:rPr>
      </w:pPr>
      <w:r>
        <w:rPr>
          <w:sz w:val="22"/>
          <w:szCs w:val="22"/>
        </w:rPr>
        <w:t>h) Responder eventuais pedidos de reestabelecimento do equilíbrio econômico-financeiro feitos pelo contratado no prazo máximo de 120 (cento e vinte) dias.</w:t>
      </w:r>
    </w:p>
    <w:p>
      <w:pPr>
        <w:pStyle w:val="Nivel2"/>
        <w:numPr>
          <w:ilvl w:val="0"/>
          <w:numId w:val="0"/>
        </w:numPr>
        <w:spacing w:lineRule="auto" w:line="360" w:before="120" w:after="288"/>
        <w:ind w:left="0" w:hanging="7"/>
        <w:rPr>
          <w:sz w:val="22"/>
          <w:szCs w:val="22"/>
        </w:rPr>
      </w:pPr>
      <w:r>
        <w:rPr>
          <w:sz w:val="22"/>
          <w:szCs w:val="22"/>
        </w:rPr>
        <w:t>i)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Ttulo2"/>
        <w:keepNext w:val="false"/>
        <w:widowControl w:val="false"/>
        <w:numPr>
          <w:ilvl w:val="1"/>
          <w:numId w:val="12"/>
        </w:numPr>
        <w:tabs>
          <w:tab w:val="clear" w:pos="709"/>
          <w:tab w:val="left" w:pos="0" w:leader="none"/>
        </w:tabs>
        <w:spacing w:lineRule="auto" w:line="360" w:before="0" w:after="0"/>
        <w:jc w:val="both"/>
        <w:rPr>
          <w:sz w:val="22"/>
          <w:szCs w:val="22"/>
        </w:rPr>
      </w:pPr>
      <w:r>
        <w:rPr>
          <w:i w:val="false"/>
          <w:smallCaps/>
          <w:sz w:val="22"/>
          <w:szCs w:val="22"/>
        </w:rPr>
        <w:t>X - DAS OBRIGAÇÕES DA CONTRATADA</w:t>
      </w:r>
    </w:p>
    <w:p>
      <w:pPr>
        <w:pStyle w:val="Nivel2"/>
        <w:numPr>
          <w:ilvl w:val="0"/>
          <w:numId w:val="0"/>
        </w:numPr>
        <w:spacing w:lineRule="auto" w:line="360" w:before="120" w:after="288"/>
        <w:ind w:left="0" w:hanging="0"/>
        <w:rPr>
          <w:sz w:val="22"/>
          <w:szCs w:val="22"/>
        </w:rPr>
      </w:pPr>
      <w:r>
        <w:rPr>
          <w:sz w:val="22"/>
          <w:szCs w:val="22"/>
        </w:rPr>
        <w:t>10.1 - A licitante vencedora durante o prazo de execução dos serviços obriga-se a:</w:t>
      </w:r>
    </w:p>
    <w:p>
      <w:pPr>
        <w:pStyle w:val="Nivel2"/>
        <w:numPr>
          <w:ilvl w:val="0"/>
          <w:numId w:val="0"/>
        </w:numPr>
        <w:spacing w:lineRule="auto" w:line="360" w:before="120" w:after="288"/>
        <w:ind w:left="0" w:hanging="0"/>
        <w:rPr>
          <w:sz w:val="22"/>
          <w:szCs w:val="22"/>
        </w:rPr>
      </w:pPr>
      <w:r>
        <w:rPr>
          <w:sz w:val="22"/>
          <w:szCs w:val="22"/>
        </w:rPr>
        <w:t>a) Cumprir todas as obrigações constantes deste Contrato e em seus anexos, assumindo como exclusivamente seus os riscos e as despesas decorrentes da boa e perfeita execução do objeto, observando, ainda, as obrigações a seguir dispostas;</w:t>
      </w:r>
    </w:p>
    <w:p>
      <w:pPr>
        <w:pStyle w:val="Nivel2"/>
        <w:numPr>
          <w:ilvl w:val="0"/>
          <w:numId w:val="0"/>
        </w:numPr>
        <w:spacing w:lineRule="auto" w:line="360" w:before="120" w:after="288"/>
        <w:ind w:left="0" w:hanging="0"/>
        <w:rPr>
          <w:sz w:val="22"/>
          <w:szCs w:val="22"/>
        </w:rPr>
      </w:pPr>
      <w:r>
        <w:rPr>
          <w:sz w:val="22"/>
          <w:szCs w:val="22"/>
        </w:rPr>
        <w:t>b) Manter preposto na coordenação e responsabilidade técnica dos serviços;</w:t>
      </w:r>
    </w:p>
    <w:p>
      <w:pPr>
        <w:pStyle w:val="Nivel2"/>
        <w:numPr>
          <w:ilvl w:val="0"/>
          <w:numId w:val="0"/>
        </w:numPr>
        <w:spacing w:lineRule="auto" w:line="360" w:before="120" w:after="288"/>
        <w:ind w:left="0" w:hanging="0"/>
        <w:rPr>
          <w:sz w:val="22"/>
          <w:szCs w:val="22"/>
        </w:rPr>
      </w:pPr>
      <w:r>
        <w:rPr>
          <w:sz w:val="22"/>
          <w:szCs w:val="22"/>
        </w:rPr>
        <w:t>c) Atender às determinações regulares emitidas pelo fiscal ou gestor do contrato ou autoridade superior</w:t>
      </w:r>
    </w:p>
    <w:p>
      <w:pPr>
        <w:pStyle w:val="Nivel2"/>
        <w:numPr>
          <w:ilvl w:val="0"/>
          <w:numId w:val="0"/>
        </w:numPr>
        <w:spacing w:lineRule="auto" w:line="360" w:before="120" w:after="288"/>
        <w:ind w:left="0" w:hanging="0"/>
        <w:rPr>
          <w:sz w:val="22"/>
          <w:szCs w:val="22"/>
        </w:rPr>
      </w:pPr>
      <w:r>
        <w:rPr>
          <w:sz w:val="22"/>
          <w:szCs w:val="22"/>
        </w:rPr>
        <w:t>d) Substituir, no prazo máximo de 48 (quarenta e oito) horas, o pessoal cuja atuação no local dos serviços for julgada inconveniente pela fiscalização do contrato;</w:t>
      </w:r>
    </w:p>
    <w:p>
      <w:pPr>
        <w:pStyle w:val="Nivel2"/>
        <w:numPr>
          <w:ilvl w:val="0"/>
          <w:numId w:val="0"/>
        </w:numPr>
        <w:spacing w:lineRule="auto" w:line="360" w:before="120" w:after="288"/>
        <w:ind w:left="0" w:hanging="0"/>
        <w:rPr>
          <w:sz w:val="22"/>
          <w:szCs w:val="22"/>
        </w:rPr>
      </w:pPr>
      <w:r>
        <w:rPr>
          <w:sz w:val="22"/>
          <w:szCs w:val="22"/>
        </w:rPr>
        <w:t>e) Promover a organização técnica e administrativa dos serviços objeto do contrato, de modo a conduzi-los eficaz e eficientemente, de acordo com a proposta da Contratada, as especificações técnicas e condições estabelecidas no edital da licitação e seus anexos, com promoção, ainda, das adaptações que se façam necessárias em razão da efetivação do Plano Municipal de Resíduos Sólidos ou Plano de Gerenciamento de Resíduos de Serviços de Saúde (PGRSS) do município;</w:t>
      </w:r>
    </w:p>
    <w:p>
      <w:pPr>
        <w:pStyle w:val="Nivel2"/>
        <w:numPr>
          <w:ilvl w:val="0"/>
          <w:numId w:val="0"/>
        </w:numPr>
        <w:spacing w:lineRule="auto" w:line="360" w:before="120" w:after="288"/>
        <w:ind w:left="0" w:hanging="0"/>
        <w:rPr>
          <w:sz w:val="22"/>
          <w:szCs w:val="22"/>
        </w:rPr>
      </w:pPr>
      <w:r>
        <w:rPr>
          <w:sz w:val="22"/>
          <w:szCs w:val="22"/>
        </w:rPr>
        <w:t>f) Conduzir os serviços em estrita observância às normas da legislação Federal, Estadual e Municipal, cumprindo as determinações dos Poderes Públicos, realizando os serviços nas melhores condições de segurança, higiene e disciplina;</w:t>
      </w:r>
    </w:p>
    <w:p>
      <w:pPr>
        <w:pStyle w:val="Nivel2"/>
        <w:numPr>
          <w:ilvl w:val="0"/>
          <w:numId w:val="0"/>
        </w:numPr>
        <w:spacing w:lineRule="auto" w:line="360" w:before="120" w:after="288"/>
        <w:ind w:left="0" w:hanging="0"/>
        <w:rPr>
          <w:sz w:val="22"/>
          <w:szCs w:val="22"/>
        </w:rPr>
      </w:pPr>
      <w:r>
        <w:rPr>
          <w:sz w:val="22"/>
          <w:szCs w:val="22"/>
        </w:rPr>
        <w:t>f.1) Providenciar que o seu pessoal esteja devidamente equipado e uniformizado para a execução dos serviços e respeitar e fazer com que respeitem a legislação sobre segurança, higiene e medicina do trabalho, e sua regulamentação, devendo fornecer e exigir o uso aos seus empregados, quando necessário, os EPI’s exigíveis;</w:t>
      </w:r>
    </w:p>
    <w:p>
      <w:pPr>
        <w:pStyle w:val="Nivel2"/>
        <w:numPr>
          <w:ilvl w:val="0"/>
          <w:numId w:val="0"/>
        </w:numPr>
        <w:spacing w:lineRule="auto" w:line="360" w:before="120" w:after="288"/>
        <w:ind w:left="0" w:hanging="0"/>
        <w:rPr>
          <w:sz w:val="22"/>
          <w:szCs w:val="22"/>
        </w:rPr>
      </w:pPr>
      <w:r>
        <w:rPr>
          <w:sz w:val="22"/>
          <w:szCs w:val="22"/>
        </w:rPr>
        <w:t>g) Refazer, às suas expensas, os serviços executados em desacordo com o estabelecido neste edital;</w:t>
      </w:r>
    </w:p>
    <w:p>
      <w:pPr>
        <w:pStyle w:val="Nivel2"/>
        <w:numPr>
          <w:ilvl w:val="0"/>
          <w:numId w:val="0"/>
        </w:numPr>
        <w:spacing w:lineRule="auto" w:line="360" w:before="120" w:after="288"/>
        <w:ind w:left="0" w:hanging="0"/>
        <w:rPr>
          <w:sz w:val="22"/>
          <w:szCs w:val="22"/>
        </w:rPr>
      </w:pPr>
      <w:r>
        <w:rPr>
          <w:sz w:val="22"/>
          <w:szCs w:val="22"/>
        </w:rPr>
        <w:t>h) Responder por qualquer acidente de trabalho na execução dos serviços, por danos resultantes de qualquer causa de destruição, danificação, defeitos ou incorreções dos serviços ou dos bens do Município e/ou da Contratante, de seus funcionários ou de terceiros;</w:t>
      </w:r>
    </w:p>
    <w:p>
      <w:pPr>
        <w:pStyle w:val="Nivel2"/>
        <w:numPr>
          <w:ilvl w:val="0"/>
          <w:numId w:val="0"/>
        </w:numPr>
        <w:spacing w:lineRule="auto" w:line="360" w:before="120" w:after="288"/>
        <w:ind w:left="0" w:hanging="0"/>
        <w:rPr>
          <w:sz w:val="22"/>
          <w:szCs w:val="22"/>
        </w:rPr>
      </w:pPr>
      <w:r>
        <w:rPr>
          <w:sz w:val="22"/>
          <w:szCs w:val="22"/>
        </w:rPr>
        <w:t>i) Comunicar ao gestor ou fiscal do contrato, de imediato, qualquer ocorrência anormal ou acidente que se verifique no local dos serviços;</w:t>
      </w:r>
    </w:p>
    <w:p>
      <w:pPr>
        <w:pStyle w:val="Nivel2"/>
        <w:numPr>
          <w:ilvl w:val="0"/>
          <w:numId w:val="0"/>
        </w:numPr>
        <w:spacing w:lineRule="auto" w:line="360" w:before="120" w:after="288"/>
        <w:ind w:left="0" w:hanging="0"/>
        <w:rPr>
          <w:sz w:val="22"/>
          <w:szCs w:val="22"/>
        </w:rPr>
      </w:pPr>
      <w:r>
        <w:rPr>
          <w:sz w:val="22"/>
          <w:szCs w:val="22"/>
        </w:rPr>
        <w:t>j) Prestar todo esclarecimento ou informação solicitada pela Prefeitura do Município de Itatiba, ou por seus prepostos, incluindo dados técnicos e operacionais sobre os serviços;</w:t>
      </w:r>
    </w:p>
    <w:p>
      <w:pPr>
        <w:pStyle w:val="Nivel2"/>
        <w:numPr>
          <w:ilvl w:val="0"/>
          <w:numId w:val="0"/>
        </w:numPr>
        <w:spacing w:lineRule="auto" w:line="360" w:before="120" w:after="288"/>
        <w:ind w:left="0" w:hanging="0"/>
        <w:rPr>
          <w:sz w:val="22"/>
          <w:szCs w:val="22"/>
        </w:rPr>
      </w:pPr>
      <w:r>
        <w:rPr>
          <w:sz w:val="22"/>
          <w:szCs w:val="22"/>
        </w:rPr>
        <w:t>k) Adequar, por determinação da fiscalização do contrato, qualquer serviço que não esteja sendo executado de acordo com a boa técnica ou que ponha em risco a segurança de pessoas ou bens de terceiros;</w:t>
      </w:r>
    </w:p>
    <w:p>
      <w:pPr>
        <w:pStyle w:val="Nivel2"/>
        <w:numPr>
          <w:ilvl w:val="0"/>
          <w:numId w:val="0"/>
        </w:numPr>
        <w:spacing w:lineRule="auto" w:line="360" w:before="120" w:after="288"/>
        <w:ind w:left="0" w:hanging="0"/>
        <w:rPr>
          <w:sz w:val="22"/>
          <w:szCs w:val="22"/>
        </w:rPr>
      </w:pPr>
      <w:r>
        <w:rPr>
          <w:sz w:val="22"/>
          <w:szCs w:val="22"/>
        </w:rPr>
        <w:t>l) Arcar com todos os custos decorrentes de imprudência, imperícia ou negligência no cumprimento de suas obrigações contratuais ou legais;</w:t>
      </w:r>
    </w:p>
    <w:p>
      <w:pPr>
        <w:pStyle w:val="Nivel2"/>
        <w:numPr>
          <w:ilvl w:val="0"/>
          <w:numId w:val="0"/>
        </w:numPr>
        <w:spacing w:lineRule="auto" w:line="360" w:before="120" w:after="288"/>
        <w:ind w:left="0" w:hanging="0"/>
        <w:rPr>
          <w:sz w:val="22"/>
          <w:szCs w:val="22"/>
        </w:rPr>
      </w:pPr>
      <w:r>
        <w:rPr>
          <w:sz w:val="22"/>
          <w:szCs w:val="22"/>
        </w:rPr>
        <w:t>m) Arcar com todos os impostos, taxas e contribuições incidentes sobre o contrato e sobre as atividades da prestadora de serviços, devendo efetuar os respectivos pagamentos na forma e nos prazos determinados por Lei;</w:t>
      </w:r>
    </w:p>
    <w:p>
      <w:pPr>
        <w:pStyle w:val="Nivel2"/>
        <w:numPr>
          <w:ilvl w:val="0"/>
          <w:numId w:val="0"/>
        </w:numPr>
        <w:spacing w:lineRule="auto" w:line="360" w:before="120" w:after="288"/>
        <w:ind w:left="0" w:hanging="0"/>
        <w:rPr>
          <w:sz w:val="22"/>
          <w:szCs w:val="22"/>
        </w:rPr>
      </w:pPr>
      <w:r>
        <w:rPr>
          <w:sz w:val="22"/>
          <w:szCs w:val="22"/>
        </w:rPr>
        <w:t>n) Executar os serviços de forma a não prejudicar o trânsito local, e de acordo com as especificações técnicas contidas no edital da licitação e seus anexos, bem como em total conformidade com as normas de higiene, segurança e normas da ABNT;</w:t>
      </w:r>
    </w:p>
    <w:p>
      <w:pPr>
        <w:pStyle w:val="Nivel2"/>
        <w:numPr>
          <w:ilvl w:val="0"/>
          <w:numId w:val="0"/>
        </w:numPr>
        <w:spacing w:lineRule="auto" w:line="360" w:before="120" w:after="288"/>
        <w:ind w:left="0" w:hanging="0"/>
        <w:rPr>
          <w:sz w:val="22"/>
          <w:szCs w:val="22"/>
        </w:rPr>
      </w:pPr>
      <w:r>
        <w:rPr>
          <w:sz w:val="22"/>
          <w:szCs w:val="22"/>
        </w:rPr>
        <w:t>o) Cumprir determinação do fiscal ou gestor do contrato para aumento de frota, equipamentos ou pessoal para adequar a prestação dos serviços caso necessário para a atender as novas necessidades decorrentes do desenvolvimento populacional e legislações supervenientes aplicáveis à espécie;</w:t>
      </w:r>
    </w:p>
    <w:p>
      <w:pPr>
        <w:pStyle w:val="Nivel2"/>
        <w:numPr>
          <w:ilvl w:val="0"/>
          <w:numId w:val="0"/>
        </w:numPr>
        <w:spacing w:lineRule="auto" w:line="360" w:before="120" w:after="288"/>
        <w:ind w:left="0" w:hanging="0"/>
        <w:rPr>
          <w:sz w:val="22"/>
          <w:szCs w:val="22"/>
        </w:rPr>
      </w:pPr>
      <w:r>
        <w:rPr>
          <w:sz w:val="22"/>
          <w:szCs w:val="22"/>
        </w:rPr>
        <w:t>p) Manter a frota de veículo com, no mínimo, a mesma idade, em caso de substituição ou ampliação;</w:t>
      </w:r>
    </w:p>
    <w:p>
      <w:pPr>
        <w:pStyle w:val="Nivel2"/>
        <w:numPr>
          <w:ilvl w:val="0"/>
          <w:numId w:val="0"/>
        </w:numPr>
        <w:spacing w:lineRule="auto" w:line="360" w:before="120" w:after="288"/>
        <w:ind w:left="0" w:hanging="0"/>
        <w:rPr>
          <w:sz w:val="22"/>
          <w:szCs w:val="22"/>
        </w:rPr>
      </w:pPr>
      <w:r>
        <w:rPr>
          <w:sz w:val="22"/>
          <w:szCs w:val="22"/>
        </w:rPr>
        <w:t>q) Empregar na execução dos serviços os veículos, equipamentos e mão de obra necessários e suficientes para execução plenamente satisfatória dos serviços contratados;</w:t>
      </w:r>
    </w:p>
    <w:p>
      <w:pPr>
        <w:pStyle w:val="Nivel2"/>
        <w:numPr>
          <w:ilvl w:val="0"/>
          <w:numId w:val="0"/>
        </w:numPr>
        <w:spacing w:lineRule="auto" w:line="360" w:before="120" w:after="288"/>
        <w:ind w:left="0" w:hanging="0"/>
        <w:rPr>
          <w:sz w:val="22"/>
          <w:szCs w:val="22"/>
        </w:rPr>
      </w:pPr>
      <w:r>
        <w:rPr>
          <w:sz w:val="22"/>
          <w:szCs w:val="22"/>
        </w:rPr>
        <w:t>r) Responder pelo pagamento dos salários devidos pela mão de obra empregada nos serviços, pelos encargos trabalhistas, fiscais e sociais, além de ficar sob sua integral responsabilidade a observância das leis trabalhistas, previdenciárias e fiscais, acordos ou convenções coletivas de trabalho, assim como os registros, seguros contra riscos de acidentes de trabalho, impostos e outras providências e obrigações necessárias à execução dos serviços ora contratados, cuja inadimplência não transfere a responsabilidade ao contratante e não poderá onerar o objeto do contrato;</w:t>
      </w:r>
    </w:p>
    <w:p>
      <w:pPr>
        <w:pStyle w:val="Nivel2"/>
        <w:numPr>
          <w:ilvl w:val="0"/>
          <w:numId w:val="0"/>
        </w:numPr>
        <w:spacing w:lineRule="auto" w:line="360" w:before="120" w:after="288"/>
        <w:ind w:left="0" w:hanging="0"/>
        <w:rPr>
          <w:sz w:val="22"/>
          <w:szCs w:val="22"/>
        </w:rPr>
      </w:pPr>
      <w:r>
        <w:rPr>
          <w:sz w:val="22"/>
          <w:szCs w:val="22"/>
        </w:rPr>
        <w:t>r.1) O pessoal que a contratada empregar para a execução dos serviços não terá relação de emprego com a Prefeitura do Município de Itatiba e contra esta não poderá demandar quaisquer pagamentos, sendo da exclusiva responsabilidade da contratada, a qual, desde já, fica obrigada a ressarcir a Municipalidade de qualquer despesa que, em decorrência de ação judicial, vier a ser condenada a pagar;</w:t>
      </w:r>
    </w:p>
    <w:p>
      <w:pPr>
        <w:pStyle w:val="Nivel2"/>
        <w:numPr>
          <w:ilvl w:val="0"/>
          <w:numId w:val="0"/>
        </w:numPr>
        <w:spacing w:lineRule="auto" w:line="360" w:before="120" w:after="288"/>
        <w:ind w:left="0" w:hanging="0"/>
        <w:rPr>
          <w:sz w:val="22"/>
          <w:szCs w:val="22"/>
        </w:rPr>
      </w:pPr>
      <w:r>
        <w:rPr>
          <w:sz w:val="22"/>
          <w:szCs w:val="22"/>
        </w:rPr>
        <w:t>s) Providenciar, desde o início da execução do contrato, sistema de GPS para o veículo, que permitam também à Contratante rastreabilidade e acompanhamento em tempo real, fornecendo, para tanto, os softwares necessários.</w:t>
      </w:r>
    </w:p>
    <w:p>
      <w:pPr>
        <w:pStyle w:val="Nivel2"/>
        <w:numPr>
          <w:ilvl w:val="0"/>
          <w:numId w:val="0"/>
        </w:numPr>
        <w:spacing w:lineRule="auto" w:line="360" w:before="120" w:after="288"/>
        <w:ind w:left="0" w:hanging="0"/>
        <w:rPr>
          <w:sz w:val="22"/>
          <w:szCs w:val="22"/>
        </w:rPr>
      </w:pPr>
      <w:r>
        <w:rPr>
          <w:sz w:val="22"/>
          <w:szCs w:val="22"/>
        </w:rPr>
        <w:t>t) Garantir que o tratamento e a destinação final dos resíduos de saúde sejam executados em estrita observância das normas e exigências estabelecidas pelos órgãos ambientais competentes e o previsto nesse edital;</w:t>
      </w:r>
    </w:p>
    <w:p>
      <w:pPr>
        <w:pStyle w:val="Nivel2"/>
        <w:numPr>
          <w:ilvl w:val="0"/>
          <w:numId w:val="0"/>
        </w:numPr>
        <w:spacing w:lineRule="auto" w:line="360" w:before="120" w:after="288"/>
        <w:ind w:left="0" w:hanging="0"/>
        <w:rPr>
          <w:sz w:val="22"/>
          <w:szCs w:val="22"/>
        </w:rPr>
      </w:pPr>
      <w:r>
        <w:rPr>
          <w:sz w:val="22"/>
          <w:szCs w:val="22"/>
        </w:rPr>
        <w:t>u) Lavar e desodorizar diariamente o veículo e equipamentos coletores.</w:t>
      </w:r>
    </w:p>
    <w:p>
      <w:pPr>
        <w:pStyle w:val="Nivel2"/>
        <w:numPr>
          <w:ilvl w:val="0"/>
          <w:numId w:val="0"/>
        </w:numPr>
        <w:spacing w:lineRule="auto" w:line="360" w:before="120" w:after="288"/>
        <w:ind w:left="0" w:hanging="0"/>
        <w:rPr>
          <w:sz w:val="22"/>
          <w:szCs w:val="22"/>
        </w:rPr>
      </w:pPr>
      <w:r>
        <w:rPr>
          <w:sz w:val="22"/>
          <w:szCs w:val="22"/>
        </w:rPr>
        <w:t>v) Manter, durante a execução do contrato, em compatibilidade com as obrigações assumidas, todas as condições de habilitação e qualificação exigidas na licitação;</w:t>
      </w:r>
    </w:p>
    <w:p>
      <w:pPr>
        <w:pStyle w:val="Standard"/>
        <w:spacing w:lineRule="auto" w:line="360"/>
        <w:jc w:val="both"/>
        <w:rPr>
          <w:b/>
          <w:b/>
          <w:bCs/>
          <w:sz w:val="22"/>
          <w:szCs w:val="22"/>
        </w:rPr>
      </w:pPr>
      <w:r>
        <w:rPr>
          <w:b/>
          <w:bCs/>
          <w:sz w:val="22"/>
          <w:szCs w:val="22"/>
        </w:rPr>
        <w:t>XI - GARANTIA CONTRATUAL</w:t>
      </w:r>
    </w:p>
    <w:p>
      <w:pPr>
        <w:pStyle w:val="Nvel2Red"/>
        <w:tabs>
          <w:tab w:val="clear" w:pos="0"/>
        </w:tabs>
        <w:spacing w:lineRule="auto" w:line="360" w:before="120" w:after="288"/>
        <w:ind w:left="0" w:hanging="0"/>
        <w:rPr>
          <w:i w:val="false"/>
          <w:i w:val="false"/>
          <w:iCs w:val="false"/>
          <w:color w:val="000000"/>
          <w:sz w:val="22"/>
          <w:szCs w:val="22"/>
        </w:rPr>
      </w:pPr>
      <w:r>
        <w:rPr>
          <w:i w:val="false"/>
          <w:iCs w:val="false"/>
          <w:color w:val="000000"/>
          <w:sz w:val="22"/>
          <w:szCs w:val="22"/>
        </w:rPr>
        <w:t>11.1 - A contratação conta com garantia de execução, nos moldes do art. 98 da Lei Federal nº 14.133/2021., em valor correspondente a 5% (cinco por cento) do valor inicial/total/anual do contrato, sob a forma de: caução em dinheiro ou em títulos da dívida pública, seguro garantia ou fiança bancária.</w:t>
      </w:r>
    </w:p>
    <w:p>
      <w:pPr>
        <w:pStyle w:val="Nvel2Red"/>
        <w:tabs>
          <w:tab w:val="clear" w:pos="0"/>
        </w:tabs>
        <w:spacing w:lineRule="auto" w:line="360" w:before="120" w:after="288"/>
        <w:ind w:left="0" w:hanging="0"/>
        <w:rPr>
          <w:i w:val="false"/>
          <w:i w:val="false"/>
          <w:iCs w:val="false"/>
          <w:color w:val="000000"/>
          <w:sz w:val="22"/>
          <w:szCs w:val="22"/>
        </w:rPr>
      </w:pPr>
      <w:r>
        <w:rPr>
          <w:i w:val="false"/>
          <w:iCs w:val="false"/>
          <w:color w:val="000000"/>
          <w:sz w:val="22"/>
          <w:szCs w:val="22"/>
        </w:rPr>
        <w:t>11.2 - Após o término do contrato, desde que cumpridas todas as obrigações assumidas, a garantia prestada será liberada, mediante requerimento dirigido à Fiscalização do contrato, por intermédio do Serviço de Protocolo Geral.</w:t>
      </w:r>
    </w:p>
    <w:p>
      <w:pPr>
        <w:pStyle w:val="Standard"/>
        <w:spacing w:lineRule="auto" w:line="360"/>
        <w:jc w:val="both"/>
        <w:rPr>
          <w:rFonts w:eastAsia="MS Mincho"/>
          <w:sz w:val="22"/>
          <w:szCs w:val="22"/>
          <w:lang w:eastAsia="pt-BR"/>
        </w:rPr>
      </w:pPr>
      <w:r>
        <w:rPr>
          <w:rFonts w:eastAsia="MS Mincho"/>
          <w:sz w:val="22"/>
          <w:szCs w:val="22"/>
          <w:lang w:eastAsia="pt-BR"/>
        </w:rPr>
        <w:t>11.3 - Desfalcada a garantia prestada, pela imposição de multa ou outro motivo de direito, a Contratada será notificada através de correspondência simples, para, no prazo de 20 (vinte) dias, complementar o valor da caução. À Contratante cabe descontar, da garantia, toda importância que, a qualquer título, lhe for devida pela Contratada.</w:t>
      </w:r>
    </w:p>
    <w:p>
      <w:pPr>
        <w:pStyle w:val="Standard"/>
        <w:spacing w:lineRule="auto" w:line="360"/>
        <w:jc w:val="both"/>
        <w:rPr>
          <w:rFonts w:eastAsia="MS Mincho"/>
          <w:sz w:val="22"/>
          <w:szCs w:val="22"/>
          <w:lang w:eastAsia="pt-BR"/>
        </w:rPr>
      </w:pPr>
      <w:r>
        <w:rPr>
          <w:rFonts w:eastAsia="MS Mincho"/>
          <w:sz w:val="22"/>
          <w:szCs w:val="22"/>
          <w:lang w:eastAsia="pt-BR"/>
        </w:rPr>
      </w:r>
    </w:p>
    <w:p>
      <w:pPr>
        <w:pStyle w:val="Standard"/>
        <w:spacing w:lineRule="auto" w:line="360"/>
        <w:jc w:val="both"/>
        <w:rPr>
          <w:b/>
          <w:b/>
          <w:bCs/>
          <w:sz w:val="22"/>
          <w:szCs w:val="22"/>
        </w:rPr>
      </w:pPr>
      <w:r>
        <w:rPr>
          <w:b/>
          <w:bCs/>
          <w:sz w:val="22"/>
          <w:szCs w:val="22"/>
        </w:rPr>
        <w:t>XII – SANÇÕES</w:t>
      </w:r>
    </w:p>
    <w:p>
      <w:pPr>
        <w:pStyle w:val="Nivel2"/>
        <w:numPr>
          <w:ilvl w:val="0"/>
          <w:numId w:val="0"/>
        </w:numPr>
        <w:spacing w:lineRule="auto" w:line="360" w:before="120" w:after="288"/>
        <w:ind w:left="0" w:hanging="0"/>
        <w:rPr>
          <w:sz w:val="22"/>
          <w:szCs w:val="22"/>
        </w:rPr>
      </w:pPr>
      <w:r>
        <w:rPr>
          <w:sz w:val="22"/>
          <w:szCs w:val="22"/>
        </w:rPr>
        <w:t>12.1 - Para o caso de recusa em assinar o contrato:</w:t>
      </w:r>
    </w:p>
    <w:p>
      <w:pPr>
        <w:pStyle w:val="Nivel2"/>
        <w:numPr>
          <w:ilvl w:val="0"/>
          <w:numId w:val="0"/>
        </w:numPr>
        <w:spacing w:lineRule="auto" w:line="360" w:before="120" w:after="288"/>
        <w:ind w:left="0" w:hanging="0"/>
        <w:rPr>
          <w:sz w:val="22"/>
          <w:szCs w:val="22"/>
        </w:rPr>
      </w:pPr>
      <w:r>
        <w:rPr>
          <w:sz w:val="22"/>
          <w:szCs w:val="22"/>
        </w:rPr>
        <w:t>a) A recusa injustificada da empresa vencedora em assinar o contrato, dentro do prazo estabelecido pela Prefeitura Municipal, impedirá a sua participação em novas licitações, pelo prazo de até 02 (dois) anos, bem como caberá multa de 20% (vinte inteiros por cento) sobre o valor da proposta, ficando ainda sujeita às sanções administrativas inscritas no Capítulo I do Título IV, da Lei Federal 14.133/2021 e demais normas pertinentes.</w:t>
      </w:r>
    </w:p>
    <w:p>
      <w:pPr>
        <w:pStyle w:val="Nivel2"/>
        <w:numPr>
          <w:ilvl w:val="0"/>
          <w:numId w:val="0"/>
        </w:numPr>
        <w:spacing w:lineRule="auto" w:line="360" w:before="120" w:after="288"/>
        <w:ind w:left="0" w:hanging="0"/>
        <w:rPr>
          <w:sz w:val="22"/>
          <w:szCs w:val="22"/>
        </w:rPr>
      </w:pPr>
      <w:r>
        <w:rPr>
          <w:sz w:val="22"/>
          <w:szCs w:val="22"/>
        </w:rPr>
        <w:t>b)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 independentemente das sanções previstas na Lei 14.133/2021 e suas posteriores alterações.</w:t>
      </w:r>
    </w:p>
    <w:p>
      <w:pPr>
        <w:pStyle w:val="Nivel2"/>
        <w:numPr>
          <w:ilvl w:val="0"/>
          <w:numId w:val="0"/>
        </w:numPr>
        <w:spacing w:lineRule="auto" w:line="360" w:before="120" w:after="288"/>
        <w:ind w:left="0" w:hanging="0"/>
        <w:rPr>
          <w:sz w:val="22"/>
          <w:szCs w:val="22"/>
        </w:rPr>
      </w:pPr>
      <w:r>
        <w:rPr>
          <w:sz w:val="22"/>
          <w:szCs w:val="22"/>
        </w:rPr>
        <w:t>12.2- No curso da execução contratual:</w:t>
      </w:r>
    </w:p>
    <w:p>
      <w:pPr>
        <w:pStyle w:val="Nivel2"/>
        <w:numPr>
          <w:ilvl w:val="0"/>
          <w:numId w:val="0"/>
        </w:numPr>
        <w:spacing w:lineRule="auto" w:line="360" w:before="120" w:after="288"/>
        <w:ind w:left="0" w:hanging="0"/>
        <w:rPr>
          <w:sz w:val="22"/>
          <w:szCs w:val="22"/>
        </w:rPr>
      </w:pPr>
      <w:r>
        <w:rPr>
          <w:sz w:val="22"/>
          <w:szCs w:val="22"/>
        </w:rPr>
        <w:t>12.2.1 - Salvo a ocorrência de casos fortuitos ou de força maior, devida e formalmente justificados e comprovados, ao não cumprimento, por parte da contratada, das obrigações assumidas, ou a infringência de preceitos legais pertinentes, serão aplicadas, segundo a gravidade da falta cometida, as seguintes penalidades:</w:t>
      </w:r>
    </w:p>
    <w:p>
      <w:pPr>
        <w:pStyle w:val="Nivel2"/>
        <w:numPr>
          <w:ilvl w:val="0"/>
          <w:numId w:val="0"/>
        </w:numPr>
        <w:spacing w:lineRule="auto" w:line="360" w:before="120" w:after="288"/>
        <w:ind w:left="0" w:hanging="0"/>
        <w:rPr>
          <w:sz w:val="22"/>
          <w:szCs w:val="22"/>
        </w:rPr>
      </w:pPr>
      <w:r>
        <w:rPr>
          <w:sz w:val="22"/>
          <w:szCs w:val="22"/>
        </w:rPr>
        <w:t>a) Advertência, sempre que forem constatadas irregularidades de pouca gravidade, para as quais tenha a Contratada concorrido diretamente, situação que será registrada no Cadastro de Fornecedores da Contratante;</w:t>
      </w:r>
    </w:p>
    <w:p>
      <w:pPr>
        <w:pStyle w:val="Nivel2"/>
        <w:numPr>
          <w:ilvl w:val="0"/>
          <w:numId w:val="0"/>
        </w:numPr>
        <w:spacing w:lineRule="auto" w:line="360" w:before="120" w:after="288"/>
        <w:ind w:left="0" w:hanging="0"/>
        <w:rPr>
          <w:sz w:val="22"/>
          <w:szCs w:val="22"/>
        </w:rPr>
      </w:pPr>
      <w:r>
        <w:rPr>
          <w:sz w:val="22"/>
          <w:szCs w:val="22"/>
        </w:rPr>
        <w:t>b) Multa, de acordo com os seguintes valores:</w:t>
      </w:r>
    </w:p>
    <w:p>
      <w:pPr>
        <w:pStyle w:val="Nivel2"/>
        <w:numPr>
          <w:ilvl w:val="0"/>
          <w:numId w:val="0"/>
        </w:numPr>
        <w:spacing w:lineRule="auto" w:line="360" w:before="120" w:after="288"/>
        <w:ind w:left="0" w:hanging="0"/>
        <w:rPr>
          <w:sz w:val="22"/>
          <w:szCs w:val="22"/>
        </w:rPr>
      </w:pPr>
      <w:r>
        <w:rPr>
          <w:sz w:val="22"/>
          <w:szCs w:val="22"/>
        </w:rPr>
        <w:t>1. Uso de veículos sem condições de limpeza e conservação que causem o derramamento de detritos no trajeto, ou, uso de veículos, uniformes ou equipamentos não padronizados: multa diária no valor de R$1.000,00 (mil reais) por infração;</w:t>
      </w:r>
    </w:p>
    <w:p>
      <w:pPr>
        <w:pStyle w:val="Nivel2"/>
        <w:numPr>
          <w:ilvl w:val="0"/>
          <w:numId w:val="0"/>
        </w:numPr>
        <w:spacing w:lineRule="auto" w:line="360" w:before="120" w:after="288"/>
        <w:ind w:left="0" w:hanging="0"/>
        <w:rPr>
          <w:sz w:val="22"/>
          <w:szCs w:val="22"/>
        </w:rPr>
      </w:pPr>
      <w:r>
        <w:rPr>
          <w:sz w:val="22"/>
          <w:szCs w:val="22"/>
        </w:rPr>
        <w:t>2. Falta de equipamentos de segurança, utensílios de trabalho, ou, falta de substituição, quando determinada pela fiscalização: multa no valor de R$4.000,00 (quatro mil reais) por infração (por funcionário);</w:t>
      </w:r>
    </w:p>
    <w:p>
      <w:pPr>
        <w:pStyle w:val="Nivel2"/>
        <w:numPr>
          <w:ilvl w:val="0"/>
          <w:numId w:val="0"/>
        </w:numPr>
        <w:spacing w:lineRule="auto" w:line="360" w:before="120" w:after="288"/>
        <w:ind w:left="0" w:hanging="0"/>
        <w:rPr>
          <w:sz w:val="22"/>
          <w:szCs w:val="22"/>
        </w:rPr>
      </w:pPr>
      <w:r>
        <w:rPr>
          <w:sz w:val="22"/>
          <w:szCs w:val="22"/>
        </w:rPr>
        <w:t>3. Pela execução dos serviços ou recolhimento de resíduos que não constem do objeto do presente contrato, por tentativa de fraude na pesagem dos resíduos ou pela descarga em local não autorizado: multa no valor de R$ 6.000,00 (seis mil reais) por infração;</w:t>
      </w:r>
    </w:p>
    <w:p>
      <w:pPr>
        <w:pStyle w:val="Nivel2"/>
        <w:numPr>
          <w:ilvl w:val="0"/>
          <w:numId w:val="0"/>
        </w:numPr>
        <w:spacing w:lineRule="auto" w:line="360" w:before="120" w:after="288"/>
        <w:ind w:left="0" w:hanging="0"/>
        <w:rPr>
          <w:sz w:val="22"/>
          <w:szCs w:val="22"/>
        </w:rPr>
      </w:pPr>
      <w:r>
        <w:rPr>
          <w:sz w:val="22"/>
          <w:szCs w:val="22"/>
        </w:rPr>
        <w:t>4. Pelo não atendimento, dentro do prazo de 48 (quarenta e oito) horas, da determinação de substituição de empregados, multa no valor de R$600,00 (seiscentos reais) por infração;</w:t>
      </w:r>
    </w:p>
    <w:p>
      <w:pPr>
        <w:pStyle w:val="Nivel2"/>
        <w:numPr>
          <w:ilvl w:val="0"/>
          <w:numId w:val="0"/>
        </w:numPr>
        <w:spacing w:lineRule="auto" w:line="360" w:before="120" w:after="288"/>
        <w:ind w:left="0" w:hanging="0"/>
        <w:rPr>
          <w:sz w:val="22"/>
          <w:szCs w:val="22"/>
        </w:rPr>
      </w:pPr>
      <w:r>
        <w:rPr>
          <w:sz w:val="22"/>
          <w:szCs w:val="22"/>
        </w:rPr>
        <w:t>5. Alteração do plano de trabalho, sem prévia autorização: multa no valor de R$4.000,00 (quatro mil reais) por ação desconforme com o plano de trabalho aprovado;</w:t>
      </w:r>
    </w:p>
    <w:p>
      <w:pPr>
        <w:pStyle w:val="Nivel2"/>
        <w:numPr>
          <w:ilvl w:val="0"/>
          <w:numId w:val="0"/>
        </w:numPr>
        <w:spacing w:lineRule="auto" w:line="360" w:before="120" w:after="288"/>
        <w:ind w:left="0" w:hanging="0"/>
        <w:rPr>
          <w:sz w:val="22"/>
          <w:szCs w:val="22"/>
        </w:rPr>
      </w:pPr>
      <w:r>
        <w:rPr>
          <w:sz w:val="22"/>
          <w:szCs w:val="22"/>
        </w:rPr>
        <w:t>6. Circuitos não completados ou não realizados, atraso de mais de 3 (três) horas no horário fixado para a coleta: multa no valor de R$4.000,00 (quatro mil reais) por circuito efetuado, com qualquer das irregularidades indicadas;</w:t>
      </w:r>
    </w:p>
    <w:p>
      <w:pPr>
        <w:pStyle w:val="Nivel2"/>
        <w:numPr>
          <w:ilvl w:val="0"/>
          <w:numId w:val="0"/>
        </w:numPr>
        <w:spacing w:lineRule="auto" w:line="360" w:before="120" w:after="288"/>
        <w:ind w:left="0" w:hanging="0"/>
        <w:rPr>
          <w:sz w:val="22"/>
          <w:szCs w:val="22"/>
        </w:rPr>
      </w:pPr>
      <w:r>
        <w:rPr>
          <w:sz w:val="22"/>
          <w:szCs w:val="22"/>
        </w:rPr>
        <w:t>7. Havendo rescisão do contrato por inadimplência, por qualquer um dos motivos elencados na Cláusula DA RESCISÃO da Minuta de Contrato, será aplicada à Contratada a multa de 10% (dez por cento) do valor total do contrato atualizado, bem como a penalidade de suspensão temporária do direito de licitar e de contratar com a Contratante, pelo prazo de até 02 (dois) anos, sem prejuízo das demais sanções elencadas.</w:t>
      </w:r>
    </w:p>
    <w:p>
      <w:pPr>
        <w:pStyle w:val="Nivel2"/>
        <w:numPr>
          <w:ilvl w:val="0"/>
          <w:numId w:val="0"/>
        </w:numPr>
        <w:spacing w:lineRule="auto" w:line="360" w:before="120" w:after="288"/>
        <w:ind w:left="0" w:hanging="0"/>
        <w:rPr>
          <w:sz w:val="22"/>
          <w:szCs w:val="22"/>
        </w:rPr>
      </w:pPr>
      <w:r>
        <w:rPr>
          <w:sz w:val="22"/>
          <w:szCs w:val="22"/>
        </w:rPr>
        <w:t>b.1) Para efeito de aplicação de multa fica estabelecido:</w:t>
      </w:r>
    </w:p>
    <w:p>
      <w:pPr>
        <w:pStyle w:val="Nivel2"/>
        <w:numPr>
          <w:ilvl w:val="0"/>
          <w:numId w:val="0"/>
        </w:numPr>
        <w:spacing w:lineRule="auto" w:line="360" w:before="120" w:after="288"/>
        <w:ind w:left="0" w:hanging="0"/>
        <w:rPr>
          <w:sz w:val="22"/>
          <w:szCs w:val="22"/>
        </w:rPr>
      </w:pPr>
      <w:r>
        <w:rPr>
          <w:sz w:val="22"/>
          <w:szCs w:val="22"/>
        </w:rPr>
        <w:t>1. Circuito de coleta é o percurso total dos locais atendidos por um veículo coletor em período de trabalho.</w:t>
      </w:r>
    </w:p>
    <w:p>
      <w:pPr>
        <w:pStyle w:val="Nivel2"/>
        <w:numPr>
          <w:ilvl w:val="0"/>
          <w:numId w:val="0"/>
        </w:numPr>
        <w:spacing w:lineRule="auto" w:line="360" w:before="120" w:after="288"/>
        <w:ind w:left="0" w:hanging="0"/>
        <w:rPr>
          <w:sz w:val="22"/>
          <w:szCs w:val="22"/>
        </w:rPr>
      </w:pPr>
      <w:r>
        <w:rPr>
          <w:sz w:val="22"/>
          <w:szCs w:val="22"/>
        </w:rPr>
        <w:t>2. As multas serão atualizadas de acordo com o mesmo critério de reajuste dos preços praticados no contrato.</w:t>
      </w:r>
    </w:p>
    <w:p>
      <w:pPr>
        <w:pStyle w:val="Nivel2"/>
        <w:numPr>
          <w:ilvl w:val="0"/>
          <w:numId w:val="0"/>
        </w:numPr>
        <w:spacing w:lineRule="auto" w:line="360" w:before="120" w:after="288"/>
        <w:ind w:left="0" w:hanging="0"/>
        <w:rPr>
          <w:sz w:val="22"/>
          <w:szCs w:val="22"/>
        </w:rPr>
      </w:pPr>
      <w:r>
        <w:rPr>
          <w:sz w:val="22"/>
          <w:szCs w:val="22"/>
        </w:rPr>
        <w:t>3. Em caso de reincidência, a multa a ser aplicada terá seu valor dobrado.</w:t>
      </w:r>
    </w:p>
    <w:p>
      <w:pPr>
        <w:pStyle w:val="Nivel2"/>
        <w:numPr>
          <w:ilvl w:val="0"/>
          <w:numId w:val="0"/>
        </w:numPr>
        <w:spacing w:lineRule="auto" w:line="360" w:before="120" w:after="288"/>
        <w:ind w:left="0" w:hanging="0"/>
        <w:rPr>
          <w:sz w:val="22"/>
          <w:szCs w:val="22"/>
        </w:rPr>
      </w:pPr>
      <w:r>
        <w:rPr>
          <w:sz w:val="22"/>
          <w:szCs w:val="22"/>
        </w:rPr>
        <w:t>4. As multas são independentes e a aplicação de uma não exclui a das outras.</w:t>
      </w:r>
    </w:p>
    <w:p>
      <w:pPr>
        <w:pStyle w:val="Nivel2"/>
        <w:numPr>
          <w:ilvl w:val="0"/>
          <w:numId w:val="0"/>
        </w:numPr>
        <w:spacing w:lineRule="auto" w:line="360" w:before="120" w:after="288"/>
        <w:ind w:left="0" w:hanging="0"/>
        <w:rPr>
          <w:sz w:val="22"/>
          <w:szCs w:val="22"/>
        </w:rPr>
      </w:pPr>
      <w:r>
        <w:rPr>
          <w:sz w:val="22"/>
          <w:szCs w:val="22"/>
        </w:rPr>
        <w:t>5. As multas serão, após regular processo administrativo, descontadas dos créditos da Contratada ou, se for o caso, cobradas administrativa ou judicialmente.</w:t>
      </w:r>
    </w:p>
    <w:p>
      <w:pPr>
        <w:pStyle w:val="Nivel2"/>
        <w:numPr>
          <w:ilvl w:val="0"/>
          <w:numId w:val="0"/>
        </w:numPr>
        <w:spacing w:lineRule="auto" w:line="360" w:before="120" w:after="288"/>
        <w:ind w:left="0" w:hanging="0"/>
        <w:rPr>
          <w:sz w:val="22"/>
          <w:szCs w:val="22"/>
        </w:rPr>
      </w:pPr>
      <w:r>
        <w:rPr>
          <w:sz w:val="22"/>
          <w:szCs w:val="22"/>
        </w:rPr>
        <w:t xml:space="preserve"> </w:t>
      </w:r>
      <w:r>
        <w:rPr>
          <w:sz w:val="22"/>
          <w:szCs w:val="22"/>
        </w:rPr>
        <w:t>b.2) O prazo para pagamento das multas será de 05 (cinco) dias úteis a contar da data de recebimento da cobrança respectiva pela contratada. Não havendo pagamento pela empresa, o valor poderá ser descontado de seus créditos, da garantia ou inscrito como divida ativa, sujeitando-se a contratada a processo executivo.</w:t>
      </w:r>
    </w:p>
    <w:p>
      <w:pPr>
        <w:pStyle w:val="Nivel2"/>
        <w:numPr>
          <w:ilvl w:val="0"/>
          <w:numId w:val="0"/>
        </w:numPr>
        <w:spacing w:lineRule="auto" w:line="360" w:before="120" w:after="288"/>
        <w:ind w:left="0" w:hanging="0"/>
        <w:rPr>
          <w:sz w:val="22"/>
          <w:szCs w:val="22"/>
        </w:rPr>
      </w:pPr>
      <w:r>
        <w:rPr>
          <w:sz w:val="22"/>
          <w:szCs w:val="22"/>
        </w:rPr>
        <w:t>12.2.2 - As penalidades previstas nesta cláusula têm caráter de sanção administrativa, consequentemente, a sua aplicação não exime a Contratada da reparação das eventuais perdas e danos que seu ato punível venha a acarretar ao Município de Itatiba ou a terceiros.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
          <w:bCs/>
          <w:sz w:val="22"/>
          <w:szCs w:val="22"/>
        </w:rPr>
      </w:pPr>
      <w:r>
        <w:rPr>
          <w:rFonts w:cs="Arial" w:ascii="Arial" w:hAnsi="Arial"/>
          <w:b/>
          <w:bCs/>
          <w:sz w:val="22"/>
          <w:szCs w:val="22"/>
        </w:rPr>
        <w:t>XIII. ADEQUAÇÃO ORÇAMENTÁRIA</w:t>
      </w:r>
    </w:p>
    <w:p>
      <w:pPr>
        <w:pStyle w:val="Normal"/>
        <w:spacing w:lineRule="auto" w:line="360"/>
        <w:jc w:val="both"/>
        <w:rPr>
          <w:rFonts w:ascii="Arial" w:hAnsi="Arial" w:cs="Arial"/>
          <w:sz w:val="22"/>
          <w:szCs w:val="22"/>
        </w:rPr>
      </w:pPr>
      <w:r>
        <w:rPr>
          <w:rFonts w:cs="Arial" w:ascii="Arial" w:hAnsi="Arial"/>
          <w:sz w:val="22"/>
          <w:szCs w:val="22"/>
        </w:rPr>
        <w:t xml:space="preserve">13.1 - </w:t>
      </w:r>
      <w:bookmarkStart w:id="38" w:name="_Hlk159923749"/>
      <w:r>
        <w:rPr>
          <w:rFonts w:cs="Arial" w:ascii="Arial" w:hAnsi="Arial"/>
          <w:sz w:val="22"/>
          <w:szCs w:val="22"/>
        </w:rPr>
        <w:t xml:space="preserve">Para fazer frente às despesas do ajuste, existem recursos orçamentários reservados, onerando as dotações classificadas na </w:t>
      </w:r>
      <w:r>
        <w:rPr>
          <w:rFonts w:cs="Arial" w:ascii="Arial" w:hAnsi="Arial"/>
          <w:sz w:val="22"/>
          <w:szCs w:val="22"/>
          <w:u w:val="single"/>
        </w:rPr>
        <w:t>Natureza de Despesa</w:t>
      </w:r>
      <w:bookmarkStart w:id="39" w:name="_Hlk40868929"/>
      <w:r>
        <w:rPr>
          <w:rFonts w:cs="Arial" w:ascii="Arial" w:hAnsi="Arial"/>
          <w:sz w:val="22"/>
          <w:szCs w:val="22"/>
        </w:rPr>
        <w:t xml:space="preserve">: </w:t>
      </w:r>
      <w:bookmarkEnd w:id="39"/>
      <w:r>
        <w:rPr>
          <w:rFonts w:cs="Arial" w:ascii="Arial" w:hAnsi="Arial"/>
          <w:sz w:val="22"/>
          <w:szCs w:val="22"/>
        </w:rPr>
        <w:t>3.3.90.39.00 – Outros Serviços de terceiros – Pessoa Jurídica.</w:t>
      </w:r>
      <w:bookmarkStart w:id="40" w:name="_Hlk117778713"/>
      <w:r>
        <w:rPr>
          <w:rFonts w:cs="Arial" w:ascii="Arial" w:hAnsi="Arial"/>
          <w:sz w:val="22"/>
          <w:szCs w:val="22"/>
        </w:rPr>
        <w:t xml:space="preserve"> </w:t>
      </w:r>
      <w:r>
        <w:rPr>
          <w:rFonts w:cs="Arial" w:ascii="Arial" w:hAnsi="Arial"/>
          <w:sz w:val="22"/>
          <w:szCs w:val="22"/>
          <w:u w:val="single"/>
        </w:rPr>
        <w:t>Unidade Orçamentária</w:t>
      </w:r>
      <w:r>
        <w:rPr>
          <w:rFonts w:cs="Arial" w:ascii="Arial" w:hAnsi="Arial"/>
          <w:sz w:val="22"/>
          <w:szCs w:val="22"/>
        </w:rPr>
        <w:t xml:space="preserve">: </w:t>
      </w:r>
      <w:bookmarkEnd w:id="40"/>
      <w:r>
        <w:rPr>
          <w:rFonts w:cs="Arial" w:ascii="Arial" w:hAnsi="Arial"/>
          <w:sz w:val="22"/>
          <w:szCs w:val="22"/>
        </w:rPr>
        <w:t xml:space="preserve">02.11.01 – Secretaria Municipal de Meio Ambiente. </w:t>
      </w:r>
      <w:r>
        <w:rPr>
          <w:rFonts w:cs="Arial" w:ascii="Arial" w:hAnsi="Arial"/>
          <w:sz w:val="22"/>
          <w:szCs w:val="22"/>
          <w:u w:val="single"/>
        </w:rPr>
        <w:t>Classificação Funcional</w:t>
      </w:r>
      <w:r>
        <w:rPr>
          <w:rFonts w:cs="Arial" w:ascii="Arial" w:hAnsi="Arial"/>
          <w:sz w:val="22"/>
          <w:szCs w:val="22"/>
        </w:rPr>
        <w:t xml:space="preserve">: 18.541.0009.2.085 – Manutenção da </w:t>
      </w:r>
      <w:bookmarkEnd w:id="38"/>
      <w:r>
        <w:rPr>
          <w:rFonts w:cs="Arial" w:ascii="Arial" w:hAnsi="Arial"/>
          <w:sz w:val="22"/>
          <w:szCs w:val="22"/>
        </w:rPr>
        <w:t>SMAA/Meio Ambiente.</w:t>
      </w:r>
    </w:p>
    <w:p>
      <w:pPr>
        <w:pStyle w:val="Standard"/>
        <w:spacing w:lineRule="auto" w:line="360"/>
        <w:jc w:val="both"/>
        <w:rPr>
          <w:sz w:val="22"/>
          <w:szCs w:val="22"/>
        </w:rPr>
      </w:pPr>
      <w:r>
        <w:rPr>
          <w:sz w:val="22"/>
          <w:szCs w:val="22"/>
        </w:rPr>
      </w:r>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bookmarkStart w:id="41" w:name="_Hlk160429393_Copia_1"/>
      <w:bookmarkStart w:id="42" w:name="_Hlk160429393_Copia_1"/>
      <w:bookmarkEnd w:id="42"/>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
          <w:bCs/>
          <w:sz w:val="22"/>
          <w:szCs w:val="22"/>
        </w:rPr>
      </w:pPr>
      <w:r>
        <w:rPr>
          <w:rFonts w:cs="Arial" w:ascii="Arial" w:hAnsi="Arial"/>
          <w:b/>
          <w:bCs/>
          <w:sz w:val="22"/>
          <w:szCs w:val="22"/>
        </w:rPr>
      </w:r>
    </w:p>
    <w:p>
      <w:pPr>
        <w:pStyle w:val="Normal"/>
        <w:tabs>
          <w:tab w:val="clear" w:pos="709"/>
          <w:tab w:val="left" w:pos="3857" w:leader="none"/>
        </w:tabs>
        <w:spacing w:lineRule="auto" w:line="360"/>
        <w:ind w:right="-54" w:hanging="0"/>
        <w:jc w:val="both"/>
        <w:rPr>
          <w:rFonts w:ascii="Arial" w:hAnsi="Arial" w:cs="Arial"/>
          <w:sz w:val="22"/>
          <w:szCs w:val="22"/>
        </w:rPr>
      </w:pPr>
      <w:r>
        <w:rPr>
          <w:rFonts w:cs="Arial" w:ascii="Arial" w:hAnsi="Arial"/>
          <w:b/>
          <w:bCs/>
          <w:sz w:val="22"/>
          <w:szCs w:val="22"/>
        </w:rPr>
        <w:t xml:space="preserve">ANEXO II </w:t>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7" w:hanging="0"/>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sz w:val="22"/>
          <w:szCs w:val="22"/>
        </w:rPr>
      </w:pPr>
      <w:r>
        <w:rPr>
          <w:rFonts w:cs="Arial" w:ascii="Arial" w:hAnsi="Arial"/>
          <w:b/>
          <w:bCs/>
          <w:sz w:val="22"/>
          <w:szCs w:val="22"/>
        </w:rPr>
        <w:t>PREGÃO ELETRÔNICO 40/2024</w:t>
      </w:r>
    </w:p>
    <w:p>
      <w:pPr>
        <w:pStyle w:val="Normal"/>
        <w:spacing w:lineRule="auto" w:line="360"/>
        <w:ind w:right="-57" w:hanging="0"/>
        <w:jc w:val="both"/>
        <w:rPr>
          <w:rFonts w:ascii="Arial" w:hAnsi="Arial" w:cs="Arial"/>
          <w:sz w:val="22"/>
          <w:szCs w:val="22"/>
        </w:rPr>
      </w:pPr>
      <w:r>
        <w:rPr>
          <w:rFonts w:cs="Arial" w:ascii="Arial" w:hAnsi="Arial"/>
          <w:b/>
          <w:bCs/>
          <w:sz w:val="22"/>
          <w:szCs w:val="22"/>
        </w:rPr>
        <w:t>EDITAL Nº 50/2024</w:t>
      </w:r>
    </w:p>
    <w:p>
      <w:pPr>
        <w:pStyle w:val="Normal"/>
        <w:spacing w:lineRule="auto" w:line="360"/>
        <w:ind w:right="-57" w:hanging="0"/>
        <w:jc w:val="both"/>
        <w:rPr>
          <w:rFonts w:ascii="Arial" w:hAnsi="Arial" w:cs="Arial"/>
          <w:sz w:val="22"/>
          <w:szCs w:val="22"/>
        </w:rPr>
      </w:pPr>
      <w:r>
        <w:rPr>
          <w:rFonts w:cs="Arial" w:ascii="Arial" w:hAnsi="Arial"/>
          <w:b/>
          <w:bCs/>
          <w:sz w:val="22"/>
          <w:szCs w:val="22"/>
        </w:rPr>
        <w:t>Processo nº 3098/2024</w:t>
      </w:r>
    </w:p>
    <w:p>
      <w:pPr>
        <w:pStyle w:val="Normal"/>
        <w:tabs>
          <w:tab w:val="clear" w:pos="709"/>
          <w:tab w:val="left" w:pos="1978" w:leader="none"/>
        </w:tabs>
        <w:spacing w:lineRule="auto" w:line="360"/>
        <w:ind w:right="-54" w:hanging="0"/>
        <w:jc w:val="both"/>
        <w:rPr>
          <w:rFonts w:ascii="Arial" w:hAnsi="Arial" w:cs="Arial"/>
          <w:sz w:val="22"/>
          <w:szCs w:val="22"/>
        </w:rPr>
      </w:pPr>
      <w:r>
        <w:rPr>
          <w:rFonts w:cs="Arial" w:ascii="Arial" w:hAnsi="Arial"/>
          <w:sz w:val="22"/>
          <w:szCs w:val="22"/>
        </w:rPr>
        <w:t xml:space="preserve">                   </w:t>
      </w:r>
      <w:r>
        <w:rPr>
          <w:rFonts w:cs="Arial" w:ascii="Arial" w:hAnsi="Arial"/>
          <w:sz w:val="22"/>
          <w:szCs w:val="22"/>
        </w:rPr>
        <w:tab/>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hanging="0"/>
        <w:jc w:val="center"/>
        <w:rPr>
          <w:rFonts w:ascii="Arial" w:hAnsi="Arial" w:cs="Arial"/>
          <w:sz w:val="22"/>
          <w:szCs w:val="22"/>
        </w:rPr>
      </w:pPr>
      <w:r>
        <w:rPr>
          <w:rFonts w:cs="Arial" w:ascii="Arial" w:hAnsi="Arial"/>
          <w:sz w:val="22"/>
          <w:szCs w:val="22"/>
          <w:u w:val="single"/>
        </w:rPr>
        <w:t>MODELO DE CREDENCIAMENTO</w:t>
      </w:r>
    </w:p>
    <w:p>
      <w:pPr>
        <w:pStyle w:val="Normal"/>
        <w:spacing w:lineRule="auto" w:line="360"/>
        <w:ind w:right="-54" w:hanging="0"/>
        <w:jc w:val="center"/>
        <w:rPr>
          <w:rFonts w:ascii="Arial" w:hAnsi="Arial" w:cs="Arial"/>
          <w:sz w:val="22"/>
          <w:szCs w:val="22"/>
        </w:rPr>
      </w:pPr>
      <w:r>
        <w:rPr>
          <w:rFonts w:cs="Arial" w:ascii="Arial" w:hAnsi="Arial"/>
          <w:sz w:val="22"/>
          <w:szCs w:val="22"/>
          <w:u w:val="single"/>
        </w:rPr>
        <w:t>PROCURAÇÃO</w:t>
      </w:r>
    </w:p>
    <w:p>
      <w:pPr>
        <w:pStyle w:val="Normal"/>
        <w:spacing w:lineRule="auto" w:line="360"/>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hanging="0"/>
        <w:jc w:val="both"/>
        <w:rPr>
          <w:rFonts w:ascii="Arial" w:hAnsi="Arial" w:cs="Arial"/>
          <w:sz w:val="22"/>
          <w:szCs w:val="22"/>
        </w:rPr>
      </w:pPr>
      <w:r>
        <w:rPr>
          <w:rFonts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hanging="0"/>
        <w:jc w:val="both"/>
        <w:rPr>
          <w:rFonts w:ascii="Arial" w:hAnsi="Arial" w:cs="Arial"/>
          <w:sz w:val="22"/>
          <w:szCs w:val="22"/>
        </w:rPr>
      </w:pPr>
      <w:r>
        <w:rPr>
          <w:rFonts w:cs="Arial" w:ascii="Arial" w:hAnsi="Arial"/>
          <w:b/>
          <w:bCs/>
          <w:sz w:val="22"/>
          <w:szCs w:val="22"/>
        </w:rPr>
        <w:t>ANEXO III</w:t>
      </w:r>
    </w:p>
    <w:p>
      <w:pPr>
        <w:pStyle w:val="Normal"/>
        <w:spacing w:lineRule="auto" w:line="360"/>
        <w:ind w:right="-54" w:hanging="0"/>
        <w:jc w:val="both"/>
        <w:rPr>
          <w:rFonts w:ascii="Arial" w:hAnsi="Arial" w:cs="Arial"/>
          <w:sz w:val="22"/>
          <w:szCs w:val="22"/>
        </w:rPr>
      </w:pPr>
      <w:r>
        <w:rPr>
          <w:rFonts w:eastAsia="Arial" w:cs="Arial" w:ascii="Arial" w:hAnsi="Arial"/>
          <w:b/>
          <w:bCs/>
          <w:sz w:val="22"/>
          <w:szCs w:val="22"/>
        </w:rPr>
        <w:t xml:space="preserve"> </w:t>
      </w:r>
    </w:p>
    <w:p>
      <w:pPr>
        <w:pStyle w:val="Normal"/>
        <w:spacing w:lineRule="auto" w:line="360"/>
        <w:ind w:right="-57" w:hanging="0"/>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sz w:val="22"/>
          <w:szCs w:val="22"/>
        </w:rPr>
      </w:pPr>
      <w:r>
        <w:rPr>
          <w:rFonts w:cs="Arial" w:ascii="Arial" w:hAnsi="Arial"/>
          <w:b/>
          <w:bCs/>
          <w:sz w:val="22"/>
          <w:szCs w:val="22"/>
        </w:rPr>
        <w:t>PREGÃO ELETRÔNICO 40/2024</w:t>
      </w:r>
    </w:p>
    <w:p>
      <w:pPr>
        <w:pStyle w:val="Normal"/>
        <w:spacing w:lineRule="auto" w:line="360"/>
        <w:ind w:right="-57" w:hanging="0"/>
        <w:jc w:val="both"/>
        <w:rPr>
          <w:rFonts w:ascii="Arial" w:hAnsi="Arial" w:cs="Arial"/>
          <w:sz w:val="22"/>
          <w:szCs w:val="22"/>
        </w:rPr>
      </w:pPr>
      <w:r>
        <w:rPr>
          <w:rFonts w:cs="Arial" w:ascii="Arial" w:hAnsi="Arial"/>
          <w:b/>
          <w:bCs/>
          <w:sz w:val="22"/>
          <w:szCs w:val="22"/>
        </w:rPr>
        <w:t>EDITAL Nº 50/2024</w:t>
      </w:r>
    </w:p>
    <w:p>
      <w:pPr>
        <w:pStyle w:val="Normal"/>
        <w:spacing w:lineRule="auto" w:line="360"/>
        <w:ind w:right="-57" w:hanging="0"/>
        <w:jc w:val="both"/>
        <w:rPr>
          <w:rFonts w:ascii="Arial" w:hAnsi="Arial" w:cs="Arial"/>
          <w:sz w:val="22"/>
          <w:szCs w:val="22"/>
        </w:rPr>
      </w:pPr>
      <w:r>
        <w:rPr>
          <w:rFonts w:cs="Arial" w:ascii="Arial" w:hAnsi="Arial"/>
          <w:b/>
          <w:bCs/>
          <w:sz w:val="22"/>
          <w:szCs w:val="22"/>
        </w:rPr>
        <w:t>Processo nº 3098/2024</w:t>
      </w:r>
    </w:p>
    <w:p>
      <w:pPr>
        <w:pStyle w:val="Normal"/>
        <w:tabs>
          <w:tab w:val="clear" w:pos="709"/>
          <w:tab w:val="left" w:pos="1978" w:leader="none"/>
        </w:tabs>
        <w:spacing w:lineRule="auto" w:line="360"/>
        <w:ind w:right="-54" w:hanging="0"/>
        <w:jc w:val="both"/>
        <w:rPr>
          <w:rFonts w:ascii="Arial" w:hAnsi="Arial" w:cs="Arial"/>
          <w:sz w:val="22"/>
          <w:szCs w:val="22"/>
        </w:rPr>
      </w:pPr>
      <w:r>
        <w:rPr>
          <w:rFonts w:cs="Arial" w:ascii="Arial" w:hAnsi="Arial"/>
          <w:sz w:val="22"/>
          <w:szCs w:val="22"/>
        </w:rPr>
        <w:t xml:space="preserve">                   </w:t>
      </w:r>
      <w:r>
        <w:rPr>
          <w:rFonts w:cs="Arial" w:ascii="Arial" w:hAnsi="Arial"/>
          <w:sz w:val="22"/>
          <w:szCs w:val="22"/>
        </w:rPr>
        <w:tab/>
      </w:r>
    </w:p>
    <w:p>
      <w:pPr>
        <w:pStyle w:val="Normal"/>
        <w:spacing w:lineRule="auto" w:line="360"/>
        <w:ind w:right="-57"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rPr>
      </w:pPr>
      <w:r>
        <w:rPr>
          <w:rFonts w:cs="Arial" w:ascii="Arial" w:hAnsi="Arial"/>
          <w:sz w:val="22"/>
          <w:szCs w:val="22"/>
          <w:u w:val="single"/>
        </w:rPr>
        <w:t>DECLARAÇÃO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40/2024),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eastAsia="Arial" w:cs="Arial"/>
          <w:b/>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7" w:hanging="0"/>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hanging="0"/>
        <w:jc w:val="both"/>
        <w:rPr>
          <w:rFonts w:ascii="Arial" w:hAnsi="Arial" w:cs="Arial"/>
          <w:sz w:val="22"/>
          <w:szCs w:val="22"/>
        </w:rPr>
      </w:pPr>
      <w:r>
        <w:rPr>
          <w:rFonts w:cs="Arial" w:ascii="Arial" w:hAnsi="Arial"/>
          <w:b/>
          <w:bCs/>
          <w:sz w:val="22"/>
          <w:szCs w:val="22"/>
        </w:rPr>
        <w:t>PREGÃO ELETRÔNICO 40/2024</w:t>
      </w:r>
    </w:p>
    <w:p>
      <w:pPr>
        <w:pStyle w:val="Normal"/>
        <w:spacing w:lineRule="auto" w:line="360"/>
        <w:ind w:right="-57" w:hanging="0"/>
        <w:jc w:val="both"/>
        <w:rPr>
          <w:rFonts w:ascii="Arial" w:hAnsi="Arial" w:cs="Arial"/>
          <w:sz w:val="22"/>
          <w:szCs w:val="22"/>
        </w:rPr>
      </w:pPr>
      <w:r>
        <w:rPr>
          <w:rFonts w:cs="Arial" w:ascii="Arial" w:hAnsi="Arial"/>
          <w:b/>
          <w:bCs/>
          <w:sz w:val="22"/>
          <w:szCs w:val="22"/>
        </w:rPr>
        <w:t>EDITAL Nº 50/2024</w:t>
      </w:r>
    </w:p>
    <w:p>
      <w:pPr>
        <w:pStyle w:val="Normal"/>
        <w:spacing w:lineRule="auto" w:line="360"/>
        <w:ind w:right="-57" w:hanging="0"/>
        <w:jc w:val="both"/>
        <w:rPr>
          <w:rFonts w:ascii="Arial" w:hAnsi="Arial" w:cs="Arial"/>
          <w:sz w:val="22"/>
          <w:szCs w:val="22"/>
        </w:rPr>
      </w:pPr>
      <w:r>
        <w:rPr>
          <w:rFonts w:cs="Arial" w:ascii="Arial" w:hAnsi="Arial"/>
          <w:b/>
          <w:bCs/>
          <w:sz w:val="22"/>
          <w:szCs w:val="22"/>
        </w:rPr>
        <w:t>Processo nº 3098/2024</w:t>
      </w:r>
    </w:p>
    <w:p>
      <w:pPr>
        <w:pStyle w:val="Normal"/>
        <w:spacing w:lineRule="auto" w:line="360"/>
        <w:jc w:val="both"/>
        <w:rPr>
          <w:rFonts w:ascii="Arial" w:hAnsi="Arial" w:cs="Arial"/>
          <w:b/>
          <w:b/>
          <w:sz w:val="22"/>
          <w:szCs w:val="22"/>
        </w:rPr>
      </w:pPr>
      <w:r>
        <w:rPr>
          <w:rFonts w:cs="Arial" w:ascii="Arial" w:hAnsi="Arial"/>
          <w:b/>
          <w:sz w:val="22"/>
          <w:szCs w:val="22"/>
        </w:rPr>
      </w:r>
    </w:p>
    <w:p>
      <w:pPr>
        <w:pStyle w:val="Normal"/>
        <w:spacing w:lineRule="auto" w:line="360"/>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hanging="0"/>
        <w:jc w:val="center"/>
        <w:rPr>
          <w:rFonts w:ascii="Arial" w:hAnsi="Arial" w:cs="Arial"/>
          <w:sz w:val="22"/>
          <w:szCs w:val="22"/>
        </w:rPr>
      </w:pPr>
      <w:r>
        <w:rPr>
          <w:rFonts w:cs="Arial" w:ascii="Arial" w:hAnsi="Arial"/>
          <w:sz w:val="22"/>
          <w:szCs w:val="22"/>
        </w:rPr>
        <w:t>OU</w:t>
      </w:r>
    </w:p>
    <w:p>
      <w:pPr>
        <w:pStyle w:val="Normal"/>
        <w:spacing w:lineRule="auto" w:line="360"/>
        <w:ind w:right="-54" w:hanging="0"/>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360"/>
        <w:ind w:left="3540" w:right="-54" w:hanging="0"/>
        <w:jc w:val="both"/>
        <w:rPr>
          <w:rFonts w:ascii="Arial" w:hAnsi="Arial" w:cs="Arial"/>
          <w:sz w:val="22"/>
          <w:szCs w:val="22"/>
        </w:rPr>
      </w:pPr>
      <w:r>
        <w:rPr>
          <w:rFonts w:cs="Arial" w:ascii="Arial" w:hAnsi="Arial"/>
          <w:sz w:val="22"/>
          <w:szCs w:val="22"/>
        </w:rPr>
        <w:t>RG nº...................................</w:t>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sz w:val="22"/>
          <w:szCs w:val="22"/>
        </w:rPr>
      </w:pPr>
      <w:r>
        <w:rPr>
          <w:rFonts w:cs="Arial" w:ascii="Arial" w:hAnsi="Arial"/>
          <w:b/>
          <w:bCs/>
          <w:sz w:val="22"/>
          <w:szCs w:val="22"/>
        </w:rPr>
        <w:t>ANEXO V - MODELO - Proposta</w:t>
      </w:r>
    </w:p>
    <w:p>
      <w:pPr>
        <w:pStyle w:val="Normal"/>
        <w:spacing w:lineRule="auto" w:line="360"/>
        <w:ind w:right="-57" w:hanging="0"/>
        <w:jc w:val="both"/>
        <w:rPr>
          <w:rFonts w:ascii="Arial" w:hAnsi="Arial" w:cs="Arial"/>
          <w:sz w:val="22"/>
          <w:szCs w:val="22"/>
        </w:rPr>
      </w:pPr>
      <w:r>
        <w:rPr>
          <w:rFonts w:cs="Arial" w:ascii="Arial" w:hAnsi="Arial"/>
          <w:b/>
          <w:bCs/>
          <w:sz w:val="22"/>
          <w:szCs w:val="22"/>
        </w:rPr>
        <w:t>Pregão nº 40/2024</w:t>
      </w:r>
    </w:p>
    <w:p>
      <w:pPr>
        <w:pStyle w:val="Normal"/>
        <w:spacing w:lineRule="auto" w:line="360"/>
        <w:ind w:right="-57" w:hanging="0"/>
        <w:jc w:val="both"/>
        <w:rPr>
          <w:rFonts w:ascii="Arial" w:hAnsi="Arial" w:cs="Arial"/>
          <w:sz w:val="22"/>
          <w:szCs w:val="22"/>
        </w:rPr>
      </w:pPr>
      <w:r>
        <w:rPr>
          <w:rFonts w:cs="Arial" w:ascii="Arial" w:hAnsi="Arial"/>
          <w:b/>
          <w:bCs/>
          <w:sz w:val="22"/>
          <w:szCs w:val="22"/>
        </w:rPr>
        <w:t>Processo nº 3098/2024</w:t>
      </w:r>
    </w:p>
    <w:p>
      <w:pPr>
        <w:pStyle w:val="Normal"/>
        <w:spacing w:lineRule="auto" w:line="360"/>
        <w:ind w:right="-54"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both"/>
        <w:rPr>
          <w:rFonts w:ascii="Arial" w:hAnsi="Arial" w:cs="Arial"/>
          <w:sz w:val="22"/>
          <w:szCs w:val="22"/>
        </w:rPr>
      </w:pPr>
      <w:r>
        <w:rPr>
          <w:rFonts w:cs="Arial" w:ascii="Arial" w:hAnsi="Arial"/>
          <w:sz w:val="22"/>
          <w:szCs w:val="22"/>
        </w:rPr>
        <w:t>À</w:t>
      </w:r>
    </w:p>
    <w:p>
      <w:pPr>
        <w:pStyle w:val="Normal"/>
        <w:spacing w:lineRule="auto" w:line="360"/>
        <w:ind w:right="-54" w:hanging="0"/>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Segue nossa proposta para fornecimento dos serviços a seguir:</w:t>
      </w:r>
    </w:p>
    <w:tbl>
      <w:tblPr>
        <w:tblW w:w="8282"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999"/>
        <w:gridCol w:w="2940"/>
        <w:gridCol w:w="857"/>
        <w:gridCol w:w="1018"/>
        <w:gridCol w:w="1247"/>
        <w:gridCol w:w="1220"/>
      </w:tblGrid>
      <w:tr>
        <w:trPr>
          <w:cantSplit w:val="true"/>
        </w:trPr>
        <w:tc>
          <w:tcPr>
            <w:tcW w:w="8281"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b/>
                <w:b/>
                <w:sz w:val="16"/>
                <w:szCs w:val="16"/>
              </w:rPr>
            </w:pPr>
            <w:r>
              <w:rPr>
                <w:rFonts w:cs="Arial" w:ascii="Arial" w:hAnsi="Arial"/>
                <w:b/>
                <w:sz w:val="16"/>
                <w:szCs w:val="16"/>
              </w:rPr>
              <w:t>LOTE 01</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Item</w:t>
            </w:r>
          </w:p>
        </w:tc>
        <w:tc>
          <w:tcPr>
            <w:tcW w:w="294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
                <w:bCs/>
                <w:sz w:val="16"/>
                <w:szCs w:val="16"/>
              </w:rPr>
            </w:pPr>
            <w:r>
              <w:rPr>
                <w:rFonts w:cs="Arial" w:ascii="Arial" w:hAnsi="Arial"/>
                <w:b/>
                <w:bCs/>
                <w:sz w:val="16"/>
                <w:szCs w:val="16"/>
              </w:rPr>
              <w:t>Material</w:t>
            </w:r>
          </w:p>
        </w:tc>
        <w:tc>
          <w:tcPr>
            <w:tcW w:w="85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
                <w:bCs/>
                <w:sz w:val="16"/>
                <w:szCs w:val="16"/>
              </w:rPr>
            </w:pPr>
            <w:r>
              <w:rPr>
                <w:rFonts w:cs="Arial" w:ascii="Arial" w:hAnsi="Arial"/>
                <w:b/>
                <w:bCs/>
                <w:sz w:val="16"/>
                <w:szCs w:val="16"/>
              </w:rPr>
              <w:t>Unidade</w:t>
            </w:r>
          </w:p>
        </w:tc>
        <w:tc>
          <w:tcPr>
            <w:tcW w:w="101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Quantidade</w:t>
            </w:r>
          </w:p>
        </w:tc>
        <w:tc>
          <w:tcPr>
            <w:tcW w:w="124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Preço Unitário</w:t>
            </w:r>
          </w:p>
        </w:tc>
        <w:tc>
          <w:tcPr>
            <w:tcW w:w="122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
                <w:bCs/>
                <w:sz w:val="16"/>
                <w:szCs w:val="16"/>
              </w:rPr>
            </w:pPr>
            <w:r>
              <w:rPr>
                <w:rFonts w:cs="Arial" w:ascii="Arial" w:hAnsi="Arial"/>
                <w:b/>
                <w:bCs/>
                <w:sz w:val="16"/>
                <w:szCs w:val="16"/>
              </w:rPr>
              <w:t>Preço Total</w:t>
            </w:r>
          </w:p>
        </w:tc>
      </w:tr>
      <w:tr>
        <w:trPr>
          <w:cantSplit w:val="true"/>
        </w:trPr>
        <w:tc>
          <w:tcPr>
            <w:tcW w:w="99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1.1</w:t>
            </w:r>
          </w:p>
        </w:tc>
        <w:tc>
          <w:tcPr>
            <w:tcW w:w="2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b/>
                <w:b/>
                <w:bCs/>
                <w:sz w:val="16"/>
                <w:szCs w:val="16"/>
              </w:rPr>
            </w:pPr>
            <w:r>
              <w:rPr>
                <w:rFonts w:cs="Arial" w:ascii="Arial" w:hAnsi="Arial"/>
                <w:b/>
                <w:bCs/>
                <w:sz w:val="16"/>
                <w:szCs w:val="16"/>
              </w:rPr>
              <w:t>2.03.23.0088-0 - Coleta, transporte, tratamento e disposição final de resíduos sólidos de serviços de saúde grupos A1, A4 e E</w:t>
            </w:r>
          </w:p>
        </w:tc>
        <w:tc>
          <w:tcPr>
            <w:tcW w:w="8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KG</w:t>
            </w:r>
          </w:p>
        </w:tc>
        <w:tc>
          <w:tcPr>
            <w:tcW w:w="10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288.000</w:t>
            </w:r>
          </w:p>
        </w:tc>
        <w:tc>
          <w:tcPr>
            <w:tcW w:w="124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r>
          </w:p>
        </w:tc>
        <w:tc>
          <w:tcPr>
            <w:tcW w:w="12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r>
          </w:p>
        </w:tc>
      </w:tr>
      <w:tr>
        <w:trPr>
          <w:cantSplit w:val="true"/>
        </w:trPr>
        <w:tc>
          <w:tcPr>
            <w:tcW w:w="8281"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Coleta, transporte, tratamento e disposição final de resíduos sólidos de serviços de saúde grupos A1, A4 e E</w:t>
            </w:r>
          </w:p>
          <w:p>
            <w:pPr>
              <w:pStyle w:val="Normal"/>
              <w:widowControl w:val="false"/>
              <w:jc w:val="both"/>
              <w:rPr>
                <w:rFonts w:ascii="Arial" w:hAnsi="Arial" w:cs="Arial"/>
                <w:sz w:val="16"/>
                <w:szCs w:val="16"/>
              </w:rPr>
            </w:pPr>
            <w:r>
              <w:rPr>
                <w:rFonts w:cs="Arial" w:ascii="Arial" w:hAnsi="Arial"/>
                <w:sz w:val="16"/>
                <w:szCs w:val="16"/>
              </w:rPr>
              <w:t xml:space="preserve">Quantidade mensal 12.000 kg - estimado 24 meses </w:t>
            </w:r>
          </w:p>
        </w:tc>
      </w:tr>
      <w:tr>
        <w:trPr>
          <w:cantSplit w:val="true"/>
        </w:trPr>
        <w:tc>
          <w:tcPr>
            <w:tcW w:w="99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1.2</w:t>
            </w:r>
          </w:p>
        </w:tc>
        <w:tc>
          <w:tcPr>
            <w:tcW w:w="2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b/>
                <w:b/>
                <w:bCs/>
                <w:sz w:val="16"/>
                <w:szCs w:val="16"/>
              </w:rPr>
            </w:pPr>
            <w:r>
              <w:rPr>
                <w:rFonts w:cs="Arial" w:ascii="Arial" w:hAnsi="Arial"/>
                <w:b/>
                <w:bCs/>
                <w:sz w:val="16"/>
                <w:szCs w:val="16"/>
              </w:rPr>
              <w:t>2.03.23.0089-8 - Coleta, transporte, tratamento e disposição final de resíduos sólidos de serviços de saúde grupo A2</w:t>
            </w:r>
          </w:p>
        </w:tc>
        <w:tc>
          <w:tcPr>
            <w:tcW w:w="8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KG</w:t>
            </w:r>
          </w:p>
        </w:tc>
        <w:tc>
          <w:tcPr>
            <w:tcW w:w="10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54.000</w:t>
            </w:r>
          </w:p>
        </w:tc>
        <w:tc>
          <w:tcPr>
            <w:tcW w:w="124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r>
          </w:p>
        </w:tc>
        <w:tc>
          <w:tcPr>
            <w:tcW w:w="12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r>
          </w:p>
        </w:tc>
      </w:tr>
      <w:tr>
        <w:trPr>
          <w:trHeight w:val="606" w:hRule="atLeast"/>
          <w:cantSplit w:val="true"/>
        </w:trPr>
        <w:tc>
          <w:tcPr>
            <w:tcW w:w="8281"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Coleta, transporte, tratamento e disposição final de resíduos sólidos de serviços de saúde grupo A2</w:t>
            </w:r>
          </w:p>
          <w:p>
            <w:pPr>
              <w:pStyle w:val="Normal"/>
              <w:widowControl w:val="false"/>
              <w:jc w:val="both"/>
              <w:rPr>
                <w:rFonts w:ascii="Arial" w:hAnsi="Arial" w:cs="Arial"/>
                <w:sz w:val="16"/>
                <w:szCs w:val="16"/>
              </w:rPr>
            </w:pPr>
            <w:r>
              <w:rPr>
                <w:rFonts w:cs="Arial" w:ascii="Arial" w:hAnsi="Arial"/>
                <w:sz w:val="16"/>
                <w:szCs w:val="16"/>
              </w:rPr>
              <w:t xml:space="preserve"> </w:t>
            </w:r>
            <w:r>
              <w:rPr>
                <w:rFonts w:cs="Arial" w:ascii="Arial" w:hAnsi="Arial"/>
                <w:sz w:val="16"/>
                <w:szCs w:val="16"/>
              </w:rPr>
              <w:t xml:space="preserve">Quantidade mensal 2.250kg - estimado 24 meses. </w:t>
            </w:r>
          </w:p>
        </w:tc>
      </w:tr>
      <w:tr>
        <w:trPr>
          <w:cantSplit w:val="true"/>
        </w:trPr>
        <w:tc>
          <w:tcPr>
            <w:tcW w:w="99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t>1.3</w:t>
            </w:r>
          </w:p>
        </w:tc>
        <w:tc>
          <w:tcPr>
            <w:tcW w:w="2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both"/>
              <w:rPr>
                <w:rFonts w:ascii="Arial" w:hAnsi="Arial" w:cs="Arial"/>
                <w:b/>
                <w:b/>
                <w:bCs/>
                <w:sz w:val="16"/>
                <w:szCs w:val="16"/>
              </w:rPr>
            </w:pPr>
            <w:r>
              <w:rPr>
                <w:rFonts w:cs="Arial" w:ascii="Arial" w:hAnsi="Arial"/>
                <w:b/>
                <w:bCs/>
                <w:sz w:val="16"/>
                <w:szCs w:val="16"/>
              </w:rPr>
              <w:t>2.03.23.0090-1 - Coleta, transporte, tratamento e disposição final de resíduos sólidos de serviços de saúde grupos A3, A5 e B.</w:t>
            </w:r>
          </w:p>
        </w:tc>
        <w:tc>
          <w:tcPr>
            <w:tcW w:w="85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KG</w:t>
            </w:r>
          </w:p>
        </w:tc>
        <w:tc>
          <w:tcPr>
            <w:tcW w:w="101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Arial" w:hAnsi="Arial" w:cs="Arial"/>
                <w:b/>
                <w:b/>
                <w:bCs/>
                <w:sz w:val="16"/>
                <w:szCs w:val="16"/>
              </w:rPr>
            </w:pPr>
            <w:r>
              <w:rPr>
                <w:rFonts w:cs="Arial" w:ascii="Arial" w:hAnsi="Arial"/>
                <w:b/>
                <w:bCs/>
                <w:sz w:val="16"/>
                <w:szCs w:val="16"/>
              </w:rPr>
              <w:t>18.000</w:t>
            </w:r>
          </w:p>
        </w:tc>
        <w:tc>
          <w:tcPr>
            <w:tcW w:w="124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r>
          </w:p>
        </w:tc>
        <w:tc>
          <w:tcPr>
            <w:tcW w:w="12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b/>
                <w:b/>
                <w:bCs/>
                <w:sz w:val="16"/>
                <w:szCs w:val="16"/>
              </w:rPr>
            </w:pPr>
            <w:r>
              <w:rPr>
                <w:rFonts w:cs="Arial" w:ascii="Arial" w:hAnsi="Arial"/>
                <w:b/>
                <w:bCs/>
                <w:sz w:val="16"/>
                <w:szCs w:val="16"/>
              </w:rPr>
            </w:r>
          </w:p>
        </w:tc>
      </w:tr>
      <w:tr>
        <w:trPr>
          <w:cantSplit w:val="true"/>
        </w:trPr>
        <w:tc>
          <w:tcPr>
            <w:tcW w:w="8281"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Coleta, transporte, tratamento e disposição final de resíduos sólidos de serviços de saúde grupos A3, A5 e B.</w:t>
            </w:r>
          </w:p>
          <w:p>
            <w:pPr>
              <w:pStyle w:val="Normal"/>
              <w:widowControl w:val="false"/>
              <w:jc w:val="both"/>
              <w:rPr>
                <w:rFonts w:ascii="Arial" w:hAnsi="Arial" w:cs="Arial"/>
                <w:sz w:val="16"/>
                <w:szCs w:val="16"/>
              </w:rPr>
            </w:pPr>
            <w:r>
              <w:rPr>
                <w:rFonts w:cs="Arial" w:ascii="Arial" w:hAnsi="Arial"/>
                <w:sz w:val="16"/>
                <w:szCs w:val="16"/>
              </w:rPr>
              <w:t>Quantidade mensal 750Kg - estimado 24 meses</w:t>
            </w:r>
          </w:p>
        </w:tc>
      </w:tr>
      <w:tr>
        <w:trPr>
          <w:cantSplit w:val="true"/>
        </w:trPr>
        <w:tc>
          <w:tcPr>
            <w:tcW w:w="8281"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right"/>
              <w:rPr>
                <w:rFonts w:ascii="Arial" w:hAnsi="Arial" w:cs="Arial"/>
                <w:b/>
                <w:b/>
                <w:bCs/>
                <w:sz w:val="16"/>
                <w:szCs w:val="16"/>
              </w:rPr>
            </w:pPr>
            <w:r>
              <w:rPr>
                <w:rFonts w:cs="Arial" w:ascii="Arial" w:hAnsi="Arial"/>
                <w:b/>
                <w:bCs/>
                <w:sz w:val="16"/>
                <w:szCs w:val="16"/>
              </w:rPr>
              <w:t>VALOR TOTAL DO LOTE 01 – R$ _________________________________</w:t>
            </w:r>
          </w:p>
        </w:tc>
      </w:tr>
    </w:tbl>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widowControl w:val="false"/>
        <w:tabs>
          <w:tab w:val="clear" w:pos="709"/>
          <w:tab w:val="left" w:pos="8322" w:leader="none"/>
        </w:tabs>
        <w:spacing w:lineRule="auto" w:line="360"/>
        <w:rPr>
          <w:rFonts w:ascii="Arial" w:hAnsi="Arial" w:cs="Arial"/>
          <w:b/>
          <w:b/>
          <w:bCs/>
          <w:sz w:val="22"/>
          <w:szCs w:val="22"/>
        </w:rPr>
      </w:pPr>
      <w:r>
        <mc:AlternateContent>
          <mc:Choice Requires="wps">
            <w:drawing>
              <wp:anchor behindDoc="0" distT="0" distB="0" distL="0" distR="0" simplePos="0" locked="0" layoutInCell="0" allowOverlap="1" relativeHeight="116" wp14:anchorId="227B5216">
                <wp:simplePos x="0" y="0"/>
                <wp:positionH relativeFrom="column">
                  <wp:posOffset>0</wp:posOffset>
                </wp:positionH>
                <wp:positionV relativeFrom="paragraph">
                  <wp:posOffset>635</wp:posOffset>
                </wp:positionV>
                <wp:extent cx="635000" cy="635000"/>
                <wp:effectExtent l="0" t="0" r="0" b="0"/>
                <wp:wrapNone/>
                <wp:docPr id="1" name="_x0000_tole_rId5"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5" path="m0,0l-2147483645,0l-2147483645,-2147483646l0,-2147483646xe" stroked="f" o:allowincell="f" style="position:absolute;margin-left:0pt;margin-top:0.05pt;width:49.95pt;height:49.95pt;mso-wrap-style:none;v-text-anchor:middle" wp14:anchorId="227B5216">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17" wp14:anchorId="1D174768">
                <wp:simplePos x="0" y="0"/>
                <wp:positionH relativeFrom="column">
                  <wp:posOffset>635</wp:posOffset>
                </wp:positionH>
                <wp:positionV relativeFrom="paragraph">
                  <wp:posOffset>635</wp:posOffset>
                </wp:positionV>
                <wp:extent cx="635000" cy="635000"/>
                <wp:effectExtent l="635" t="0" r="0" b="0"/>
                <wp:wrapNone/>
                <wp:docPr id="2" name="_x0000_tole_rId14"/>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4" path="m0,0l-2147483645,0l-2147483645,-2147483646l0,-2147483646xe" stroked="f" o:allowincell="f" style="position:absolute;margin-left:0.05pt;margin-top:0.05pt;width:49.95pt;height:49.95pt;mso-wrap-style:none;v-text-anchor:middle" wp14:anchorId="1D174768">
                <v:fill o:detectmouseclick="t" on="false"/>
                <v:stroke color="#3465a4" joinstyle="round" endcap="flat"/>
                <w10:wrap type="none"/>
              </v:rect>
            </w:pict>
          </mc:Fallback>
        </mc:AlternateContent>
      </w:r>
      <w:r>
        <w:rPr>
          <w:rFonts w:cs="Arial" w:ascii="Arial" w:hAnsi="Arial"/>
          <w:b/>
          <w:bCs/>
          <w:sz w:val="22"/>
          <w:szCs w:val="22"/>
        </w:rPr>
        <w:t>ANEXO VI – MINUTA DE CONTRATO</w:t>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b/>
          <w:b/>
          <w:bCs/>
          <w:sz w:val="22"/>
          <w:szCs w:val="22"/>
        </w:rPr>
      </w:pPr>
      <w:r>
        <w:rPr>
          <w:rFonts w:cs="Arial" w:ascii="Arial" w:hAnsi="Arial"/>
          <w:b/>
          <w:bCs/>
          <w:sz w:val="22"/>
          <w:szCs w:val="22"/>
        </w:rPr>
        <w:t>CONTRATO ADMINISTRATIVO Nº  XX/2024</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sz w:val="22"/>
          <w:szCs w:val="22"/>
        </w:rPr>
      </w:pPr>
      <w:r>
        <w:rPr>
          <w:rFonts w:cs="Arial" w:ascii="Arial" w:hAnsi="Arial"/>
          <w:b/>
          <w:bCs/>
          <w:sz w:val="22"/>
          <w:szCs w:val="22"/>
        </w:rPr>
        <w:t>PROCESSO ADMINISTRATIVO Nº 3098/2024</w:t>
      </w:r>
    </w:p>
    <w:p>
      <w:pPr>
        <w:pStyle w:val="Normal"/>
        <w:pBdr>
          <w:top w:val="single" w:sz="4" w:space="1" w:color="000000"/>
          <w:left w:val="single" w:sz="4" w:space="4" w:color="000000"/>
          <w:bottom w:val="single" w:sz="4" w:space="1" w:color="000000"/>
          <w:right w:val="single" w:sz="4" w:space="4" w:color="000000"/>
        </w:pBdr>
        <w:spacing w:lineRule="auto" w:line="360"/>
        <w:ind w:right="-54" w:hanging="0"/>
        <w:jc w:val="center"/>
        <w:rPr>
          <w:rFonts w:ascii="Arial" w:hAnsi="Arial" w:cs="Arial"/>
          <w:b/>
          <w:b/>
          <w:bCs/>
          <w:sz w:val="22"/>
          <w:szCs w:val="22"/>
        </w:rPr>
      </w:pPr>
      <w:r>
        <w:rPr>
          <w:rFonts w:cs="Arial" w:ascii="Arial" w:hAnsi="Arial"/>
          <w:b/>
          <w:bCs/>
          <w:sz w:val="22"/>
          <w:szCs w:val="22"/>
        </w:rPr>
        <w:t>Pregão Eletrônico 40/2024</w:t>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13">
        <w:r>
          <w:rPr>
            <w:rStyle w:val="LinkdaInternet"/>
            <w:rFonts w:eastAsia="Arial" w:cs="Arial" w:ascii="Arial" w:hAnsi="Arial"/>
            <w:color w:val="auto"/>
            <w:sz w:val="22"/>
            <w:szCs w:val="22"/>
          </w:rPr>
          <w:t>Lei nº 14.133, de 1º de abril de 2021</w:t>
        </w:r>
      </w:hyperlink>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left="0" w:hanging="0"/>
        <w:rPr>
          <w:sz w:val="22"/>
          <w:szCs w:val="22"/>
        </w:rPr>
      </w:pPr>
      <w:r>
        <w:rPr>
          <w:sz w:val="22"/>
          <w:szCs w:val="22"/>
        </w:rPr>
        <w:t>CLÁUSULA PRIMEIRA – OBJETO</w:t>
      </w:r>
    </w:p>
    <w:p>
      <w:pPr>
        <w:pStyle w:val="Nivel2"/>
        <w:numPr>
          <w:ilvl w:val="1"/>
          <w:numId w:val="3"/>
        </w:numPr>
        <w:spacing w:lineRule="auto" w:line="360" w:before="120" w:after="288"/>
        <w:ind w:left="0" w:hanging="0"/>
        <w:rPr>
          <w:color w:val="auto"/>
          <w:sz w:val="22"/>
          <w:szCs w:val="22"/>
        </w:rPr>
      </w:pPr>
      <w:r>
        <w:rPr>
          <w:color w:val="auto"/>
          <w:sz w:val="22"/>
          <w:szCs w:val="22"/>
        </w:rPr>
        <w:t>- O objeto do presente instrumento é a contratação de .........................., nas condições estabelecidas no Termo de Referência, que fica fazendo parte deste contrato.</w:t>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5"/>
        <w:gridCol w:w="2555"/>
        <w:gridCol w:w="1280"/>
        <w:gridCol w:w="1135"/>
        <w:gridCol w:w="1554"/>
        <w:gridCol w:w="1284"/>
        <w:gridCol w:w="984"/>
      </w:tblGrid>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
                <w:bCs/>
                <w:sz w:val="18"/>
                <w:szCs w:val="18"/>
              </w:rPr>
            </w:pPr>
            <w:r>
              <w:rPr>
                <w:rFonts w:eastAsia="Arial" w:cs="Arial" w:ascii="Arial" w:hAnsi="Arial"/>
                <w:b/>
                <w:bCs/>
                <w:sz w:val="18"/>
                <w:szCs w:val="18"/>
              </w:rPr>
              <w:t>ITEM</w:t>
            </w:r>
          </w:p>
          <w:p>
            <w:pPr>
              <w:pStyle w:val="Normal"/>
              <w:widowControl w:val="false"/>
              <w:spacing w:before="120" w:after="288"/>
              <w:jc w:val="center"/>
              <w:rPr>
                <w:rFonts w:ascii="Arial" w:hAnsi="Arial" w:eastAsia="Arial" w:cs="Arial"/>
                <w:b/>
                <w:b/>
                <w:bCs/>
                <w:sz w:val="18"/>
                <w:szCs w:val="18"/>
              </w:rPr>
            </w:pPr>
            <w:r>
              <w:rPr>
                <w:rFonts w:eastAsia="Arial" w:cs="Arial" w:ascii="Arial" w:hAnsi="Arial"/>
                <w:b/>
                <w:bCs/>
                <w:sz w:val="18"/>
                <w:szCs w:val="18"/>
              </w:rPr>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sz w:val="18"/>
                <w:szCs w:val="18"/>
              </w:rPr>
            </w:pPr>
            <w:r>
              <w:rPr>
                <w:rFonts w:eastAsia="Arial" w:cs="Arial" w:ascii="Arial" w:hAnsi="Arial"/>
                <w:b/>
                <w:bCs/>
                <w:sz w:val="18"/>
                <w:szCs w:val="18"/>
              </w:rPr>
              <w:t>CÓDIGO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sz w:val="18"/>
                <w:szCs w:val="18"/>
              </w:rPr>
            </w:pPr>
            <w:r>
              <w:rPr>
                <w:rFonts w:eastAsia="Arial" w:cs="Arial" w:ascii="Arial" w:hAnsi="Arial"/>
                <w:b/>
                <w:bCs/>
                <w:sz w:val="18"/>
                <w:szCs w:val="18"/>
              </w:rPr>
              <w:t>UNIDADE DE MEDIDA</w:t>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
                <w:bCs/>
                <w:sz w:val="18"/>
                <w:szCs w:val="18"/>
              </w:rPr>
            </w:pPr>
            <w:r>
              <w:rPr>
                <w:rFonts w:eastAsia="Arial" w:cs="Arial" w:ascii="Arial" w:hAnsi="Arial"/>
                <w:b/>
                <w:bCs/>
                <w:sz w:val="18"/>
                <w:szCs w:val="18"/>
              </w:rPr>
              <w:t>QUANTIDADE</w:t>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
                <w:bCs/>
                <w:sz w:val="18"/>
                <w:szCs w:val="18"/>
              </w:rPr>
            </w:pPr>
            <w:r>
              <w:rPr>
                <w:rFonts w:eastAsia="Arial" w:cs="Arial" w:ascii="Arial" w:hAnsi="Arial"/>
                <w:b/>
                <w:bCs/>
                <w:sz w:val="18"/>
                <w:szCs w:val="18"/>
              </w:rPr>
              <w:t>VALOR UNITÁRIO</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
                <w:bCs/>
                <w:sz w:val="18"/>
                <w:szCs w:val="18"/>
              </w:rPr>
            </w:pPr>
            <w:r>
              <w:rPr>
                <w:rFonts w:eastAsia="Arial" w:cs="Arial" w:ascii="Arial" w:hAnsi="Arial"/>
                <w:b/>
                <w:bCs/>
                <w:sz w:val="18"/>
                <w:szCs w:val="18"/>
              </w:rPr>
              <w:t>VALOR TOTAL</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
                <w:bCs/>
                <w:sz w:val="18"/>
                <w:szCs w:val="18"/>
              </w:rPr>
            </w:pPr>
            <w:r>
              <w:rPr>
                <w:rFonts w:eastAsia="Arial" w:cs="Arial" w:ascii="Arial" w:hAnsi="Arial"/>
                <w:b/>
                <w:bCs/>
                <w:sz w:val="18"/>
                <w:szCs w:val="18"/>
              </w:rPr>
              <w:t>1</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
                <w:bCs/>
                <w:sz w:val="18"/>
                <w:szCs w:val="18"/>
              </w:rPr>
            </w:pPr>
            <w:r>
              <w:rPr>
                <w:rFonts w:eastAsia="Arial" w:cs="Arial" w:ascii="Arial" w:hAnsi="Arial"/>
                <w:b/>
                <w:bCs/>
                <w:sz w:val="18"/>
                <w:szCs w:val="18"/>
              </w:rPr>
              <w:t>...</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sz w:val="18"/>
                <w:szCs w:val="18"/>
              </w:rPr>
            </w:pPr>
            <w:r>
              <w:rPr>
                <w:rFonts w:eastAsia="Arial" w:cs="Arial" w:ascii="Arial" w:hAnsi="Arial"/>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rPr>
                <w:rFonts w:ascii="Arial" w:hAnsi="Arial" w:eastAsia="Arial" w:cs="Arial"/>
                <w:sz w:val="18"/>
                <w:szCs w:val="18"/>
              </w:rPr>
            </w:pPr>
            <w:r>
              <w:rPr>
                <w:rFonts w:eastAsia="Arial" w:cs="Arial" w:ascii="Arial" w:hAnsi="Arial"/>
                <w:sz w:val="18"/>
                <w:szCs w:val="18"/>
              </w:rPr>
            </w:r>
          </w:p>
        </w:tc>
      </w:tr>
    </w:tbl>
    <w:p>
      <w:pPr>
        <w:pStyle w:val="Nivel2"/>
        <w:numPr>
          <w:ilvl w:val="0"/>
          <w:numId w:val="0"/>
        </w:numPr>
        <w:spacing w:lineRule="auto" w:line="360" w:before="120" w:after="288"/>
        <w:ind w:left="0" w:hanging="7"/>
        <w:rPr>
          <w:color w:val="auto"/>
          <w:sz w:val="22"/>
          <w:szCs w:val="22"/>
          <w:lang w:val="x-none"/>
        </w:rPr>
      </w:pPr>
      <w:r>
        <w:rPr>
          <w:color w:val="auto"/>
          <w:sz w:val="22"/>
          <w:szCs w:val="22"/>
        </w:rPr>
        <w:t>1.2 - Vinculam esta contratação, independentemente de transcrição:</w:t>
      </w:r>
    </w:p>
    <w:p>
      <w:pPr>
        <w:pStyle w:val="Nivel3"/>
        <w:numPr>
          <w:ilvl w:val="0"/>
          <w:numId w:val="4"/>
        </w:numPr>
        <w:spacing w:lineRule="auto" w:line="360" w:before="120" w:after="288"/>
        <w:ind w:left="0" w:hanging="0"/>
        <w:rPr>
          <w:color w:val="auto"/>
          <w:sz w:val="22"/>
          <w:szCs w:val="22"/>
          <w:lang w:val="x-none"/>
        </w:rPr>
      </w:pPr>
      <w:r>
        <w:rPr>
          <w:color w:val="auto"/>
          <w:sz w:val="22"/>
          <w:szCs w:val="22"/>
        </w:rPr>
        <w:t>O Termo de Referência;</w:t>
      </w:r>
    </w:p>
    <w:p>
      <w:pPr>
        <w:pStyle w:val="Nivel3"/>
        <w:numPr>
          <w:ilvl w:val="0"/>
          <w:numId w:val="4"/>
        </w:numPr>
        <w:spacing w:lineRule="auto" w:line="360" w:before="120" w:after="288"/>
        <w:ind w:left="0" w:hanging="0"/>
        <w:rPr>
          <w:color w:val="auto"/>
          <w:sz w:val="22"/>
          <w:szCs w:val="22"/>
          <w:lang w:val="x-none"/>
        </w:rPr>
      </w:pPr>
      <w:r>
        <w:rPr>
          <w:color w:val="auto"/>
          <w:sz w:val="22"/>
          <w:szCs w:val="22"/>
        </w:rPr>
        <w:t>O Edital da Licitação;</w:t>
      </w:r>
    </w:p>
    <w:p>
      <w:pPr>
        <w:pStyle w:val="Nivel3"/>
        <w:numPr>
          <w:ilvl w:val="0"/>
          <w:numId w:val="4"/>
        </w:numPr>
        <w:spacing w:lineRule="auto" w:line="360" w:before="120" w:after="288"/>
        <w:ind w:left="0" w:hanging="0"/>
        <w:rPr>
          <w:color w:val="auto"/>
          <w:sz w:val="22"/>
          <w:szCs w:val="22"/>
          <w:lang w:val="x-none"/>
        </w:rPr>
      </w:pPr>
      <w:r>
        <w:rPr>
          <w:color w:val="auto"/>
          <w:sz w:val="22"/>
          <w:szCs w:val="22"/>
        </w:rPr>
        <w:t>A Proposta do contratado;</w:t>
      </w:r>
    </w:p>
    <w:p>
      <w:pPr>
        <w:pStyle w:val="Nivel3"/>
        <w:numPr>
          <w:ilvl w:val="0"/>
          <w:numId w:val="4"/>
        </w:numPr>
        <w:spacing w:lineRule="auto" w:line="360" w:before="120" w:after="288"/>
        <w:ind w:left="0" w:hanging="0"/>
        <w:rPr>
          <w:color w:val="auto"/>
          <w:sz w:val="22"/>
          <w:szCs w:val="22"/>
          <w:lang w:val="x-none"/>
        </w:rPr>
      </w:pPr>
      <w:r>
        <w:rPr>
          <w:color w:val="auto"/>
          <w:sz w:val="22"/>
          <w:szCs w:val="22"/>
        </w:rPr>
        <w:t>Eventuais anexos dos documentos supracitados.</w:t>
      </w:r>
    </w:p>
    <w:p>
      <w:pPr>
        <w:pStyle w:val="Nivel01"/>
        <w:numPr>
          <w:ilvl w:val="0"/>
          <w:numId w:val="0"/>
        </w:numPr>
        <w:spacing w:lineRule="auto" w:line="360" w:before="120" w:after="288"/>
        <w:ind w:left="0" w:hanging="0"/>
        <w:rPr>
          <w:sz w:val="22"/>
          <w:szCs w:val="22"/>
        </w:rPr>
      </w:pPr>
      <w:r>
        <w:rPr>
          <w:sz w:val="22"/>
          <w:szCs w:val="22"/>
        </w:rPr>
        <w:t>CLÁUSULA SEGUNDA – VIGÊNCIA E PRORROGAÇÃO</w:t>
      </w:r>
    </w:p>
    <w:p>
      <w:pPr>
        <w:pStyle w:val="Nvel2Red"/>
        <w:numPr>
          <w:ilvl w:val="1"/>
          <w:numId w:val="5"/>
        </w:numPr>
        <w:spacing w:lineRule="auto" w:line="360" w:before="120" w:after="288"/>
        <w:ind w:left="0" w:hanging="0"/>
        <w:rPr>
          <w:i w:val="false"/>
          <w:i w:val="false"/>
          <w:iCs w:val="false"/>
          <w:color w:val="auto"/>
          <w:sz w:val="22"/>
          <w:szCs w:val="22"/>
        </w:rPr>
      </w:pPr>
      <w:r>
        <w:rPr>
          <w:i w:val="false"/>
          <w:iCs w:val="false"/>
          <w:color w:val="auto"/>
          <w:sz w:val="22"/>
          <w:szCs w:val="22"/>
        </w:rPr>
        <w:t xml:space="preserve">- O prazo de vigência da contratação é de .............................. contados do(a) ............................., na forma do </w:t>
      </w:r>
      <w:r>
        <w:fldChar w:fldCharType="begin"/>
      </w:r>
      <w:r>
        <w:rPr>
          <w:rStyle w:val="LinkdaInternet"/>
          <w:sz w:val="22"/>
          <w:i w:val="false"/>
          <w:szCs w:val="22"/>
          <w:iCs w:val="false"/>
          <w:color w:val="auto"/>
        </w:rPr>
        <w:instrText xml:space="preserve"> HYPERLINK "http://www.planalto.gov.br/ccivil_03/_ato2019-2022/2021/lei/L14133.htm" \l "art105"</w:instrText>
      </w:r>
      <w:r>
        <w:rPr>
          <w:rStyle w:val="LinkdaInternet"/>
          <w:sz w:val="22"/>
          <w:i w:val="false"/>
          <w:szCs w:val="22"/>
          <w:iCs w:val="false"/>
          <w:color w:val="auto"/>
        </w:rPr>
        <w:fldChar w:fldCharType="separate"/>
      </w:r>
      <w:r>
        <w:rPr>
          <w:rStyle w:val="LinkdaInternet"/>
          <w:i w:val="false"/>
          <w:iCs w:val="false"/>
          <w:color w:val="auto"/>
          <w:sz w:val="22"/>
          <w:szCs w:val="22"/>
        </w:rPr>
        <w:t>artigo 105 da Lei n° 14.133, de 2021</w:t>
      </w:r>
      <w:r>
        <w:rPr>
          <w:rStyle w:val="LinkdaInternet"/>
          <w:sz w:val="22"/>
          <w:i w:val="false"/>
          <w:szCs w:val="22"/>
          <w:iCs w:val="false"/>
          <w:color w:val="auto"/>
        </w:rPr>
        <w:fldChar w:fldCharType="end"/>
      </w:r>
      <w:r>
        <w:rPr>
          <w:i w:val="false"/>
          <w:iCs w:val="false"/>
          <w:color w:val="auto"/>
          <w:sz w:val="22"/>
          <w:szCs w:val="22"/>
        </w:rPr>
        <w:t xml:space="preserve">, podendo ser prorrogado de acordo com a Lei 14.133/2021, mediante Termo Aditivo. </w:t>
      </w:r>
    </w:p>
    <w:p>
      <w:pPr>
        <w:pStyle w:val="Nivel01"/>
        <w:numPr>
          <w:ilvl w:val="0"/>
          <w:numId w:val="0"/>
        </w:numPr>
        <w:spacing w:lineRule="auto" w:line="360" w:before="120" w:after="288"/>
        <w:ind w:left="0" w:hanging="0"/>
        <w:rPr>
          <w:sz w:val="22"/>
          <w:szCs w:val="22"/>
        </w:rPr>
      </w:pPr>
      <w:r>
        <w:rPr>
          <w:sz w:val="22"/>
          <w:szCs w:val="22"/>
        </w:rPr>
        <w:t>CLÁUSULA TERCEIRA – MODELOS DE EXECUÇÃO E GESTÃO CONTRATUAIS</w:t>
      </w:r>
    </w:p>
    <w:p>
      <w:pPr>
        <w:pStyle w:val="Nivel2"/>
        <w:numPr>
          <w:ilvl w:val="0"/>
          <w:numId w:val="0"/>
        </w:numPr>
        <w:spacing w:lineRule="auto" w:line="360" w:before="120" w:after="288"/>
        <w:ind w:left="0" w:hanging="0"/>
        <w:rPr>
          <w:color w:val="auto"/>
          <w:sz w:val="22"/>
          <w:szCs w:val="22"/>
        </w:rPr>
      </w:pPr>
      <w:r>
        <w:rPr>
          <w:color w:val="auto"/>
          <w:sz w:val="22"/>
          <w:szCs w:val="22"/>
        </w:rPr>
        <w:t>3.1 - O regime de execução contratual, os modelos de gestão e de execução, assim como os prazos e condições de conclusão, entrega, observação e recebimento do objeto constam no Termo de Referência, que fica fazendo parte integrante deste Contrato.</w:t>
      </w:r>
    </w:p>
    <w:p>
      <w:pPr>
        <w:pStyle w:val="Nivel01"/>
        <w:numPr>
          <w:ilvl w:val="0"/>
          <w:numId w:val="0"/>
        </w:numPr>
        <w:spacing w:lineRule="auto" w:line="360" w:before="120" w:after="288"/>
        <w:ind w:left="0" w:hanging="0"/>
        <w:rPr>
          <w:sz w:val="22"/>
          <w:szCs w:val="22"/>
        </w:rPr>
      </w:pPr>
      <w:r>
        <w:rPr>
          <w:sz w:val="22"/>
          <w:szCs w:val="22"/>
        </w:rPr>
        <w:t>CLÁUSULA QUARTA – SUBCONTRATAÇÃO</w:t>
      </w:r>
    </w:p>
    <w:p>
      <w:pPr>
        <w:pStyle w:val="Nvel2Red"/>
        <w:spacing w:lineRule="auto" w:line="360" w:before="120" w:after="288"/>
        <w:ind w:left="0" w:hanging="0"/>
        <w:rPr>
          <w:i w:val="false"/>
          <w:i w:val="false"/>
          <w:iCs w:val="false"/>
          <w:color w:val="auto"/>
          <w:sz w:val="22"/>
          <w:szCs w:val="22"/>
        </w:rPr>
      </w:pPr>
      <w:r>
        <w:rPr>
          <w:i w:val="false"/>
          <w:iCs w:val="false"/>
          <w:color w:val="auto"/>
          <w:sz w:val="22"/>
          <w:szCs w:val="22"/>
        </w:rPr>
        <w:t>4.1. É permitida a subcontratação parcial do objeto</w:t>
      </w:r>
    </w:p>
    <w:p>
      <w:pPr>
        <w:pStyle w:val="Nvel2Red"/>
        <w:spacing w:lineRule="auto" w:line="360" w:before="120" w:after="288"/>
        <w:ind w:left="0" w:hanging="0"/>
        <w:rPr>
          <w:i w:val="false"/>
          <w:i w:val="false"/>
          <w:iCs w:val="false"/>
          <w:color w:val="auto"/>
          <w:sz w:val="22"/>
          <w:szCs w:val="22"/>
        </w:rPr>
      </w:pPr>
      <w:r>
        <w:rPr>
          <w:i w:val="false"/>
          <w:iCs w:val="false"/>
          <w:color w:val="auto"/>
          <w:sz w:val="22"/>
          <w:szCs w:val="22"/>
        </w:rPr>
        <w:t>4.1.1. É vedada a subcontratação completa ou da parcela principal da obrigação, abaixo discriminada:</w:t>
      </w:r>
    </w:p>
    <w:p>
      <w:pPr>
        <w:pStyle w:val="Nvel2Red"/>
        <w:spacing w:lineRule="auto" w:line="360" w:before="120" w:after="288"/>
        <w:ind w:left="0" w:hanging="0"/>
        <w:rPr>
          <w:i w:val="false"/>
          <w:i w:val="false"/>
          <w:iCs w:val="false"/>
          <w:color w:val="auto"/>
          <w:sz w:val="22"/>
          <w:szCs w:val="22"/>
        </w:rPr>
      </w:pPr>
      <w:r>
        <w:rPr>
          <w:i w:val="false"/>
          <w:iCs w:val="false"/>
          <w:color w:val="auto"/>
          <w:sz w:val="22"/>
          <w:szCs w:val="22"/>
        </w:rPr>
        <w:t>4.1.1.1. Veículo e mão de obra;</w:t>
      </w:r>
    </w:p>
    <w:p>
      <w:pPr>
        <w:pStyle w:val="Nvel2Red"/>
        <w:spacing w:lineRule="auto" w:line="360" w:before="120" w:after="288"/>
        <w:ind w:left="0" w:hanging="0"/>
        <w:rPr>
          <w:i w:val="false"/>
          <w:i w:val="false"/>
          <w:iCs w:val="false"/>
          <w:color w:val="auto"/>
          <w:sz w:val="22"/>
          <w:szCs w:val="22"/>
        </w:rPr>
      </w:pPr>
      <w:r>
        <w:rPr>
          <w:i w:val="false"/>
          <w:iCs w:val="false"/>
          <w:color w:val="auto"/>
          <w:sz w:val="22"/>
          <w:szCs w:val="22"/>
        </w:rPr>
        <w:t>4.1.2. Poderão ser subcontratadas as seguintes parcelas do objeto:</w:t>
      </w:r>
    </w:p>
    <w:p>
      <w:pPr>
        <w:pStyle w:val="Nvel2Red"/>
        <w:spacing w:lineRule="auto" w:line="360" w:before="120" w:after="288"/>
        <w:ind w:left="0" w:hanging="0"/>
        <w:rPr>
          <w:i w:val="false"/>
          <w:i w:val="false"/>
          <w:iCs w:val="false"/>
          <w:color w:val="auto"/>
          <w:sz w:val="22"/>
          <w:szCs w:val="22"/>
        </w:rPr>
      </w:pPr>
      <w:r>
        <w:rPr>
          <w:i w:val="false"/>
          <w:iCs w:val="false"/>
          <w:color w:val="auto"/>
          <w:sz w:val="22"/>
          <w:szCs w:val="22"/>
        </w:rPr>
        <w:t>4.1.2.1. Tratamento e disposição final dos resíduos de saúde de acordo com sua classificação e determinação da Resolução RDC ANVISA nº 222/2018</w:t>
      </w:r>
    </w:p>
    <w:p>
      <w:pPr>
        <w:pStyle w:val="Nvel2Red"/>
        <w:spacing w:lineRule="auto" w:line="360" w:before="120" w:after="288"/>
        <w:ind w:left="0" w:hanging="0"/>
        <w:rPr>
          <w:i w:val="false"/>
          <w:i w:val="false"/>
          <w:iCs w:val="false"/>
          <w:color w:val="auto"/>
          <w:sz w:val="22"/>
          <w:szCs w:val="22"/>
        </w:rPr>
      </w:pPr>
      <w:r>
        <w:rPr>
          <w:i w:val="false"/>
          <w:iCs w:val="false"/>
          <w:color w:val="auto"/>
          <w:sz w:val="22"/>
          <w:szCs w:val="22"/>
        </w:rPr>
        <w:t>4.1.2.2. Unidade de transbordo, para armazenamento temporário dos resíduos até o seu tratamento e disposição final</w:t>
      </w:r>
    </w:p>
    <w:p>
      <w:pPr>
        <w:pStyle w:val="Nvel2Red"/>
        <w:spacing w:lineRule="auto" w:line="360" w:before="120" w:after="288"/>
        <w:ind w:left="0" w:hanging="0"/>
        <w:rPr>
          <w:i w:val="false"/>
          <w:i w:val="false"/>
          <w:iCs w:val="false"/>
          <w:color w:val="auto"/>
          <w:sz w:val="22"/>
          <w:szCs w:val="22"/>
        </w:rPr>
      </w:pPr>
      <w:r>
        <w:rPr>
          <w:i w:val="false"/>
          <w:iCs w:val="false"/>
          <w:color w:val="auto"/>
          <w:sz w:val="22"/>
          <w:szCs w:val="22"/>
        </w:rPr>
        <w:t>4.2. 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pPr>
        <w:pStyle w:val="Nvel2Red"/>
        <w:spacing w:lineRule="auto" w:line="360" w:before="120" w:after="288"/>
        <w:ind w:left="0" w:hanging="0"/>
        <w:rPr>
          <w:i w:val="false"/>
          <w:i w:val="false"/>
          <w:iCs w:val="false"/>
          <w:color w:val="auto"/>
          <w:sz w:val="22"/>
          <w:szCs w:val="22"/>
        </w:rPr>
      </w:pPr>
      <w:r>
        <w:rPr>
          <w:i w:val="false"/>
          <w:iCs w:val="false"/>
          <w:color w:val="auto"/>
          <w:sz w:val="22"/>
          <w:szCs w:val="22"/>
        </w:rPr>
        <w:t>4.3. A subcontratação depende de autorização prévia do contratante, a quem incumbe avaliar se o subcontratado cumpre os requisitos de qualificação técnica necessários para a execução do objeto.</w:t>
      </w:r>
    </w:p>
    <w:p>
      <w:pPr>
        <w:pStyle w:val="Nvel2Red"/>
        <w:spacing w:lineRule="auto" w:line="360" w:before="120" w:after="288"/>
        <w:ind w:left="0" w:hanging="0"/>
        <w:rPr>
          <w:i w:val="false"/>
          <w:i w:val="false"/>
          <w:iCs w:val="false"/>
          <w:color w:val="auto"/>
          <w:sz w:val="22"/>
          <w:szCs w:val="22"/>
        </w:rPr>
      </w:pPr>
      <w:r>
        <w:rPr>
          <w:i w:val="false"/>
          <w:iCs w:val="false"/>
          <w:color w:val="auto"/>
          <w:sz w:val="22"/>
          <w:szCs w:val="22"/>
        </w:rPr>
        <w:t>4.3.1. O contratado apresentará à Administração documentação que comprove a capacidade técnica do subcontratado, que será avaliada e juntada aos autos do processo correspondente.</w:t>
      </w:r>
    </w:p>
    <w:p>
      <w:pPr>
        <w:pStyle w:val="Nvel2Red"/>
        <w:spacing w:lineRule="auto" w:line="360" w:before="120" w:after="288"/>
        <w:ind w:left="0" w:hanging="0"/>
        <w:rPr>
          <w:i w:val="false"/>
          <w:i w:val="false"/>
          <w:iCs w:val="false"/>
          <w:color w:val="auto"/>
          <w:sz w:val="22"/>
          <w:szCs w:val="22"/>
        </w:rPr>
      </w:pPr>
      <w:r>
        <w:rPr>
          <w:i w:val="false"/>
          <w:iCs w:val="false"/>
          <w:color w:val="auto"/>
          <w:sz w:val="22"/>
          <w:szCs w:val="22"/>
        </w:rPr>
        <w:t>4.4.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pPr>
        <w:pStyle w:val="Nvel2Red"/>
        <w:spacing w:lineRule="auto" w:line="360" w:before="120" w:after="288"/>
        <w:ind w:left="0" w:hanging="0"/>
        <w:rPr>
          <w:b/>
          <w:b/>
          <w:bCs/>
          <w:color w:val="auto"/>
          <w:sz w:val="22"/>
          <w:szCs w:val="22"/>
        </w:rPr>
      </w:pPr>
      <w:r>
        <w:rPr>
          <w:b/>
          <w:bCs/>
          <w:color w:val="auto"/>
          <w:sz w:val="22"/>
          <w:szCs w:val="22"/>
        </w:rPr>
        <w:t>CLÁUSULA QUINTA – PREÇO E DA DOTAÇÃO ORÇAMENTÁRIA</w:t>
      </w:r>
    </w:p>
    <w:p>
      <w:pPr>
        <w:pStyle w:val="Nvel2Red"/>
        <w:numPr>
          <w:ilvl w:val="1"/>
          <w:numId w:val="8"/>
        </w:numPr>
        <w:spacing w:lineRule="auto" w:line="360" w:before="120" w:after="288"/>
        <w:rPr>
          <w:i w:val="false"/>
          <w:i w:val="false"/>
          <w:iCs w:val="false"/>
          <w:color w:val="auto"/>
          <w:sz w:val="22"/>
          <w:szCs w:val="22"/>
        </w:rPr>
      </w:pPr>
      <w:r>
        <w:rPr>
          <w:i w:val="false"/>
          <w:iCs w:val="false"/>
          <w:color w:val="auto"/>
          <w:sz w:val="22"/>
          <w:szCs w:val="22"/>
        </w:rPr>
        <w:t>- O valor total da contratação é de R$.......... (.....)</w:t>
      </w:r>
    </w:p>
    <w:p>
      <w:pPr>
        <w:pStyle w:val="Normal"/>
        <w:spacing w:lineRule="auto" w:line="360"/>
        <w:ind w:right="-54" w:hanging="0"/>
        <w:jc w:val="both"/>
        <w:rPr>
          <w:rFonts w:ascii="Arial" w:hAnsi="Arial" w:cs="Arial"/>
          <w:sz w:val="22"/>
          <w:szCs w:val="22"/>
        </w:rPr>
      </w:pPr>
      <w:r>
        <w:rPr>
          <w:rFonts w:cs="Arial" w:ascii="Arial" w:hAnsi="Arial"/>
          <w:sz w:val="22"/>
          <w:szCs w:val="22"/>
        </w:rPr>
        <w:t>5.2 - Para fazer frente às despesas do presente contrato, existem recursos orçamentários reservados, onerando a dotação classificada na Natureza da nº ______. Unidade Orçamentária: __________</w:t>
      </w:r>
    </w:p>
    <w:p>
      <w:pPr>
        <w:pStyle w:val="Nivel01"/>
        <w:numPr>
          <w:ilvl w:val="0"/>
          <w:numId w:val="0"/>
        </w:numPr>
        <w:spacing w:lineRule="auto" w:line="360" w:before="120" w:after="288"/>
        <w:ind w:left="0" w:hanging="0"/>
        <w:rPr>
          <w:sz w:val="22"/>
          <w:szCs w:val="22"/>
        </w:rPr>
      </w:pPr>
      <w:r>
        <w:rPr>
          <w:sz w:val="22"/>
          <w:szCs w:val="22"/>
        </w:rPr>
        <w:t>CLÁUSULA SEXTA - PAGAMENTO</w:t>
      </w:r>
    </w:p>
    <w:p>
      <w:pPr>
        <w:pStyle w:val="Nivel2"/>
        <w:numPr>
          <w:ilvl w:val="1"/>
          <w:numId w:val="6"/>
        </w:numPr>
        <w:spacing w:lineRule="auto" w:line="360" w:before="120" w:after="288"/>
        <w:ind w:left="0" w:hanging="0"/>
        <w:rPr>
          <w:color w:val="auto"/>
          <w:sz w:val="22"/>
          <w:szCs w:val="22"/>
        </w:rPr>
      </w:pPr>
      <w:r>
        <w:rPr>
          <w:color w:val="auto"/>
          <w:sz w:val="22"/>
          <w:szCs w:val="22"/>
        </w:rPr>
        <w:t xml:space="preserve">- O prazo para pagamento </w:t>
      </w:r>
      <w:r>
        <w:rPr>
          <w:color w:val="auto"/>
          <w:sz w:val="22"/>
          <w:szCs w:val="22"/>
          <w:lang w:eastAsia="en-US"/>
        </w:rPr>
        <w:t>ao contratado</w:t>
      </w:r>
      <w:r>
        <w:rPr>
          <w:color w:val="auto"/>
          <w:sz w:val="22"/>
          <w:szCs w:val="22"/>
        </w:rPr>
        <w:t xml:space="preserve"> e demais condições a ele referentes encontram-se definidos no Termo de Referência, que fica fazendo parte integrante deste Contrato.</w:t>
      </w:r>
    </w:p>
    <w:p>
      <w:pPr>
        <w:pStyle w:val="Nivel01"/>
        <w:numPr>
          <w:ilvl w:val="0"/>
          <w:numId w:val="0"/>
        </w:numPr>
        <w:spacing w:lineRule="auto" w:line="360" w:before="120" w:after="288"/>
        <w:ind w:left="0" w:hanging="0"/>
        <w:rPr>
          <w:sz w:val="22"/>
          <w:szCs w:val="22"/>
        </w:rPr>
      </w:pPr>
      <w:r>
        <w:rPr>
          <w:sz w:val="22"/>
          <w:szCs w:val="22"/>
        </w:rPr>
        <w:t>CLÁUSULA SÉTIMA - REAJUSTE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V)</w:t>
      </w:r>
      <w:r>
        <w:rPr>
          <w:rStyle w:val="LinkdaInternet"/>
          <w:sz w:val="22"/>
          <w:szCs w:val="22"/>
          <w:color w:val="auto"/>
        </w:rPr>
        <w:fldChar w:fldCharType="end"/>
      </w:r>
    </w:p>
    <w:p>
      <w:pPr>
        <w:pStyle w:val="Nivel01"/>
        <w:numPr>
          <w:ilvl w:val="0"/>
          <w:numId w:val="0"/>
        </w:numPr>
        <w:spacing w:lineRule="auto" w:line="360"/>
        <w:ind w:left="0" w:hanging="0"/>
        <w:rPr>
          <w:rFonts w:eastAsia="MS Mincho"/>
          <w:b w:val="false"/>
          <w:b w:val="false"/>
          <w:bCs w:val="false"/>
          <w:sz w:val="22"/>
          <w:szCs w:val="22"/>
        </w:rPr>
      </w:pPr>
      <w:r>
        <w:rPr>
          <w:rFonts w:eastAsia="MS Mincho"/>
          <w:b w:val="false"/>
          <w:bCs w:val="false"/>
          <w:sz w:val="22"/>
          <w:szCs w:val="22"/>
        </w:rPr>
        <w:t xml:space="preserve">7.1 Os preços inicialmente contratados são fixos e irreajustáveis no prazo de um ano contado da data do orçamento estimado. </w:t>
      </w:r>
    </w:p>
    <w:p>
      <w:pPr>
        <w:pStyle w:val="Nivel2"/>
        <w:numPr>
          <w:ilvl w:val="0"/>
          <w:numId w:val="0"/>
        </w:numPr>
        <w:spacing w:lineRule="auto" w:line="360" w:before="120" w:after="288"/>
        <w:ind w:left="0" w:hanging="0"/>
        <w:rPr>
          <w:color w:val="auto"/>
          <w:sz w:val="22"/>
          <w:szCs w:val="22"/>
        </w:rPr>
      </w:pPr>
      <w:r>
        <w:rPr>
          <w:color w:val="auto"/>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left="0" w:hanging="0"/>
        <w:rPr>
          <w:sz w:val="22"/>
          <w:szCs w:val="22"/>
        </w:rPr>
      </w:pPr>
      <w:r>
        <w:rPr>
          <w:sz w:val="22"/>
          <w:szCs w:val="22"/>
        </w:rPr>
        <w:t>CLÁUSULA OITAVA – GARANTIA CONTRATUAL</w:t>
      </w:r>
    </w:p>
    <w:p>
      <w:pPr>
        <w:pStyle w:val="Nivel2"/>
        <w:numPr>
          <w:ilvl w:val="0"/>
          <w:numId w:val="0"/>
        </w:numPr>
        <w:spacing w:lineRule="auto" w:line="360" w:before="120" w:after="288"/>
        <w:ind w:left="0" w:hanging="7"/>
        <w:rPr>
          <w:color w:val="auto"/>
          <w:sz w:val="22"/>
          <w:szCs w:val="22"/>
        </w:rPr>
      </w:pPr>
      <w:r>
        <w:rPr>
          <w:color w:val="auto"/>
          <w:sz w:val="22"/>
          <w:szCs w:val="22"/>
        </w:rPr>
        <w:t>8.1 - A garantia do contrato a ser lavrado será prestada, após a convocação e antes da assinatura, dentro das formas permitidas pela Lei nº 14.133/21, no valor correspondente a 5% (cinco inteiros por cento) do valor do contrato.</w:t>
      </w:r>
    </w:p>
    <w:p>
      <w:pPr>
        <w:pStyle w:val="Nivel2"/>
        <w:numPr>
          <w:ilvl w:val="0"/>
          <w:numId w:val="0"/>
        </w:numPr>
        <w:spacing w:lineRule="auto" w:line="360" w:before="120" w:after="288"/>
        <w:ind w:left="0" w:hanging="7"/>
        <w:rPr>
          <w:color w:val="auto"/>
          <w:sz w:val="22"/>
          <w:szCs w:val="22"/>
        </w:rPr>
      </w:pPr>
      <w:r>
        <w:rPr>
          <w:color w:val="auto"/>
          <w:sz w:val="22"/>
          <w:szCs w:val="22"/>
        </w:rPr>
        <w:t>8.2 - No caso de seguro-garantia ou fiança bancária deverá constar expressamente da apólice informação que assegure a sua aplicação em face de penalidades contratuais, descumprimento de obrigações trabalhistas e previdenciárias pela contratada.</w:t>
      </w:r>
    </w:p>
    <w:p>
      <w:pPr>
        <w:pStyle w:val="Nivel2"/>
        <w:numPr>
          <w:ilvl w:val="0"/>
          <w:numId w:val="0"/>
        </w:numPr>
        <w:spacing w:lineRule="auto" w:line="360" w:before="120" w:after="288"/>
        <w:ind w:left="0" w:hanging="7"/>
        <w:rPr>
          <w:color w:val="auto"/>
          <w:sz w:val="22"/>
          <w:szCs w:val="22"/>
        </w:rPr>
      </w:pPr>
      <w:r>
        <w:rPr>
          <w:color w:val="auto"/>
          <w:sz w:val="22"/>
          <w:szCs w:val="22"/>
        </w:rPr>
        <w:t>8.3 – Caso utilizada modalidade de seguro-garantia, a apólice deverá manter a validade durante toda a vigência do contrato, permanecendo em vigor mesmo que o contratado não pague o prêmio nas datas convencionais.</w:t>
      </w:r>
    </w:p>
    <w:p>
      <w:pPr>
        <w:pStyle w:val="Nivel2"/>
        <w:numPr>
          <w:ilvl w:val="0"/>
          <w:numId w:val="0"/>
        </w:numPr>
        <w:spacing w:lineRule="auto" w:line="360" w:before="120" w:after="288"/>
        <w:ind w:left="0" w:hanging="7"/>
        <w:rPr>
          <w:color w:val="auto"/>
          <w:sz w:val="22"/>
          <w:szCs w:val="22"/>
        </w:rPr>
      </w:pPr>
      <w:r>
        <w:rPr>
          <w:color w:val="auto"/>
          <w:sz w:val="22"/>
          <w:szCs w:val="22"/>
        </w:rPr>
        <w:t>8.3 - Após o término do contrato, desde que cumpridas todas as obrigações assumidas, a garantia prestada será liberada, mediante requerimento dirigido à Secretaria Gestora, por intermédio do Serviço de Protocolo Geral.</w:t>
      </w:r>
    </w:p>
    <w:p>
      <w:pPr>
        <w:pStyle w:val="Nivel01"/>
        <w:numPr>
          <w:ilvl w:val="0"/>
          <w:numId w:val="0"/>
        </w:numPr>
        <w:spacing w:lineRule="auto" w:line="360" w:before="120" w:after="288"/>
        <w:ind w:left="0" w:hanging="0"/>
        <w:rPr>
          <w:sz w:val="22"/>
          <w:szCs w:val="22"/>
        </w:rPr>
      </w:pPr>
      <w:r>
        <w:rPr>
          <w:sz w:val="22"/>
          <w:szCs w:val="22"/>
        </w:rPr>
        <w:t>CLÁUSULA NONA - OBRIGAÇÕES DO CONTRATANTE</w:t>
      </w:r>
    </w:p>
    <w:p>
      <w:pPr>
        <w:pStyle w:val="Nivel2"/>
        <w:numPr>
          <w:ilvl w:val="0"/>
          <w:numId w:val="0"/>
        </w:numPr>
        <w:spacing w:lineRule="auto" w:line="360" w:before="120" w:after="288"/>
        <w:ind w:left="0" w:hanging="7"/>
        <w:rPr>
          <w:b/>
          <w:b/>
          <w:bCs/>
          <w:color w:val="auto"/>
          <w:sz w:val="22"/>
          <w:szCs w:val="22"/>
        </w:rPr>
      </w:pPr>
      <w:r>
        <w:rPr>
          <w:color w:val="auto"/>
          <w:sz w:val="22"/>
          <w:szCs w:val="22"/>
        </w:rPr>
        <w:t>9.1 - São obrigações do Contratante:</w:t>
      </w:r>
    </w:p>
    <w:p>
      <w:pPr>
        <w:pStyle w:val="Nivel2"/>
        <w:numPr>
          <w:ilvl w:val="0"/>
          <w:numId w:val="0"/>
        </w:numPr>
        <w:spacing w:lineRule="auto" w:line="360" w:before="120" w:after="288"/>
        <w:ind w:left="0" w:hanging="7"/>
        <w:rPr>
          <w:color w:val="auto"/>
          <w:sz w:val="22"/>
          <w:szCs w:val="22"/>
        </w:rPr>
      </w:pPr>
      <w:r>
        <w:rPr>
          <w:color w:val="auto"/>
          <w:sz w:val="22"/>
          <w:szCs w:val="22"/>
        </w:rPr>
        <w:t>9.2 - Exigir o cumprimento de todas as obrigações assumidas pelo Contratado, de acordo com o contrato e Termo de Referência que fica fazendo parte integrante deste contrato.;</w:t>
      </w:r>
    </w:p>
    <w:p>
      <w:pPr>
        <w:pStyle w:val="Nivel2"/>
        <w:numPr>
          <w:ilvl w:val="0"/>
          <w:numId w:val="0"/>
        </w:numPr>
        <w:spacing w:lineRule="auto" w:line="360" w:before="120" w:after="288"/>
        <w:ind w:left="0" w:hanging="7"/>
        <w:rPr>
          <w:color w:val="auto"/>
          <w:sz w:val="22"/>
          <w:szCs w:val="22"/>
        </w:rPr>
      </w:pPr>
      <w:r>
        <w:rPr>
          <w:color w:val="auto"/>
          <w:sz w:val="22"/>
          <w:szCs w:val="22"/>
        </w:rPr>
        <w:t>9.3 - Receber o objeto no prazo e condições estabelecidas no Termo de Referência;</w:t>
      </w:r>
    </w:p>
    <w:p>
      <w:pPr>
        <w:pStyle w:val="Nivel2"/>
        <w:numPr>
          <w:ilvl w:val="0"/>
          <w:numId w:val="0"/>
        </w:numPr>
        <w:spacing w:lineRule="auto" w:line="360" w:before="120" w:after="288"/>
        <w:ind w:left="0" w:hanging="0"/>
        <w:rPr>
          <w:color w:val="auto"/>
          <w:sz w:val="22"/>
          <w:szCs w:val="22"/>
        </w:rPr>
      </w:pPr>
      <w:r>
        <w:rPr>
          <w:color w:val="auto"/>
          <w:sz w:val="22"/>
          <w:szCs w:val="22"/>
        </w:rPr>
        <w:t>9.4 - Notificar o Contratado, por escrito, sobre vícios, defeitos ou incorreções verificadas no objeto fornecido, para que seja por ele substituído, reparado ou corrigido, no total ou em parte, às suas expensas;</w:t>
      </w:r>
    </w:p>
    <w:p>
      <w:pPr>
        <w:pStyle w:val="Nivel2"/>
        <w:numPr>
          <w:ilvl w:val="0"/>
          <w:numId w:val="0"/>
        </w:numPr>
        <w:spacing w:lineRule="auto" w:line="360" w:before="120" w:after="288"/>
        <w:ind w:left="0" w:hanging="0"/>
        <w:rPr>
          <w:color w:val="auto"/>
          <w:sz w:val="22"/>
          <w:szCs w:val="22"/>
        </w:rPr>
      </w:pPr>
      <w:r>
        <w:rPr>
          <w:color w:val="auto"/>
          <w:sz w:val="22"/>
          <w:szCs w:val="22"/>
        </w:rPr>
        <w:t>9.5 - Acompanhar e fiscalizar a execução do contrato e o cumprimento das obrigações pelo Contratado;</w:t>
      </w:r>
    </w:p>
    <w:p>
      <w:pPr>
        <w:pStyle w:val="Nivel2"/>
        <w:numPr>
          <w:ilvl w:val="0"/>
          <w:numId w:val="0"/>
        </w:numPr>
        <w:spacing w:lineRule="auto" w:line="360" w:before="120" w:after="288"/>
        <w:ind w:left="0" w:hanging="0"/>
        <w:rPr>
          <w:color w:val="auto"/>
          <w:sz w:val="22"/>
          <w:szCs w:val="22"/>
        </w:rPr>
      </w:pPr>
      <w:r>
        <w:rPr>
          <w:color w:val="auto"/>
          <w:sz w:val="22"/>
          <w:szCs w:val="22"/>
        </w:rPr>
        <w:t>9.6 - Efetuar o pagamento ao Contratado do valor correspondente ao fornecimento do objeto, no prazo, forma e condições estabelecidos no presente Contrato;</w:t>
      </w:r>
    </w:p>
    <w:p>
      <w:pPr>
        <w:pStyle w:val="Nivel2"/>
        <w:numPr>
          <w:ilvl w:val="0"/>
          <w:numId w:val="0"/>
        </w:numPr>
        <w:spacing w:lineRule="auto" w:line="360" w:before="120" w:after="288"/>
        <w:ind w:left="0" w:hanging="0"/>
        <w:rPr>
          <w:color w:val="auto"/>
          <w:sz w:val="22"/>
          <w:szCs w:val="22"/>
        </w:rPr>
      </w:pPr>
      <w:r>
        <w:rPr>
          <w:color w:val="auto"/>
          <w:sz w:val="22"/>
          <w:szCs w:val="22"/>
        </w:rPr>
        <w:t xml:space="preserve">9.7 - Aplicar ao Contratado as sanções previstas na Lei 14.133/2021 e neste Contrato; </w:t>
      </w:r>
    </w:p>
    <w:p>
      <w:pPr>
        <w:pStyle w:val="Nivel2"/>
        <w:numPr>
          <w:ilvl w:val="0"/>
          <w:numId w:val="0"/>
        </w:numPr>
        <w:spacing w:lineRule="auto" w:line="360" w:before="120" w:after="288"/>
        <w:ind w:left="0" w:hanging="0"/>
        <w:rPr>
          <w:color w:val="auto"/>
          <w:sz w:val="22"/>
          <w:szCs w:val="22"/>
        </w:rPr>
      </w:pPr>
      <w:r>
        <w:rPr>
          <w:color w:val="auto"/>
          <w:sz w:val="22"/>
          <w:szCs w:val="22"/>
        </w:rPr>
        <w:t>9.8 - Cientificar o órgão responsável para adoção das medidas cabíveis quando do descumprimento de obrigações pelo Contratado;</w:t>
      </w:r>
    </w:p>
    <w:p>
      <w:pPr>
        <w:pStyle w:val="Nivel2"/>
        <w:numPr>
          <w:ilvl w:val="0"/>
          <w:numId w:val="0"/>
        </w:numPr>
        <w:spacing w:lineRule="auto" w:line="360" w:before="120" w:after="288"/>
        <w:ind w:left="0" w:hanging="0"/>
        <w:rPr>
          <w:color w:val="auto"/>
          <w:sz w:val="22"/>
          <w:szCs w:val="22"/>
        </w:rPr>
      </w:pPr>
      <w:r>
        <w:rPr>
          <w:color w:val="auto"/>
          <w:sz w:val="22"/>
          <w:szCs w:val="22"/>
        </w:rPr>
        <w:t>9.9 -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numPr>
          <w:ilvl w:val="0"/>
          <w:numId w:val="0"/>
        </w:numPr>
        <w:spacing w:lineRule="auto" w:line="360" w:before="120" w:after="288"/>
        <w:ind w:left="0" w:hanging="0"/>
        <w:rPr>
          <w:color w:val="auto"/>
          <w:sz w:val="22"/>
          <w:szCs w:val="22"/>
        </w:rPr>
      </w:pPr>
      <w:r>
        <w:rPr>
          <w:color w:val="auto"/>
          <w:sz w:val="22"/>
          <w:szCs w:val="22"/>
        </w:rPr>
        <w:t>9.10 -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120" w:after="288"/>
        <w:ind w:left="0" w:hanging="0"/>
        <w:rPr>
          <w:sz w:val="22"/>
          <w:szCs w:val="22"/>
        </w:rPr>
      </w:pPr>
      <w:r>
        <w:rPr>
          <w:sz w:val="22"/>
          <w:szCs w:val="22"/>
        </w:rPr>
        <w:t xml:space="preserve">CLÁUSULA DECIMA - OBRIGAÇÕES DO CONTRATADO </w:t>
      </w:r>
    </w:p>
    <w:p>
      <w:pPr>
        <w:pStyle w:val="Nivel2"/>
        <w:numPr>
          <w:ilvl w:val="0"/>
          <w:numId w:val="0"/>
        </w:numPr>
        <w:spacing w:lineRule="auto" w:line="360" w:before="120" w:after="288"/>
        <w:ind w:left="0" w:hanging="0"/>
        <w:rPr>
          <w:color w:val="auto"/>
          <w:sz w:val="22"/>
          <w:szCs w:val="22"/>
        </w:rPr>
      </w:pPr>
      <w:r>
        <w:rPr>
          <w:color w:val="auto"/>
          <w:sz w:val="22"/>
          <w:szCs w:val="22"/>
        </w:rPr>
        <w:t>10.1 - O Contratado deve cumprir todas as obrigações constantes deste Contrato e Termo de Referência, assumindo como exclusivamente seus os riscos e as despesas decorrentes da boa e perfeita execução do objeto, observando, ainda, as obrigações a seguir dispostas:</w:t>
      </w:r>
    </w:p>
    <w:p>
      <w:pPr>
        <w:pStyle w:val="Nivel2"/>
        <w:numPr>
          <w:ilvl w:val="0"/>
          <w:numId w:val="0"/>
        </w:numPr>
        <w:spacing w:lineRule="auto" w:line="360" w:before="120" w:after="288"/>
        <w:ind w:left="0" w:hanging="0"/>
        <w:rPr>
          <w:color w:val="auto"/>
          <w:sz w:val="22"/>
          <w:szCs w:val="22"/>
        </w:rPr>
      </w:pPr>
      <w:r>
        <w:rPr>
          <w:color w:val="auto"/>
          <w:sz w:val="22"/>
          <w:szCs w:val="22"/>
        </w:rPr>
        <w:t>10.2 - Comunicar ao contratante, no prazo máximo de 24 (vinte e quatro) horas que antecede a data da entrega, os motivos que impossibilitem o cumprimento do prazo previsto, com a devida comprovação;</w:t>
      </w:r>
    </w:p>
    <w:p>
      <w:pPr>
        <w:pStyle w:val="Nivel2"/>
        <w:numPr>
          <w:ilvl w:val="0"/>
          <w:numId w:val="0"/>
        </w:numPr>
        <w:spacing w:lineRule="auto" w:line="360" w:before="120" w:after="288"/>
        <w:ind w:left="0" w:hanging="0"/>
        <w:rPr>
          <w:color w:val="auto"/>
          <w:sz w:val="22"/>
          <w:szCs w:val="22"/>
        </w:rPr>
      </w:pPr>
      <w:r>
        <w:rPr>
          <w:color w:val="auto"/>
          <w:sz w:val="22"/>
          <w:szCs w:val="22"/>
        </w:rPr>
        <w:t>10.3 - Atender às determinações regulares emitidas pelo fiscal ou gestor do contrato ou autoridade superior (</w:t>
      </w:r>
      <w:r>
        <w:fldChar w:fldCharType="begin"/>
      </w:r>
      <w:r>
        <w:rPr>
          <w:rStyle w:val="LinkdaInternet"/>
          <w:sz w:val="22"/>
          <w:szCs w:val="22"/>
          <w:color w:val="auto"/>
        </w:rPr>
        <w:instrText xml:space="preserve"> HYPERLINK "http://www.planalto.gov.br/ccivil_03/_ato2019-2022/2021/lei/L14133.htm" \l "art137"</w:instrText>
      </w:r>
      <w:r>
        <w:rPr>
          <w:rStyle w:val="LinkdaInternet"/>
          <w:sz w:val="22"/>
          <w:szCs w:val="22"/>
          <w:color w:val="auto"/>
        </w:rPr>
        <w:fldChar w:fldCharType="separate"/>
      </w:r>
      <w:r>
        <w:rPr>
          <w:rStyle w:val="LinkdaInternet"/>
          <w:color w:val="auto"/>
          <w:sz w:val="22"/>
          <w:szCs w:val="22"/>
        </w:rPr>
        <w:t>art. 137, II, da Lei n.º 14.133, de 2021</w:t>
      </w:r>
      <w:r>
        <w:rPr>
          <w:rStyle w:val="LinkdaInternet"/>
          <w:sz w:val="22"/>
          <w:szCs w:val="22"/>
          <w:color w:val="auto"/>
        </w:rPr>
        <w:fldChar w:fldCharType="end"/>
      </w:r>
      <w:r>
        <w:rPr>
          <w:color w:val="auto"/>
          <w:sz w:val="22"/>
          <w:szCs w:val="22"/>
        </w:rPr>
        <w:t>) e prestar todo esclarecimento ou informação por eles solicitados;</w:t>
      </w:r>
    </w:p>
    <w:p>
      <w:pPr>
        <w:pStyle w:val="Nivel2"/>
        <w:numPr>
          <w:ilvl w:val="0"/>
          <w:numId w:val="0"/>
        </w:numPr>
        <w:spacing w:lineRule="auto" w:line="360" w:before="120" w:after="288"/>
        <w:ind w:left="0" w:hanging="0"/>
        <w:rPr>
          <w:color w:val="auto"/>
          <w:sz w:val="22"/>
          <w:szCs w:val="22"/>
        </w:rPr>
      </w:pPr>
      <w:r>
        <w:rPr>
          <w:color w:val="auto"/>
          <w:sz w:val="22"/>
          <w:szCs w:val="22"/>
        </w:rPr>
        <w:t>10.4 -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numPr>
          <w:ilvl w:val="0"/>
          <w:numId w:val="0"/>
        </w:numPr>
        <w:spacing w:lineRule="auto" w:line="360" w:before="120" w:after="288"/>
        <w:ind w:left="0" w:hanging="0"/>
        <w:rPr>
          <w:color w:val="auto"/>
          <w:sz w:val="22"/>
          <w:szCs w:val="22"/>
        </w:rPr>
      </w:pPr>
      <w:r>
        <w:rPr>
          <w:color w:val="auto"/>
          <w:sz w:val="22"/>
          <w:szCs w:val="22"/>
        </w:rPr>
        <w:t>10.5 -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numPr>
          <w:ilvl w:val="0"/>
          <w:numId w:val="0"/>
        </w:numPr>
        <w:spacing w:lineRule="auto" w:line="360" w:before="120" w:after="288"/>
        <w:ind w:left="0" w:hanging="7"/>
        <w:rPr>
          <w:color w:val="auto"/>
          <w:sz w:val="22"/>
          <w:szCs w:val="22"/>
        </w:rPr>
      </w:pPr>
      <w:r>
        <w:rPr>
          <w:color w:val="auto"/>
          <w:sz w:val="22"/>
          <w:szCs w:val="22"/>
        </w:rPr>
        <w:t>10.6 -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numPr>
          <w:ilvl w:val="0"/>
          <w:numId w:val="0"/>
        </w:numPr>
        <w:spacing w:lineRule="auto" w:line="360" w:before="120" w:after="288"/>
        <w:ind w:left="0" w:hanging="0"/>
        <w:rPr>
          <w:color w:val="auto"/>
          <w:sz w:val="22"/>
          <w:szCs w:val="22"/>
        </w:rPr>
      </w:pPr>
      <w:r>
        <w:rPr>
          <w:color w:val="auto"/>
          <w:sz w:val="22"/>
          <w:szCs w:val="22"/>
        </w:rPr>
        <w:t>10.7 - Comunicar ao Fiscal do contrato, no prazo de 24 (vinte e quatro) horas, qualquer ocorrência anormal ou acidente que se verifique no local da execução do objeto contratual.</w:t>
      </w:r>
    </w:p>
    <w:p>
      <w:pPr>
        <w:pStyle w:val="Nivel2"/>
        <w:numPr>
          <w:ilvl w:val="0"/>
          <w:numId w:val="0"/>
        </w:numPr>
        <w:spacing w:lineRule="auto" w:line="360" w:before="120" w:after="288"/>
        <w:ind w:left="0" w:hanging="0"/>
        <w:rPr>
          <w:color w:val="auto"/>
          <w:sz w:val="22"/>
          <w:szCs w:val="22"/>
        </w:rPr>
      </w:pPr>
      <w:r>
        <w:rPr>
          <w:color w:val="auto"/>
          <w:sz w:val="22"/>
          <w:szCs w:val="22"/>
        </w:rPr>
        <w:t>10.8 - Paralisar, por determinação do contratante, qualquer atividade que não esteja sendo executada de acordo com a boa técnica ou que ponha em risco a segurança de pessoas ou bens de terceiros.</w:t>
      </w:r>
    </w:p>
    <w:p>
      <w:pPr>
        <w:pStyle w:val="Nivel2"/>
        <w:numPr>
          <w:ilvl w:val="0"/>
          <w:numId w:val="0"/>
        </w:numPr>
        <w:spacing w:lineRule="auto" w:line="360" w:before="120" w:after="288"/>
        <w:ind w:left="0" w:hanging="0"/>
        <w:rPr>
          <w:color w:val="auto"/>
          <w:sz w:val="22"/>
          <w:szCs w:val="22"/>
        </w:rPr>
      </w:pPr>
      <w:r>
        <w:rPr>
          <w:color w:val="auto"/>
          <w:sz w:val="22"/>
          <w:szCs w:val="22"/>
        </w:rPr>
        <w:t xml:space="preserve">10.9 – </w:t>
      </w:r>
      <w:bookmarkStart w:id="43" w:name="_Hlk160450989"/>
      <w:r>
        <w:rPr>
          <w:color w:val="auto"/>
          <w:sz w:val="22"/>
          <w:szCs w:val="22"/>
        </w:rPr>
        <w:t xml:space="preserve">Fica a contratada ciente de que deverá manter durante toda a vigência do Contrato, em compatibilidade com as obrigações por ela assumida, bem como todas as condições de qualificação exigidas para a habilitação dessa contratação. </w:t>
      </w:r>
      <w:bookmarkEnd w:id="43"/>
    </w:p>
    <w:p>
      <w:pPr>
        <w:pStyle w:val="Nivel2"/>
        <w:numPr>
          <w:ilvl w:val="0"/>
          <w:numId w:val="0"/>
        </w:numPr>
        <w:spacing w:lineRule="auto" w:line="360" w:before="120" w:after="288"/>
        <w:ind w:left="0" w:hanging="0"/>
        <w:rPr>
          <w:b/>
          <w:b/>
          <w:bCs/>
          <w:color w:val="auto"/>
          <w:sz w:val="22"/>
          <w:szCs w:val="22"/>
        </w:rPr>
      </w:pPr>
      <w:r>
        <w:rPr>
          <w:color w:val="auto"/>
          <w:sz w:val="22"/>
          <w:szCs w:val="22"/>
        </w:rPr>
        <w:t>10.10 -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LinkdaInternet"/>
          <w:sz w:val="22"/>
          <w:szCs w:val="22"/>
          <w:color w:val="auto"/>
        </w:rPr>
        <w:instrText xml:space="preserve"> HYPERLINK "http://www.planalto.gov.br/ccivil_03/_ato2019-2022/2021/lei/L14133.htm" \l "art116"</w:instrText>
      </w:r>
      <w:r>
        <w:rPr>
          <w:rStyle w:val="LinkdaInternet"/>
          <w:sz w:val="22"/>
          <w:szCs w:val="22"/>
          <w:color w:val="auto"/>
        </w:rPr>
        <w:fldChar w:fldCharType="separate"/>
      </w:r>
      <w:r>
        <w:rPr>
          <w:rStyle w:val="LinkdaInternet"/>
          <w:color w:val="auto"/>
          <w:sz w:val="22"/>
          <w:szCs w:val="22"/>
        </w:rPr>
        <w:t>art. 116, da Lei n.º 14.133, de 2021</w:t>
      </w:r>
      <w:r>
        <w:rPr>
          <w:rStyle w:val="LinkdaInternet"/>
          <w:sz w:val="22"/>
          <w:szCs w:val="22"/>
          <w:color w:val="auto"/>
        </w:rPr>
        <w:fldChar w:fldCharType="end"/>
      </w:r>
      <w:r>
        <w:rPr>
          <w:color w:val="auto"/>
          <w:sz w:val="22"/>
          <w:szCs w:val="22"/>
        </w:rPr>
        <w:t>);</w:t>
      </w:r>
    </w:p>
    <w:p>
      <w:pPr>
        <w:pStyle w:val="Nivel2"/>
        <w:numPr>
          <w:ilvl w:val="0"/>
          <w:numId w:val="0"/>
        </w:numPr>
        <w:spacing w:lineRule="auto" w:line="360" w:before="120" w:after="288"/>
        <w:ind w:left="0" w:hanging="0"/>
        <w:rPr>
          <w:color w:val="auto"/>
          <w:sz w:val="22"/>
          <w:szCs w:val="22"/>
        </w:rPr>
      </w:pPr>
      <w:r>
        <w:rPr>
          <w:color w:val="auto"/>
          <w:sz w:val="22"/>
          <w:szCs w:val="22"/>
        </w:rPr>
        <w:t>10.11 - Comprovar a reserva de cargos a que se refere a cláusula acima, no prazo fixado pelo fiscal do contrato, com a indicação dos empregados que preencheram as referidas vagas (</w:t>
      </w:r>
      <w:r>
        <w:fldChar w:fldCharType="begin"/>
      </w:r>
      <w:r>
        <w:rPr>
          <w:rStyle w:val="LinkdaInternet"/>
          <w:sz w:val="22"/>
          <w:szCs w:val="22"/>
          <w:color w:val="auto"/>
        </w:rPr>
        <w:instrText xml:space="preserve"> HYPERLINK "http://www.planalto.gov.br/ccivil_03/_ato2019-2022/2021/lei/L14133.htm" \l "art116"</w:instrText>
      </w:r>
      <w:r>
        <w:rPr>
          <w:rStyle w:val="LinkdaInternet"/>
          <w:sz w:val="22"/>
          <w:szCs w:val="22"/>
          <w:color w:val="auto"/>
        </w:rPr>
        <w:fldChar w:fldCharType="separate"/>
      </w:r>
      <w:r>
        <w:rPr>
          <w:rStyle w:val="LinkdaInternet"/>
          <w:color w:val="auto"/>
          <w:sz w:val="22"/>
          <w:szCs w:val="22"/>
        </w:rPr>
        <w:t>art. 116, parágrafo único, da Lei n.º 14.133, de 2021</w:t>
      </w:r>
      <w:r>
        <w:rPr>
          <w:rStyle w:val="LinkdaInternet"/>
          <w:sz w:val="22"/>
          <w:szCs w:val="22"/>
          <w:color w:val="auto"/>
        </w:rPr>
        <w:fldChar w:fldCharType="end"/>
      </w:r>
      <w:r>
        <w:rPr>
          <w:color w:val="auto"/>
          <w:sz w:val="22"/>
          <w:szCs w:val="22"/>
        </w:rPr>
        <w:t>);</w:t>
      </w:r>
    </w:p>
    <w:p>
      <w:pPr>
        <w:pStyle w:val="Nivel2"/>
        <w:numPr>
          <w:ilvl w:val="0"/>
          <w:numId w:val="0"/>
        </w:numPr>
        <w:spacing w:lineRule="auto" w:line="360" w:before="120" w:after="288"/>
        <w:ind w:left="0" w:hanging="0"/>
        <w:rPr>
          <w:color w:val="auto"/>
          <w:sz w:val="22"/>
          <w:szCs w:val="22"/>
        </w:rPr>
      </w:pPr>
      <w:r>
        <w:rPr>
          <w:color w:val="auto"/>
          <w:sz w:val="22"/>
          <w:szCs w:val="22"/>
        </w:rPr>
        <w:t xml:space="preserve">10.12 - Guardar sigilo sobre todas as informações obtidas em decorrência do cumprimento do contrato; </w:t>
      </w:r>
    </w:p>
    <w:p>
      <w:pPr>
        <w:pStyle w:val="Nivel2"/>
        <w:numPr>
          <w:ilvl w:val="0"/>
          <w:numId w:val="0"/>
        </w:numPr>
        <w:spacing w:lineRule="auto" w:line="360" w:before="120" w:after="288"/>
        <w:ind w:left="0" w:hanging="0"/>
        <w:rPr>
          <w:color w:val="auto"/>
          <w:sz w:val="22"/>
          <w:szCs w:val="22"/>
        </w:rPr>
      </w:pPr>
      <w:r>
        <w:rPr>
          <w:color w:val="auto"/>
          <w:sz w:val="22"/>
          <w:szCs w:val="22"/>
        </w:rPr>
        <w:t xml:space="preserve">10.13 -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nkdaInternet"/>
          <w:sz w:val="22"/>
          <w:szCs w:val="22"/>
          <w:color w:val="auto"/>
        </w:rPr>
        <w:instrText xml:space="preserve"> HYPERLINK "http://www.planalto.gov.br/ccivil_03/_ato2019-2022/2021/lei/L14133.htm" \l "art124"</w:instrText>
      </w:r>
      <w:r>
        <w:rPr>
          <w:rStyle w:val="LinkdaInternet"/>
          <w:sz w:val="22"/>
          <w:szCs w:val="22"/>
          <w:color w:val="auto"/>
        </w:rPr>
        <w:fldChar w:fldCharType="separate"/>
      </w:r>
      <w:r>
        <w:rPr>
          <w:rStyle w:val="LinkdaInternet"/>
          <w:color w:val="auto"/>
          <w:sz w:val="22"/>
          <w:szCs w:val="22"/>
        </w:rPr>
        <w:t>art. 124, II, d, da Lei nº 14.133, de 2021.</w:t>
      </w:r>
      <w:r>
        <w:rPr>
          <w:rStyle w:val="LinkdaInternet"/>
          <w:sz w:val="22"/>
          <w:szCs w:val="22"/>
          <w:color w:val="auto"/>
        </w:rPr>
        <w:fldChar w:fldCharType="end"/>
      </w:r>
    </w:p>
    <w:p>
      <w:pPr>
        <w:pStyle w:val="Nivel01"/>
        <w:numPr>
          <w:ilvl w:val="0"/>
          <w:numId w:val="0"/>
        </w:numPr>
        <w:spacing w:lineRule="auto" w:line="360" w:before="120" w:after="288"/>
        <w:ind w:left="0" w:hanging="0"/>
        <w:rPr>
          <w:sz w:val="22"/>
          <w:szCs w:val="22"/>
        </w:rPr>
      </w:pPr>
      <w:r>
        <w:rPr>
          <w:sz w:val="22"/>
          <w:szCs w:val="22"/>
        </w:rPr>
        <w:t>CLÁUSULA DÉCIMA PRIMEIRA – INFRAÇÕES E SANÇÕES ADMINISTRATIVAS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XIV</w:t>
      </w:r>
      <w:r>
        <w:rPr>
          <w:rStyle w:val="LinkdaInternet"/>
          <w:sz w:val="22"/>
          <w:szCs w:val="22"/>
          <w:color w:val="auto"/>
        </w:rPr>
        <w:fldChar w:fldCharType="end"/>
      </w:r>
      <w:r>
        <w:rPr>
          <w:sz w:val="22"/>
          <w:szCs w:val="22"/>
        </w:rPr>
        <w:t>)</w:t>
      </w:r>
    </w:p>
    <w:p>
      <w:pPr>
        <w:pStyle w:val="Nivel2"/>
        <w:numPr>
          <w:ilvl w:val="1"/>
          <w:numId w:val="9"/>
        </w:numPr>
        <w:spacing w:lineRule="auto" w:line="360" w:before="120" w:after="288"/>
        <w:ind w:left="0" w:firstLine="6"/>
        <w:rPr>
          <w:color w:val="auto"/>
          <w:sz w:val="22"/>
          <w:szCs w:val="22"/>
        </w:rPr>
      </w:pPr>
      <w:r>
        <w:rPr>
          <w:color w:val="auto"/>
          <w:sz w:val="22"/>
          <w:szCs w:val="22"/>
        </w:rPr>
        <w:t xml:space="preserve">- As infrações </w:t>
      </w:r>
      <w:r>
        <w:rPr>
          <w:color w:val="auto"/>
          <w:sz w:val="22"/>
          <w:szCs w:val="22"/>
          <w:lang w:eastAsia="en-US"/>
        </w:rPr>
        <w:t>ao contratado</w:t>
      </w:r>
      <w:r>
        <w:rPr>
          <w:color w:val="auto"/>
          <w:sz w:val="22"/>
          <w:szCs w:val="22"/>
        </w:rPr>
        <w:t xml:space="preserve"> e demais condições a ele referentes encontram-se definidos no Termo de Referência, que fica fazendo parte integrante deste Contrato.</w:t>
      </w:r>
    </w:p>
    <w:p>
      <w:pPr>
        <w:pStyle w:val="Nivel01"/>
        <w:numPr>
          <w:ilvl w:val="0"/>
          <w:numId w:val="0"/>
        </w:numPr>
        <w:spacing w:lineRule="auto" w:line="360" w:before="120" w:after="288"/>
        <w:ind w:left="0" w:hanging="0"/>
        <w:rPr>
          <w:sz w:val="22"/>
          <w:szCs w:val="22"/>
        </w:rPr>
      </w:pPr>
      <w:r>
        <w:rPr>
          <w:sz w:val="22"/>
          <w:szCs w:val="22"/>
        </w:rPr>
        <w:t>CLÁUSULA DÉCIMA SEGUNDA – DA EXTINÇÃO CONTRATUAL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XIX</w:t>
      </w:r>
      <w:r>
        <w:rPr>
          <w:rStyle w:val="LinkdaInternet"/>
          <w:sz w:val="22"/>
          <w:szCs w:val="22"/>
          <w:color w:val="auto"/>
        </w:rPr>
        <w:fldChar w:fldCharType="end"/>
      </w:r>
      <w:r>
        <w:rPr>
          <w:sz w:val="22"/>
          <w:szCs w:val="22"/>
        </w:rPr>
        <w:t>)</w:t>
      </w:r>
    </w:p>
    <w:p>
      <w:pPr>
        <w:pStyle w:val="Nvel2Red"/>
        <w:tabs>
          <w:tab w:val="clear" w:pos="0"/>
        </w:tabs>
        <w:spacing w:lineRule="auto" w:line="360"/>
        <w:ind w:left="-7" w:hanging="0"/>
        <w:rPr>
          <w:i w:val="false"/>
          <w:i w:val="false"/>
          <w:iCs w:val="false"/>
          <w:color w:val="auto"/>
          <w:sz w:val="22"/>
          <w:szCs w:val="22"/>
        </w:rPr>
      </w:pPr>
      <w:r>
        <w:rPr>
          <w:i w:val="false"/>
          <w:iCs w:val="false"/>
          <w:color w:val="auto"/>
          <w:sz w:val="22"/>
          <w:szCs w:val="22"/>
        </w:rPr>
        <w:t>12.1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left="-7" w:hanging="0"/>
        <w:rPr>
          <w:i w:val="false"/>
          <w:i w:val="false"/>
          <w:iCs w:val="false"/>
          <w:color w:val="auto"/>
          <w:sz w:val="22"/>
          <w:szCs w:val="22"/>
        </w:rPr>
      </w:pPr>
      <w:r>
        <w:rPr>
          <w:i w:val="false"/>
          <w:iCs w:val="false"/>
          <w:color w:val="auto"/>
          <w:sz w:val="22"/>
          <w:szCs w:val="22"/>
        </w:rPr>
        <w:t>12.2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spacing w:lineRule="auto" w:line="360"/>
        <w:ind w:left="-14" w:hanging="0"/>
        <w:rPr>
          <w:rFonts w:eastAsia="Arial"/>
          <w:i w:val="false"/>
          <w:i w:val="false"/>
          <w:iCs w:val="false"/>
          <w:color w:val="auto"/>
          <w:sz w:val="22"/>
          <w:szCs w:val="22"/>
        </w:rPr>
      </w:pPr>
      <w:r>
        <w:rPr>
          <w:i w:val="false"/>
          <w:iCs w:val="false"/>
          <w:color w:val="auto"/>
          <w:sz w:val="22"/>
          <w:szCs w:val="22"/>
        </w:rPr>
        <w:t xml:space="preserve">12.3 Quando a não conclusão do contrato referida no item anterior decorrer de culpa do contratado: </w:t>
      </w:r>
      <w:r>
        <w:rPr>
          <w:rFonts w:eastAsia="Arial"/>
          <w:i w:val="false"/>
          <w:iCs w:val="false"/>
          <w:color w:val="auto"/>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01"/>
        <w:numPr>
          <w:ilvl w:val="0"/>
          <w:numId w:val="0"/>
        </w:numPr>
        <w:spacing w:lineRule="auto" w:line="360" w:before="120" w:after="288"/>
        <w:ind w:left="0" w:hanging="0"/>
        <w:rPr>
          <w:sz w:val="22"/>
          <w:szCs w:val="22"/>
        </w:rPr>
      </w:pPr>
      <w:r>
        <w:rPr>
          <w:sz w:val="22"/>
          <w:szCs w:val="22"/>
        </w:rPr>
        <w:t>CLÁUSULA DÉCIMA TERCEIRA – DOS CASOS OMISSOS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III</w:t>
      </w:r>
      <w:r>
        <w:rPr>
          <w:rStyle w:val="LinkdaInternet"/>
          <w:sz w:val="22"/>
          <w:szCs w:val="22"/>
          <w:color w:val="auto"/>
        </w:rPr>
        <w:fldChar w:fldCharType="end"/>
      </w:r>
      <w:r>
        <w:rPr>
          <w:sz w:val="22"/>
          <w:szCs w:val="22"/>
        </w:rPr>
        <w:t>)</w:t>
      </w:r>
    </w:p>
    <w:p>
      <w:pPr>
        <w:pStyle w:val="Nivel2"/>
        <w:numPr>
          <w:ilvl w:val="0"/>
          <w:numId w:val="0"/>
        </w:numPr>
        <w:spacing w:lineRule="auto" w:line="360" w:before="120" w:after="288"/>
        <w:ind w:left="0" w:hanging="0"/>
        <w:rPr>
          <w:color w:val="auto"/>
          <w:sz w:val="22"/>
          <w:szCs w:val="22"/>
        </w:rPr>
      </w:pPr>
      <w:r>
        <w:rPr>
          <w:color w:val="auto"/>
          <w:sz w:val="22"/>
          <w:szCs w:val="22"/>
        </w:rPr>
        <w:t xml:space="preserve">13.1 Os casos omissos serão decididos pelo contratante, segundo as disposições contidas na Lei </w:t>
      </w:r>
      <w:hyperlink r:id="rId14">
        <w:r>
          <w:rPr>
            <w:rStyle w:val="LinkdaInternet"/>
            <w:color w:val="auto"/>
            <w:sz w:val="22"/>
            <w:szCs w:val="22"/>
          </w:rPr>
          <w:t>nº 14.133, de 2021</w:t>
        </w:r>
      </w:hyperlink>
      <w:r>
        <w:rPr>
          <w:color w:val="auto"/>
          <w:sz w:val="22"/>
          <w:szCs w:val="22"/>
        </w:rPr>
        <w:t xml:space="preserve">, e demais normas federais aplicáveis e, subsidiariamente, segundo as disposições contidas na </w:t>
      </w:r>
      <w:hyperlink r:id="rId15">
        <w:r>
          <w:rPr>
            <w:rStyle w:val="LinkdaInternet"/>
            <w:color w:val="auto"/>
            <w:sz w:val="22"/>
            <w:szCs w:val="22"/>
          </w:rPr>
          <w:t>Lei nº 8.078, de 1990 – Código de Defesa do Consumidor</w:t>
        </w:r>
      </w:hyperlink>
      <w:r>
        <w:rPr>
          <w:color w:val="auto"/>
          <w:sz w:val="22"/>
          <w:szCs w:val="22"/>
        </w:rPr>
        <w:t xml:space="preserve"> – e normas e princípios gerais dos contratos.</w:t>
      </w:r>
    </w:p>
    <w:p>
      <w:pPr>
        <w:pStyle w:val="Nivel01"/>
        <w:numPr>
          <w:ilvl w:val="0"/>
          <w:numId w:val="0"/>
        </w:numPr>
        <w:spacing w:lineRule="auto" w:line="360" w:before="120" w:after="288"/>
        <w:ind w:left="0" w:hanging="0"/>
        <w:rPr>
          <w:sz w:val="22"/>
          <w:szCs w:val="22"/>
        </w:rPr>
      </w:pPr>
      <w:r>
        <w:rPr>
          <w:sz w:val="22"/>
          <w:szCs w:val="22"/>
        </w:rPr>
        <w:t>CLÁUSULA DÉCIMA QUARTA – ALTERAÇÕES</w:t>
      </w:r>
    </w:p>
    <w:p>
      <w:pPr>
        <w:pStyle w:val="Nivel2"/>
        <w:numPr>
          <w:ilvl w:val="0"/>
          <w:numId w:val="0"/>
        </w:numPr>
        <w:spacing w:lineRule="auto" w:line="360"/>
        <w:ind w:left="0" w:hanging="0"/>
        <w:rPr>
          <w:color w:val="auto"/>
          <w:sz w:val="22"/>
          <w:szCs w:val="22"/>
        </w:rPr>
      </w:pPr>
      <w:r>
        <w:rPr>
          <w:color w:val="auto"/>
          <w:sz w:val="22"/>
          <w:szCs w:val="22"/>
        </w:rPr>
        <w:t xml:space="preserve">14.1 - Eventuais alterações contratuais reger-se-ão pela disciplina dos </w:t>
      </w:r>
      <w:r>
        <w:fldChar w:fldCharType="begin"/>
      </w:r>
      <w:r>
        <w:rPr>
          <w:rStyle w:val="LinkdaInternet"/>
          <w:sz w:val="22"/>
          <w:szCs w:val="22"/>
          <w:color w:val="auto"/>
        </w:rPr>
        <w:instrText xml:space="preserve"> HYPERLINK "http://www.planalto.gov.br/ccivil_03/_ato2019-2022/2021/lei/L14133.htm" \l "art124"</w:instrText>
      </w:r>
      <w:r>
        <w:rPr>
          <w:rStyle w:val="LinkdaInternet"/>
          <w:sz w:val="22"/>
          <w:szCs w:val="22"/>
          <w:color w:val="auto"/>
        </w:rPr>
        <w:fldChar w:fldCharType="separate"/>
      </w:r>
      <w:r>
        <w:rPr>
          <w:rStyle w:val="LinkdaInternet"/>
          <w:color w:val="auto"/>
          <w:sz w:val="22"/>
          <w:szCs w:val="22"/>
        </w:rPr>
        <w:t>arts. 124 e seguintes da Lei nº 14.133, de 2021</w:t>
      </w:r>
      <w:r>
        <w:rPr>
          <w:rStyle w:val="LinkdaInternet"/>
          <w:sz w:val="22"/>
          <w:szCs w:val="22"/>
          <w:color w:val="auto"/>
        </w:rPr>
        <w:fldChar w:fldCharType="end"/>
      </w:r>
      <w:r>
        <w:rPr>
          <w:color w:val="auto"/>
          <w:sz w:val="22"/>
          <w:szCs w:val="22"/>
        </w:rPr>
        <w:t>.</w:t>
      </w:r>
    </w:p>
    <w:p>
      <w:pPr>
        <w:pStyle w:val="Nivel2"/>
        <w:numPr>
          <w:ilvl w:val="0"/>
          <w:numId w:val="0"/>
        </w:numPr>
        <w:spacing w:lineRule="auto" w:line="360"/>
        <w:ind w:left="0" w:hanging="0"/>
        <w:rPr>
          <w:color w:val="auto"/>
          <w:sz w:val="22"/>
          <w:szCs w:val="22"/>
        </w:rPr>
      </w:pPr>
      <w:r>
        <w:rPr>
          <w:color w:val="auto"/>
          <w:sz w:val="22"/>
          <w:szCs w:val="22"/>
        </w:rPr>
        <w:t>14.2 - O contratado é obrigado a aceitar, nas mesmas condições contratuais, os acréscimos ou supressões que se fizerem necessários, até o limite de 25% (vinte e cinco por cento) do valor inicial atualizado do contrato.</w:t>
      </w:r>
    </w:p>
    <w:p>
      <w:pPr>
        <w:pStyle w:val="Nivel2"/>
        <w:numPr>
          <w:ilvl w:val="0"/>
          <w:numId w:val="0"/>
        </w:numPr>
        <w:spacing w:lineRule="auto" w:line="360"/>
        <w:ind w:left="0" w:hanging="0"/>
        <w:rPr>
          <w:color w:val="auto"/>
          <w:sz w:val="22"/>
          <w:szCs w:val="22"/>
        </w:rPr>
      </w:pPr>
      <w:r>
        <w:rPr>
          <w:color w:val="auto"/>
          <w:sz w:val="22"/>
          <w:szCs w:val="22"/>
        </w:rPr>
        <w:t>14.3 -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numPr>
          <w:ilvl w:val="0"/>
          <w:numId w:val="0"/>
        </w:numPr>
        <w:spacing w:lineRule="auto" w:line="360" w:before="120" w:after="288"/>
        <w:ind w:left="0" w:hanging="0"/>
        <w:rPr>
          <w:color w:val="auto"/>
          <w:sz w:val="22"/>
          <w:szCs w:val="22"/>
        </w:rPr>
      </w:pPr>
      <w:r>
        <w:rPr>
          <w:color w:val="auto"/>
          <w:sz w:val="22"/>
          <w:szCs w:val="22"/>
        </w:rPr>
        <w:t xml:space="preserve">14.4 Registros que não caracterizam alteração do contrato podem ser realizados por simples apostila, dispensada a celebração de termo aditivo, na forma do </w:t>
      </w:r>
      <w:r>
        <w:fldChar w:fldCharType="begin"/>
      </w:r>
      <w:r>
        <w:rPr>
          <w:rStyle w:val="LinkdaInternet"/>
          <w:sz w:val="22"/>
          <w:szCs w:val="22"/>
          <w:color w:val="auto"/>
        </w:rPr>
        <w:instrText xml:space="preserve"> HYPERLINK "http://www.planalto.gov.br/ccivil_03/_ato2019-2022/2021/lei/L14133.htm" \l "art136"</w:instrText>
      </w:r>
      <w:r>
        <w:rPr>
          <w:rStyle w:val="LinkdaInternet"/>
          <w:sz w:val="22"/>
          <w:szCs w:val="22"/>
          <w:color w:val="auto"/>
        </w:rPr>
        <w:fldChar w:fldCharType="separate"/>
      </w:r>
      <w:r>
        <w:rPr>
          <w:rStyle w:val="LinkdaInternet"/>
          <w:color w:val="auto"/>
          <w:sz w:val="22"/>
          <w:szCs w:val="22"/>
        </w:rPr>
        <w:t>art. 136 da Lei nº 14.133, de 2021</w:t>
      </w:r>
      <w:r>
        <w:rPr>
          <w:rStyle w:val="LinkdaInternet"/>
          <w:sz w:val="22"/>
          <w:szCs w:val="22"/>
          <w:color w:val="auto"/>
        </w:rPr>
        <w:fldChar w:fldCharType="end"/>
      </w:r>
      <w:r>
        <w:rPr>
          <w:rStyle w:val="LinkdaInternet"/>
          <w:color w:val="auto"/>
          <w:sz w:val="22"/>
          <w:szCs w:val="22"/>
        </w:rPr>
        <w:t>.</w:t>
      </w:r>
    </w:p>
    <w:p>
      <w:pPr>
        <w:pStyle w:val="Nivel01"/>
        <w:numPr>
          <w:ilvl w:val="0"/>
          <w:numId w:val="0"/>
        </w:numPr>
        <w:spacing w:lineRule="auto" w:line="360" w:before="120" w:after="288"/>
        <w:ind w:left="0" w:hanging="0"/>
        <w:rPr>
          <w:sz w:val="22"/>
          <w:szCs w:val="22"/>
        </w:rPr>
      </w:pPr>
      <w:r>
        <w:rPr>
          <w:sz w:val="22"/>
          <w:szCs w:val="22"/>
        </w:rPr>
        <w:t>CLÁUSULA DÉCIMA QUINTA – PUBLICAÇÃO</w:t>
      </w:r>
    </w:p>
    <w:p>
      <w:pPr>
        <w:pStyle w:val="Nivel2"/>
        <w:numPr>
          <w:ilvl w:val="0"/>
          <w:numId w:val="0"/>
        </w:numPr>
        <w:spacing w:lineRule="auto" w:line="360" w:before="120" w:after="288"/>
        <w:ind w:left="0" w:hanging="0"/>
        <w:rPr>
          <w:color w:val="auto"/>
          <w:sz w:val="22"/>
          <w:szCs w:val="22"/>
        </w:rPr>
      </w:pPr>
      <w:r>
        <w:rPr>
          <w:color w:val="auto"/>
          <w:sz w:val="22"/>
          <w:szCs w:val="22"/>
        </w:rPr>
        <w:t xml:space="preserve">15.1 Incumbirá ao contratante divulgar o presente instrumento no Portal Nacional de Contratações Públicas (PNCP), na forma prevista no </w:t>
      </w:r>
      <w:r>
        <w:fldChar w:fldCharType="begin"/>
      </w:r>
      <w:r>
        <w:rPr>
          <w:rStyle w:val="LinkdaInternet"/>
          <w:sz w:val="22"/>
          <w:szCs w:val="22"/>
          <w:color w:val="auto"/>
        </w:rPr>
        <w:instrText xml:space="preserve"> HYPERLINK "http://www.planalto.gov.br/ccivil_03/_ato2019-2022/2021/lei/L14133.htm" \l "art94"</w:instrText>
      </w:r>
      <w:r>
        <w:rPr>
          <w:rStyle w:val="LinkdaInternet"/>
          <w:sz w:val="22"/>
          <w:szCs w:val="22"/>
          <w:color w:val="auto"/>
        </w:rPr>
        <w:fldChar w:fldCharType="separate"/>
      </w:r>
      <w:r>
        <w:rPr>
          <w:rStyle w:val="LinkdaInternet"/>
          <w:color w:val="auto"/>
          <w:sz w:val="22"/>
          <w:szCs w:val="22"/>
        </w:rPr>
        <w:t>art. 94 da Lei 14.133, de 2021</w:t>
      </w:r>
      <w:r>
        <w:rPr>
          <w:rStyle w:val="LinkdaInternet"/>
          <w:sz w:val="22"/>
          <w:szCs w:val="22"/>
          <w:color w:val="auto"/>
        </w:rPr>
        <w:fldChar w:fldCharType="end"/>
      </w:r>
      <w:r>
        <w:rPr>
          <w:color w:val="auto"/>
          <w:sz w:val="22"/>
          <w:szCs w:val="22"/>
        </w:rPr>
        <w:t xml:space="preserve">, bem como no respectivo sítio oficial na Internet, em atenção ao </w:t>
      </w:r>
      <w:r>
        <w:fldChar w:fldCharType="begin"/>
      </w:r>
      <w:r>
        <w:rPr>
          <w:rStyle w:val="LinkdaInternet"/>
          <w:sz w:val="22"/>
          <w:szCs w:val="22"/>
          <w:color w:val="auto"/>
        </w:rPr>
        <w:instrText xml:space="preserve"> HYPERLINK "https://www.planalto.gov.br/ccivil_03/_ato2011-2014/2011/lei/l12527.htm" \l "art8§2"</w:instrText>
      </w:r>
      <w:r>
        <w:rPr>
          <w:rStyle w:val="LinkdaInternet"/>
          <w:sz w:val="22"/>
          <w:szCs w:val="22"/>
          <w:color w:val="auto"/>
        </w:rPr>
        <w:fldChar w:fldCharType="separate"/>
      </w:r>
      <w:r>
        <w:rPr>
          <w:rStyle w:val="LinkdaInternet"/>
          <w:color w:val="auto"/>
          <w:sz w:val="22"/>
          <w:szCs w:val="22"/>
        </w:rPr>
        <w:t>art. 8º, §2º, da Lei n. 12.527, de 2011</w:t>
      </w:r>
      <w:r>
        <w:rPr>
          <w:rStyle w:val="LinkdaInternet"/>
          <w:sz w:val="22"/>
          <w:szCs w:val="22"/>
          <w:color w:val="auto"/>
        </w:rPr>
        <w:fldChar w:fldCharType="end"/>
      </w:r>
      <w:r>
        <w:rPr>
          <w:color w:val="auto"/>
          <w:sz w:val="22"/>
          <w:szCs w:val="22"/>
        </w:rPr>
        <w:t xml:space="preserve">, c/c </w:t>
      </w:r>
      <w:r>
        <w:fldChar w:fldCharType="begin"/>
      </w:r>
      <w:r>
        <w:rPr>
          <w:rStyle w:val="LinkdaInternet"/>
          <w:sz w:val="22"/>
          <w:szCs w:val="22"/>
          <w:color w:val="auto"/>
        </w:rPr>
        <w:instrText xml:space="preserve"> HYPERLINK "https://www.planalto.gov.br/ccivil_03/_ato2011-2014/2012/decreto/d7724.htm" \l "art7§3"</w:instrText>
      </w:r>
      <w:r>
        <w:rPr>
          <w:rStyle w:val="LinkdaInternet"/>
          <w:sz w:val="22"/>
          <w:szCs w:val="22"/>
          <w:color w:val="auto"/>
        </w:rPr>
        <w:fldChar w:fldCharType="separate"/>
      </w:r>
      <w:r>
        <w:rPr>
          <w:rStyle w:val="LinkdaInternet"/>
          <w:color w:val="auto"/>
          <w:sz w:val="22"/>
          <w:szCs w:val="22"/>
        </w:rPr>
        <w:t>art. 7º, §3º, inciso V, do Decreto n. 7.724, de 2012</w:t>
      </w:r>
      <w:r>
        <w:rPr>
          <w:rStyle w:val="LinkdaInternet"/>
          <w:sz w:val="22"/>
          <w:szCs w:val="22"/>
          <w:color w:val="auto"/>
        </w:rPr>
        <w:fldChar w:fldCharType="end"/>
      </w:r>
      <w:r>
        <w:rPr>
          <w:color w:val="auto"/>
          <w:sz w:val="22"/>
          <w:szCs w:val="22"/>
        </w:rPr>
        <w:t>.</w:t>
      </w:r>
    </w:p>
    <w:p>
      <w:pPr>
        <w:pStyle w:val="Nivel01"/>
        <w:numPr>
          <w:ilvl w:val="0"/>
          <w:numId w:val="0"/>
        </w:numPr>
        <w:spacing w:lineRule="auto" w:line="360" w:before="120" w:after="288"/>
        <w:ind w:left="0" w:hanging="0"/>
        <w:rPr>
          <w:sz w:val="22"/>
          <w:szCs w:val="22"/>
        </w:rPr>
      </w:pPr>
      <w:r>
        <w:rPr>
          <w:sz w:val="22"/>
          <w:szCs w:val="22"/>
        </w:rPr>
        <w:t>CLÁUSULA DÉCIMA SEXTA– FORO (</w:t>
      </w:r>
      <w:r>
        <w:fldChar w:fldCharType="begin"/>
      </w:r>
      <w:r>
        <w:rPr>
          <w:rStyle w:val="LinkdaInternet"/>
          <w:sz w:val="22"/>
          <w:szCs w:val="22"/>
          <w:color w:val="auto"/>
        </w:rPr>
        <w:instrText xml:space="preserve"> HYPERLINK "http://www.planalto.gov.br/ccivil_03/_ato2019-2022/2021/lei/L14133.htm" \l "art92§1"</w:instrText>
      </w:r>
      <w:r>
        <w:rPr>
          <w:rStyle w:val="LinkdaInternet"/>
          <w:sz w:val="22"/>
          <w:szCs w:val="22"/>
          <w:color w:val="auto"/>
        </w:rPr>
        <w:fldChar w:fldCharType="separate"/>
      </w:r>
      <w:r>
        <w:rPr>
          <w:rStyle w:val="LinkdaInternet"/>
          <w:color w:val="auto"/>
          <w:sz w:val="22"/>
          <w:szCs w:val="22"/>
        </w:rPr>
        <w:t>art. 92, §1º</w:t>
      </w:r>
      <w:r>
        <w:rPr>
          <w:rStyle w:val="LinkdaInternet"/>
          <w:sz w:val="22"/>
          <w:szCs w:val="22"/>
          <w:color w:val="auto"/>
        </w:rPr>
        <w:fldChar w:fldCharType="end"/>
      </w:r>
      <w:r>
        <w:rPr>
          <w:sz w:val="22"/>
          <w:szCs w:val="22"/>
        </w:rPr>
        <w:t>)</w:t>
      </w:r>
    </w:p>
    <w:p>
      <w:pPr>
        <w:pStyle w:val="Nivel2"/>
        <w:numPr>
          <w:ilvl w:val="0"/>
          <w:numId w:val="0"/>
        </w:numPr>
        <w:spacing w:lineRule="auto" w:line="360" w:before="120" w:after="288"/>
        <w:ind w:left="0" w:hanging="0"/>
        <w:rPr>
          <w:color w:val="auto"/>
          <w:sz w:val="22"/>
          <w:szCs w:val="22"/>
        </w:rPr>
      </w:pPr>
      <w:r>
        <w:rPr>
          <w:color w:val="auto"/>
          <w:sz w:val="22"/>
          <w:szCs w:val="22"/>
          <w:lang w:eastAsia="en-US"/>
        </w:rPr>
        <w:t>16.1 Fica eleito o Foro da Justiça Estadual em ..</w:t>
      </w:r>
      <w:r>
        <w:rPr>
          <w:color w:val="auto"/>
          <w:sz w:val="22"/>
          <w:szCs w:val="22"/>
        </w:rPr>
        <w:t xml:space="preserve">...., Seção Judiciária de...... para dirimir os litígios que decorrerem da execução deste Termo de Contrato que não puderem ser compostos pela conciliação, conforme </w:t>
      </w:r>
      <w:r>
        <w:fldChar w:fldCharType="begin"/>
      </w:r>
      <w:r>
        <w:rPr>
          <w:rStyle w:val="LinkdaInternet"/>
          <w:sz w:val="22"/>
          <w:szCs w:val="22"/>
          <w:color w:val="auto"/>
        </w:rPr>
        <w:instrText xml:space="preserve"> HYPERLINK "http://www.planalto.gov.br/ccivil_03/_ato2019-2022/2021/lei/L14133.htm" \l "art92§1"</w:instrText>
      </w:r>
      <w:r>
        <w:rPr>
          <w:rStyle w:val="LinkdaInternet"/>
          <w:sz w:val="22"/>
          <w:szCs w:val="22"/>
          <w:color w:val="auto"/>
        </w:rPr>
        <w:fldChar w:fldCharType="separate"/>
      </w:r>
      <w:r>
        <w:rPr>
          <w:rStyle w:val="LinkdaInternet"/>
          <w:color w:val="auto"/>
          <w:sz w:val="22"/>
          <w:szCs w:val="22"/>
        </w:rPr>
        <w:t>art. 92, §1º, da Lei nº 14.133/21</w:t>
      </w:r>
      <w:r>
        <w:rPr>
          <w:rStyle w:val="LinkdaInternet"/>
          <w:sz w:val="22"/>
          <w:szCs w:val="22"/>
          <w:color w:val="auto"/>
        </w:rPr>
        <w:fldChar w:fldCharType="end"/>
      </w:r>
      <w:r>
        <w:rPr>
          <w:color w:val="auto"/>
          <w:sz w:val="22"/>
          <w:szCs w:val="22"/>
        </w:rPr>
        <w:t>.</w:t>
      </w:r>
    </w:p>
    <w:p>
      <w:pPr>
        <w:pStyle w:val="Normal"/>
        <w:spacing w:lineRule="auto" w:line="360"/>
        <w:ind w:right="-54" w:hanging="0"/>
        <w:jc w:val="both"/>
        <w:rPr>
          <w:rFonts w:ascii="Arial" w:hAnsi="Arial" w:eastAsia="MS Mincho" w:cs="Arial"/>
          <w:kern w:val="0"/>
          <w:sz w:val="22"/>
          <w:szCs w:val="22"/>
          <w:lang w:eastAsia="en-US"/>
        </w:rPr>
      </w:pPr>
      <w:r>
        <w:rPr>
          <w:rFonts w:eastAsia="MS Mincho" w:cs="Arial" w:ascii="Arial" w:hAnsi="Arial"/>
          <w:kern w:val="0"/>
          <w:sz w:val="22"/>
          <w:szCs w:val="22"/>
          <w:lang w:eastAsia="en-US"/>
        </w:rPr>
        <w:t xml:space="preserve">16.2 - E, por estarem de acordo, foi lavrado o presente instrumento que, lido e achado conforme, vai assinado em 03 (três) vias de igual teor, pelas partes e na presença de duas testemunhas abaixo indicadas. </w:t>
      </w:r>
    </w:p>
    <w:p>
      <w:pPr>
        <w:pStyle w:val="Nivel2"/>
        <w:numPr>
          <w:ilvl w:val="0"/>
          <w:numId w:val="0"/>
        </w:numPr>
        <w:spacing w:lineRule="auto" w:line="360" w:before="120" w:after="288"/>
        <w:ind w:left="0" w:hanging="0"/>
        <w:rPr>
          <w:color w:val="auto"/>
          <w:sz w:val="22"/>
          <w:szCs w:val="22"/>
        </w:rPr>
      </w:pPr>
      <w:r>
        <w:rPr>
          <w:color w:val="auto"/>
          <w:sz w:val="22"/>
          <w:szCs w:val="22"/>
        </w:rPr>
      </w:r>
    </w:p>
    <w:p>
      <w:pPr>
        <w:pStyle w:val="Nivel2"/>
        <w:numPr>
          <w:ilvl w:val="0"/>
          <w:numId w:val="0"/>
        </w:numPr>
        <w:spacing w:lineRule="auto" w:line="360" w:before="120" w:after="288"/>
        <w:ind w:left="0" w:firstLine="567"/>
        <w:rPr>
          <w:i/>
          <w:i/>
          <w:iCs/>
          <w:color w:val="auto"/>
          <w:sz w:val="22"/>
          <w:szCs w:val="22"/>
        </w:rPr>
      </w:pPr>
      <w:r>
        <w:rPr>
          <w:i/>
          <w:iCs/>
          <w:color w:val="auto"/>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7"/>
        </w:numPr>
        <w:spacing w:lineRule="auto" w:line="360" w:before="120" w:after="288"/>
        <w:rPr>
          <w:rFonts w:ascii="Arial" w:hAnsi="Arial" w:cs="Arial"/>
          <w:i/>
          <w:i/>
          <w:iCs/>
          <w:sz w:val="22"/>
          <w:szCs w:val="22"/>
        </w:rPr>
      </w:pPr>
      <w:r>
        <w:rPr>
          <w:rFonts w:cs="Arial" w:ascii="Arial" w:hAnsi="Arial"/>
          <w:i/>
          <w:iCs/>
          <w:sz w:val="22"/>
          <w:szCs w:val="22"/>
        </w:rPr>
        <w:t xml:space="preserve">                                                                         </w:t>
      </w:r>
      <w:r>
        <w:rPr>
          <w:rFonts w:cs="Arial" w:ascii="Arial" w:hAnsi="Arial"/>
          <w:i/>
          <w:iCs/>
          <w:sz w:val="22"/>
          <w:szCs w:val="22"/>
        </w:rPr>
        <w:t xml:space="preserve">2- </w:t>
      </w:r>
    </w:p>
    <w:p>
      <w:pPr>
        <w:pStyle w:val="Ttulo1"/>
        <w:numPr>
          <w:ilvl w:val="0"/>
          <w:numId w:val="1"/>
        </w:numPr>
        <w:tabs>
          <w:tab w:val="clear" w:pos="709"/>
          <w:tab w:val="left" w:pos="0" w:leader="none"/>
          <w:tab w:val="left" w:pos="1440" w:leader="none"/>
        </w:tabs>
        <w:spacing w:lineRule="auto" w:line="360"/>
        <w:jc w:val="center"/>
        <w:rPr>
          <w:sz w:val="22"/>
          <w:szCs w:val="22"/>
        </w:rPr>
      </w:pPr>
      <w:r>
        <w:rPr>
          <w:sz w:val="22"/>
          <w:szCs w:val="22"/>
        </w:rPr>
        <w:tab/>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Ttulo1"/>
        <w:numPr>
          <w:ilvl w:val="0"/>
          <w:numId w:val="1"/>
        </w:numPr>
        <w:tabs>
          <w:tab w:val="clear" w:pos="709"/>
          <w:tab w:val="left" w:pos="0" w:leader="none"/>
          <w:tab w:val="left" w:pos="1440" w:leader="none"/>
        </w:tabs>
        <w:spacing w:lineRule="auto" w:line="360"/>
        <w:jc w:val="center"/>
        <w:rPr>
          <w:bCs w:val="false"/>
          <w:sz w:val="22"/>
          <w:szCs w:val="22"/>
          <w:u w:val="single"/>
        </w:rPr>
      </w:pPr>
      <w:r>
        <w:rPr>
          <w:bCs w:val="false"/>
          <w:sz w:val="22"/>
          <w:szCs w:val="22"/>
          <w:u w:val="single"/>
        </w:rPr>
      </w:r>
    </w:p>
    <w:p>
      <w:pPr>
        <w:pStyle w:val="Ttulo1"/>
        <w:numPr>
          <w:ilvl w:val="0"/>
          <w:numId w:val="1"/>
        </w:numPr>
        <w:tabs>
          <w:tab w:val="clear" w:pos="709"/>
          <w:tab w:val="left" w:pos="0" w:leader="none"/>
          <w:tab w:val="left" w:pos="1440" w:leader="none"/>
        </w:tabs>
        <w:spacing w:lineRule="auto" w:line="360"/>
        <w:jc w:val="center"/>
        <w:rPr>
          <w:bCs w:val="false"/>
          <w:sz w:val="22"/>
          <w:szCs w:val="22"/>
          <w:u w:val="single"/>
        </w:rPr>
      </w:pPr>
      <w:r>
        <w:rPr>
          <w:bCs w:val="false"/>
          <w:sz w:val="22"/>
          <w:szCs w:val="22"/>
          <w:u w:val="single"/>
        </w:rPr>
        <w:t>TERMO DE RECEBIMENTO DO EDITAL</w:t>
      </w:r>
    </w:p>
    <w:p>
      <w:pPr>
        <w:pStyle w:val="Normal"/>
        <w:spacing w:lineRule="auto" w:line="360"/>
        <w:rPr>
          <w:rFonts w:ascii="Arial" w:hAnsi="Arial" w:cs="Arial"/>
          <w:sz w:val="22"/>
          <w:szCs w:val="22"/>
        </w:rPr>
      </w:pPr>
      <w:r>
        <w:rPr>
          <w:rFonts w:cs="Arial" w:ascii="Arial" w:hAnsi="Arial"/>
          <w:sz w:val="22"/>
          <w:szCs w:val="22"/>
        </w:rPr>
      </w:r>
    </w:p>
    <w:p>
      <w:pPr>
        <w:pStyle w:val="Normal"/>
        <w:tabs>
          <w:tab w:val="clear" w:pos="709"/>
          <w:tab w:val="left" w:pos="1440" w:leader="none"/>
        </w:tabs>
        <w:ind w:right="-57" w:hanging="0"/>
        <w:jc w:val="both"/>
        <w:rPr>
          <w:rStyle w:val="Fontepargpadro15"/>
          <w:rFonts w:ascii="Arial" w:hAnsi="Arial" w:eastAsia="MS Mincho"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40/2024. </w:t>
      </w:r>
      <w:r>
        <w:rPr>
          <w:rFonts w:cs="Arial" w:ascii="Arial" w:hAnsi="Arial"/>
          <w:b/>
          <w:sz w:val="22"/>
          <w:szCs w:val="22"/>
        </w:rPr>
        <w:t>Objeto</w:t>
      </w:r>
      <w:r>
        <w:rPr>
          <w:rFonts w:cs="Arial" w:ascii="Arial" w:hAnsi="Arial"/>
          <w:bCs/>
          <w:sz w:val="22"/>
          <w:szCs w:val="22"/>
        </w:rPr>
        <w:t xml:space="preserve">: </w:t>
      </w:r>
      <w:r>
        <w:rPr>
          <w:rStyle w:val="Fontepargpadro15"/>
          <w:rFonts w:eastAsia="MS Mincho" w:cs="Arial" w:ascii="Arial" w:hAnsi="Arial"/>
          <w:sz w:val="22"/>
          <w:szCs w:val="22"/>
        </w:rPr>
        <w:t>Contratação de empresa especializada visando a prestação dos serviços de coleta, transporte, tratamento e disposição final dos resíduos sólidos de serviços de saúde dos grupos “A”, “B” e “E”.</w:t>
      </w:r>
    </w:p>
    <w:p>
      <w:pPr>
        <w:pStyle w:val="Normal"/>
        <w:tabs>
          <w:tab w:val="clear" w:pos="709"/>
          <w:tab w:val="left" w:pos="1440" w:leader="none"/>
        </w:tabs>
        <w:ind w:right="-57"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ind w:right="-57" w:hanging="0"/>
        <w:jc w:val="both"/>
        <w:rPr>
          <w:rFonts w:ascii="Arial" w:hAnsi="Arial" w:cs="Arial"/>
          <w:sz w:val="22"/>
          <w:szCs w:val="22"/>
        </w:rPr>
      </w:pPr>
      <w:r>
        <w:rPr>
          <w:rFonts w:cs="Arial" w:ascii="Arial" w:hAnsi="Arial"/>
          <w:b/>
          <w:bCs/>
          <w:sz w:val="22"/>
          <w:szCs w:val="22"/>
        </w:rPr>
        <w:t>AVISO DE REPUBLICAÇÃO. Pregão Eletrônico Nº 40/2024,</w:t>
      </w:r>
      <w:r>
        <w:rPr>
          <w:rFonts w:cs="Arial" w:ascii="Arial" w:hAnsi="Arial"/>
          <w:sz w:val="22"/>
          <w:szCs w:val="22"/>
        </w:rPr>
        <w:t xml:space="preserve"> </w:t>
      </w:r>
      <w:r>
        <w:rPr>
          <w:rFonts w:cs="Arial" w:ascii="Arial" w:hAnsi="Arial"/>
          <w:b/>
          <w:bCs/>
          <w:sz w:val="22"/>
          <w:szCs w:val="22"/>
        </w:rPr>
        <w:t>Edital Nº 50/2024</w:t>
      </w:r>
      <w:r>
        <w:rPr>
          <w:rFonts w:cs="Arial" w:ascii="Arial" w:hAnsi="Arial"/>
          <w:sz w:val="22"/>
          <w:szCs w:val="22"/>
        </w:rPr>
        <w:t>, Tipo Menor Preço Global. Objeto:</w:t>
      </w:r>
      <w:r>
        <w:rPr/>
        <w:t xml:space="preserve"> </w:t>
      </w:r>
      <w:r>
        <w:rPr>
          <w:rFonts w:cs="Arial" w:ascii="Arial" w:hAnsi="Arial"/>
          <w:sz w:val="22"/>
          <w:szCs w:val="22"/>
        </w:rPr>
        <w:t>Contratação de empresa especializada visando a prestação dos serviços de coleta, transporte, tratamento e disposição final dos resíduos sólidos de serviços de saúde dos grupos “A”, “B” e “E”. O cadastro das Propostas que seriam recebidos no dia 12/06/24, será recebido até o dia</w:t>
      </w:r>
      <w:r>
        <w:rPr>
          <w:rFonts w:cs="Arial" w:ascii="Arial" w:hAnsi="Arial"/>
          <w:b/>
          <w:sz w:val="22"/>
          <w:szCs w:val="22"/>
        </w:rPr>
        <w:t xml:space="preserve"> </w:t>
      </w:r>
      <w:r>
        <w:rPr>
          <w:rFonts w:cs="Arial" w:ascii="Arial" w:hAnsi="Arial"/>
          <w:b/>
          <w:sz w:val="22"/>
          <w:szCs w:val="22"/>
          <w:u w:val="single"/>
        </w:rPr>
        <w:t>03 de julho de 2024,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16">
        <w:r>
          <w:rPr>
            <w:rStyle w:val="LinkdaInternet"/>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17">
        <w:r>
          <w:rPr>
            <w:rStyle w:val="LinkdaInternet"/>
            <w:rFonts w:cs="Arial" w:ascii="Arial" w:hAnsi="Arial"/>
            <w:color w:val="auto"/>
            <w:sz w:val="22"/>
            <w:szCs w:val="22"/>
          </w:rPr>
          <w:t>www.itatiba.sp.gov.br</w:t>
        </w:r>
      </w:hyperlink>
      <w:r>
        <w:rPr>
          <w:rFonts w:cs="Arial" w:ascii="Arial" w:hAnsi="Arial"/>
          <w:sz w:val="22"/>
          <w:szCs w:val="22"/>
        </w:rPr>
        <w:t xml:space="preserve"> e </w:t>
      </w:r>
      <w:hyperlink r:id="rId18">
        <w:r>
          <w:rPr>
            <w:rStyle w:val="LinkdaInternet"/>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p>
    <w:p>
      <w:pPr>
        <w:pStyle w:val="Normal"/>
        <w:tabs>
          <w:tab w:val="clear" w:pos="709"/>
          <w:tab w:val="left" w:pos="1440" w:leader="none"/>
        </w:tabs>
        <w:ind w:right="-57" w:hanging="0"/>
        <w:jc w:val="both"/>
        <w:rPr>
          <w:rFonts w:ascii="Arial" w:hAnsi="Arial" w:cs="Arial"/>
          <w:sz w:val="22"/>
          <w:szCs w:val="22"/>
        </w:rPr>
      </w:pPr>
      <w:r>
        <w:rPr/>
      </w:r>
    </w:p>
    <w:sectPr>
      <w:headerReference w:type="default" r:id="rId19"/>
      <w:footerReference w:type="default" r:id="rId20"/>
      <w:type w:val="nextPage"/>
      <w:pgSz w:w="11906" w:h="16838"/>
      <w:pgMar w:left="1418" w:right="991" w:gutter="0" w:header="567" w:top="1560" w:footer="1332" w:bottom="1389"/>
      <w:pgNumType w:fmt="decimal"/>
      <w:formProt w:val="false"/>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Times New">
    <w:charset w:val="00"/>
    <w:family w:val="roman"/>
    <w:pitch w:val="variable"/>
  </w:font>
  <w:font w:name="OpenSymbol">
    <w:altName w:val="Arial Unicode MS"/>
    <w:charset w:val="00"/>
    <w:family w:val="roman"/>
    <w:pitch w:val="variable"/>
  </w:font>
  <w:font w:name="Ecofont_Spranq_eco_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Helvetica LT Light">
    <w:charset w:val="00"/>
    <w:family w:val="roman"/>
    <w:pitch w:val="variable"/>
  </w:font>
  <w:font w:name="Conduit ITC Light">
    <w:charset w:val="00"/>
    <w:family w:val="roman"/>
    <w:pitch w:val="variable"/>
  </w:font>
  <w:font w:name="OpenSymbol">
    <w:altName w:val="Arial Unicode MS"/>
    <w:charset w:val="02"/>
    <w:family w:val="auto"/>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fldChar w:fldCharType="begin"/>
    </w:r>
    <w:r>
      <w:rPr/>
      <w:instrText xml:space="preserve"> PAGE </w:instrText>
    </w:r>
    <w:r>
      <w:rPr/>
      <w:fldChar w:fldCharType="separate"/>
    </w:r>
    <w:r>
      <w:rPr/>
      <w:t>57</w:t>
    </w:r>
    <w:r>
      <w:rPr/>
      <w:fldChar w:fldCharType="end"/>
    </w:r>
    <w:r>
      <w:rPr/>
      <w:drawing>
        <wp:inline distT="0" distB="0" distL="0" distR="0">
          <wp:extent cx="6029960" cy="85407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1"/>
                  <a:stretch>
                    <a:fillRect/>
                  </a:stretch>
                </pic:blipFill>
                <pic:spPr bwMode="auto">
                  <a:xfrm>
                    <a:off x="0" y="0"/>
                    <a:ext cx="6029960" cy="854075"/>
                  </a:xfrm>
                  <a:prstGeom prst="rect">
                    <a:avLst/>
                  </a:prstGeom>
                </pic:spPr>
              </pic:pic>
            </a:graphicData>
          </a:graphic>
        </wp:inline>
      </w:drawing>
    </w:r>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inline distT="0" distB="0" distL="0" distR="0">
          <wp:extent cx="5400040" cy="54356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tretch>
                    <a:fillRect/>
                  </a:stretch>
                </pic:blipFill>
                <pic:spPr bwMode="auto">
                  <a:xfrm>
                    <a:off x="0" y="0"/>
                    <a:ext cx="5400040" cy="543560"/>
                  </a:xfrm>
                  <a:prstGeom prst="rect">
                    <a:avLst/>
                  </a:prstGeom>
                </pic:spPr>
              </pic:pic>
            </a:graphicData>
          </a:graphic>
        </wp:inline>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788" w:hanging="504"/>
      </w:pPr>
      <w:rPr>
        <w:dstrike w:val="false"/>
        <w:strike w:val="false"/>
        <w:sz w:val="20"/>
        <w:i w:val="false"/>
        <w:b w:val="false"/>
        <w:szCs w:val="20"/>
        <w:rFonts w:ascii="Arial" w:hAnsi="Arial"/>
        <w:color w:val="auto"/>
      </w:rPr>
    </w:lvl>
    <w:lvl w:ilvl="3">
      <w:start w:val="1"/>
      <w:numFmt w:val="decimal"/>
      <w:lvlText w:val="%1.%2.%3.%4."/>
      <w:lvlJc w:val="left"/>
      <w:pPr>
        <w:tabs>
          <w:tab w:val="num" w:pos="0"/>
        </w:tabs>
        <w:ind w:left="7736"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8375"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6"/>
      <w:numFmt w:val="decimal"/>
      <w:lvlText w:val="%1"/>
      <w:lvlJc w:val="left"/>
      <w:pPr>
        <w:tabs>
          <w:tab w:val="num" w:pos="0"/>
        </w:tabs>
        <w:ind w:left="360" w:hanging="360"/>
      </w:pPr>
      <w:rPr/>
    </w:lvl>
    <w:lvl w:ilvl="1">
      <w:start w:val="1"/>
      <w:numFmt w:val="decimal"/>
      <w:lvlText w:val="%1.%2"/>
      <w:lvlJc w:val="left"/>
      <w:pPr>
        <w:tabs>
          <w:tab w:val="num" w:pos="0"/>
        </w:tabs>
        <w:ind w:left="3196" w:hanging="360"/>
      </w:pPr>
      <w:rPr/>
    </w:lvl>
    <w:lvl w:ilvl="2">
      <w:start w:val="1"/>
      <w:numFmt w:val="decimal"/>
      <w:lvlText w:val="%1.%2.%3"/>
      <w:lvlJc w:val="left"/>
      <w:pPr>
        <w:tabs>
          <w:tab w:val="num" w:pos="0"/>
        </w:tabs>
        <w:ind w:left="706" w:hanging="720"/>
      </w:pPr>
      <w:rPr/>
    </w:lvl>
    <w:lvl w:ilvl="3">
      <w:start w:val="1"/>
      <w:numFmt w:val="decimal"/>
      <w:lvlText w:val="%1.%2.%3.%4"/>
      <w:lvlJc w:val="left"/>
      <w:pPr>
        <w:tabs>
          <w:tab w:val="num" w:pos="0"/>
        </w:tabs>
        <w:ind w:left="699" w:hanging="720"/>
      </w:pPr>
      <w:rPr/>
    </w:lvl>
    <w:lvl w:ilvl="4">
      <w:start w:val="1"/>
      <w:numFmt w:val="decimal"/>
      <w:lvlText w:val="%1.%2.%3.%4.%5"/>
      <w:lvlJc w:val="left"/>
      <w:pPr>
        <w:tabs>
          <w:tab w:val="num" w:pos="0"/>
        </w:tabs>
        <w:ind w:left="1052" w:hanging="1080"/>
      </w:pPr>
      <w:rPr/>
    </w:lvl>
    <w:lvl w:ilvl="5">
      <w:start w:val="1"/>
      <w:numFmt w:val="decimal"/>
      <w:lvlText w:val="%1.%2.%3.%4.%5.%6"/>
      <w:lvlJc w:val="left"/>
      <w:pPr>
        <w:tabs>
          <w:tab w:val="num" w:pos="0"/>
        </w:tabs>
        <w:ind w:left="1045" w:hanging="1080"/>
      </w:pPr>
      <w:rPr/>
    </w:lvl>
    <w:lvl w:ilvl="6">
      <w:start w:val="1"/>
      <w:numFmt w:val="decimal"/>
      <w:lvlText w:val="%1.%2.%3.%4.%5.%6.%7"/>
      <w:lvlJc w:val="left"/>
      <w:pPr>
        <w:tabs>
          <w:tab w:val="num" w:pos="0"/>
        </w:tabs>
        <w:ind w:left="1398" w:hanging="1440"/>
      </w:pPr>
      <w:rPr/>
    </w:lvl>
    <w:lvl w:ilvl="7">
      <w:start w:val="1"/>
      <w:numFmt w:val="decimal"/>
      <w:lvlText w:val="%1.%2.%3.%4.%5.%6.%7.%8"/>
      <w:lvlJc w:val="left"/>
      <w:pPr>
        <w:tabs>
          <w:tab w:val="num" w:pos="0"/>
        </w:tabs>
        <w:ind w:left="1391" w:hanging="1440"/>
      </w:pPr>
      <w:rPr/>
    </w:lvl>
    <w:lvl w:ilvl="8">
      <w:start w:val="1"/>
      <w:numFmt w:val="decimal"/>
      <w:lvlText w:val="%1.%2.%3.%4.%5.%6.%7.%8.%9"/>
      <w:lvlJc w:val="left"/>
      <w:pPr>
        <w:tabs>
          <w:tab w:val="num" w:pos="0"/>
        </w:tabs>
        <w:ind w:left="1744" w:hanging="1800"/>
      </w:pPr>
      <w:rPr/>
    </w:lvl>
  </w:abstractNum>
  <w:abstractNum w:abstractNumId="7">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8">
    <w:lvl w:ilvl="0">
      <w:start w:val="5"/>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1"/>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1"/>
      <w:numFmt w:val="lowerLetter"/>
      <w:lvlText w:val="%1)"/>
      <w:lvlJc w:val="left"/>
      <w:pPr>
        <w:tabs>
          <w:tab w:val="num" w:pos="0"/>
        </w:tabs>
        <w:ind w:left="720" w:hanging="360"/>
      </w:pPr>
      <w:rPr>
        <w:vertAlign w:val="baseline"/>
        <w:position w:val="0"/>
        <w:sz w:val="20"/>
        <w:sz w:val="20"/>
      </w:rPr>
    </w:lvl>
    <w:lvl w:ilvl="1">
      <w:start w:val="0"/>
      <w:numFmt w:val="bullet"/>
      <w:lvlText w:val=""/>
      <w:lvlJc w:val="left"/>
      <w:pPr>
        <w:tabs>
          <w:tab w:val="num" w:pos="0"/>
        </w:tabs>
        <w:ind w:left="0" w:hanging="0"/>
      </w:pPr>
      <w:rPr>
        <w:rFonts w:ascii="OpenSymbol" w:hAnsi="OpenSymbol" w:cs="OpenSymbol" w:hint="default"/>
      </w:rPr>
    </w:lvl>
    <w:lvl w:ilvl="2">
      <w:start w:val="0"/>
      <w:numFmt w:val="bullet"/>
      <w:lvlText w:val=""/>
      <w:lvlJc w:val="left"/>
      <w:pPr>
        <w:tabs>
          <w:tab w:val="num" w:pos="0"/>
        </w:tabs>
        <w:ind w:left="0" w:hanging="0"/>
      </w:pPr>
      <w:rPr>
        <w:rFonts w:ascii="OpenSymbol" w:hAnsi="OpenSymbol" w:cs="OpenSymbol" w:hint="default"/>
      </w:rPr>
    </w:lvl>
    <w:lvl w:ilvl="3">
      <w:start w:val="0"/>
      <w:numFmt w:val="bullet"/>
      <w:lvlText w:val=""/>
      <w:lvlJc w:val="left"/>
      <w:pPr>
        <w:tabs>
          <w:tab w:val="num" w:pos="0"/>
        </w:tabs>
        <w:ind w:left="0" w:hanging="0"/>
      </w:pPr>
      <w:rPr>
        <w:rFonts w:ascii="OpenSymbol" w:hAnsi="OpenSymbol" w:cs="OpenSymbol" w:hint="default"/>
      </w:rPr>
    </w:lvl>
    <w:lvl w:ilvl="4">
      <w:start w:val="0"/>
      <w:numFmt w:val="bullet"/>
      <w:lvlText w:val=""/>
      <w:lvlJc w:val="left"/>
      <w:pPr>
        <w:tabs>
          <w:tab w:val="num" w:pos="0"/>
        </w:tabs>
        <w:ind w:left="0" w:hanging="0"/>
      </w:pPr>
      <w:rPr>
        <w:rFonts w:ascii="OpenSymbol" w:hAnsi="OpenSymbol" w:cs="OpenSymbol" w:hint="default"/>
      </w:rPr>
    </w:lvl>
    <w:lvl w:ilvl="5">
      <w:start w:val="0"/>
      <w:numFmt w:val="bullet"/>
      <w:lvlText w:val=""/>
      <w:lvlJc w:val="left"/>
      <w:pPr>
        <w:tabs>
          <w:tab w:val="num" w:pos="0"/>
        </w:tabs>
        <w:ind w:left="0" w:hanging="0"/>
      </w:pPr>
      <w:rPr>
        <w:rFonts w:ascii="OpenSymbol" w:hAnsi="OpenSymbol" w:cs="OpenSymbol" w:hint="default"/>
      </w:rPr>
    </w:lvl>
    <w:lvl w:ilvl="6">
      <w:start w:val="0"/>
      <w:numFmt w:val="bullet"/>
      <w:lvlText w:val=""/>
      <w:lvlJc w:val="left"/>
      <w:pPr>
        <w:tabs>
          <w:tab w:val="num" w:pos="0"/>
        </w:tabs>
        <w:ind w:left="0" w:hanging="0"/>
      </w:pPr>
      <w:rPr>
        <w:rFonts w:ascii="OpenSymbol" w:hAnsi="OpenSymbol" w:cs="OpenSymbol" w:hint="default"/>
      </w:rPr>
    </w:lvl>
    <w:lvl w:ilvl="7">
      <w:start w:val="0"/>
      <w:numFmt w:val="bullet"/>
      <w:lvlText w:val=""/>
      <w:lvlJc w:val="left"/>
      <w:pPr>
        <w:tabs>
          <w:tab w:val="num" w:pos="0"/>
        </w:tabs>
        <w:ind w:left="0" w:hanging="0"/>
      </w:pPr>
      <w:rPr>
        <w:rFonts w:ascii="OpenSymbol" w:hAnsi="OpenSymbol" w:cs="OpenSymbol" w:hint="default"/>
      </w:rPr>
    </w:lvl>
    <w:lvl w:ilvl="8">
      <w:start w:val="0"/>
      <w:numFmt w:val="bullet"/>
      <w:lvlText w:val=""/>
      <w:lvlJc w:val="left"/>
      <w:pPr>
        <w:tabs>
          <w:tab w:val="num" w:pos="0"/>
        </w:tabs>
        <w:ind w:left="0" w:hanging="0"/>
      </w:pPr>
      <w:rPr>
        <w:rFonts w:ascii="OpenSymbol" w:hAnsi="OpenSymbol" w:cs="OpenSymbol" w:hint="default"/>
      </w:rPr>
    </w:lvl>
  </w:abstractNum>
  <w:abstractNum w:abstractNumId="1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3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7299"/>
    <w:pPr>
      <w:widowControl/>
      <w:suppressAutoHyphens w:val="true"/>
      <w:bidi w:val="0"/>
      <w:spacing w:before="0" w:after="0"/>
      <w:jc w:val="left"/>
    </w:pPr>
    <w:rPr>
      <w:rFonts w:ascii="Times New Roman" w:hAnsi="Times New Roman" w:eastAsia="Times New Roman" w:cs="Times New Roman"/>
      <w:color w:val="auto"/>
      <w:kern w:val="2"/>
      <w:sz w:val="20"/>
      <w:szCs w:val="20"/>
      <w:lang w:eastAsia="zh-CN" w:val="pt-BR" w:bidi="ar-SA"/>
    </w:rPr>
  </w:style>
  <w:style w:type="paragraph" w:styleId="Ttulo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iPriority w:val="9"/>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qFormat/>
    <w:pPr>
      <w:keepNext w:val="true"/>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3z0" w:customStyle="1">
    <w:name w:val="WW8Num3z0"/>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7z0" w:customStyle="1">
    <w:name w:val="WW8Num7z0"/>
    <w:qFormat/>
    <w:rPr>
      <w:sz w:val="24"/>
      <w:szCs w:val="24"/>
    </w:rPr>
  </w:style>
  <w:style w:type="character" w:styleId="WW8Num8z0" w:customStyle="1">
    <w:name w:val="WW8Num8z0"/>
    <w:qFormat/>
    <w:rPr>
      <w:bCs/>
      <w:sz w:val="24"/>
      <w:szCs w:val="24"/>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WW8Num9z0" w:customStyle="1">
    <w:name w:val="WW8Num9z0"/>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Symbol" w:hAnsi="Symbol" w:cs="Symbol"/>
    </w:rPr>
  </w:style>
  <w:style w:type="character" w:styleId="WW8Num11z0" w:customStyle="1">
    <w:name w:val="WW8Num11z0"/>
    <w:qFormat/>
    <w:rPr>
      <w:rFonts w:ascii="Symbol" w:hAnsi="Symbol" w:cs="Symbol"/>
      <w:b/>
      <w:sz w:val="28"/>
      <w:szCs w:val="28"/>
    </w:rPr>
  </w:style>
  <w:style w:type="character" w:styleId="WW8Num12z0" w:customStyle="1">
    <w:name w:val="WW8Num12z0"/>
    <w:qFormat/>
    <w:rPr>
      <w:rFonts w:ascii="Symbol" w:hAnsi="Symbol" w:cs="Symbol"/>
      <w:color w:val="000000"/>
    </w:rPr>
  </w:style>
  <w:style w:type="character" w:styleId="WW8Num13z0" w:customStyle="1">
    <w:name w:val="WW8Num13z0"/>
    <w:qFormat/>
    <w:rPr/>
  </w:style>
  <w:style w:type="character" w:styleId="WW8Num14z0" w:customStyle="1">
    <w:name w:val="WW8Num14z0"/>
    <w:qFormat/>
    <w:rPr>
      <w:rFonts w:ascii="Symbol" w:hAnsi="Symbol" w:cs="Symbol"/>
    </w:rPr>
  </w:style>
  <w:style w:type="character" w:styleId="WW8Num15z0" w:customStyle="1">
    <w:name w:val="WW8Num15z0"/>
    <w:qFormat/>
    <w:rPr/>
  </w:style>
  <w:style w:type="character" w:styleId="WW8Num16z0" w:customStyle="1">
    <w:name w:val="WW8Num16z0"/>
    <w:qFormat/>
    <w:rPr>
      <w:rFonts w:ascii="Symbol" w:hAnsi="Symbol" w:cs="Symbol"/>
    </w:rPr>
  </w:style>
  <w:style w:type="character" w:styleId="WW8Num17z0" w:customStyle="1">
    <w:name w:val="WW8Num17z0"/>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Symbol" w:hAnsi="Symbol" w:cs="Symbol"/>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Symbol" w:hAnsi="Symbol" w:cs="Symbol"/>
    </w:rPr>
  </w:style>
  <w:style w:type="character" w:styleId="WW8Num21z0" w:customStyle="1">
    <w:name w:val="WW8Num21z0"/>
    <w:qFormat/>
    <w:rPr>
      <w:bCs/>
      <w:sz w:val="26"/>
      <w:szCs w:val="26"/>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 w:hAnsi="Times New" w:cs="Times New"/>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
      <w:color w:val="000000"/>
      <w:sz w:val="16"/>
      <w:szCs w:val="16"/>
    </w:rPr>
  </w:style>
  <w:style w:type="character" w:styleId="TimesnewChar" w:customStyle="1">
    <w:name w:val="times new Char"/>
    <w:basedOn w:val="CorpoChar"/>
    <w:qFormat/>
    <w:rPr>
      <w:rFonts w:ascii="Times New" w:hAnsi="Times New" w:cs="Times New"/>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uiPriority w:val="99"/>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
    </w:rPr>
  </w:style>
  <w:style w:type="character" w:styleId="WW8Num7z1" w:customStyle="1">
    <w:name w:val="WW8Num7z1"/>
    <w:qFormat/>
    <w:rPr>
      <w:rFonts w:ascii="OpenSymbol" w:hAnsi="OpenSymbol" w:cs="OpenSymbol"/>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x-none" w:eastAsia="zh-CN"/>
    </w:rPr>
  </w:style>
  <w:style w:type="character" w:styleId="Annotationreference">
    <w:name w:val="annotation reference"/>
    <w:unhideWhenUsed/>
    <w:qFormat/>
    <w:rsid w:val="00312428"/>
    <w:rPr>
      <w:sz w:val="16"/>
      <w:szCs w:val="16"/>
    </w:rPr>
  </w:style>
  <w:style w:type="character" w:styleId="TextodecomentrioChar" w:customStyle="1">
    <w:name w:val="Texto de comentário Char"/>
    <w:link w:val="Annotationtext"/>
    <w:qFormat/>
    <w:rsid w:val="00312428"/>
    <w:rPr>
      <w:rFonts w:ascii="Ecofont_Spranq_eco_Sans" w:hAnsi="Ecofont_Spranq_eco_Sans" w:eastAsia="MS Mincho" w:cs="Tahoma"/>
    </w:rPr>
  </w:style>
  <w:style w:type="character" w:styleId="Nivel01Char" w:customStyle="1">
    <w:name w:val="Nivel 01 Char"/>
    <w:link w:val="Nivel01"/>
    <w:qFormat/>
    <w:rsid w:val="00f901db"/>
    <w:rPr>
      <w:rFonts w:ascii="Arial" w:hAnsi="Arial" w:eastAsia="MS Gothic" w:cs="Arial"/>
      <w:b/>
      <w:bCs/>
    </w:rPr>
  </w:style>
  <w:style w:type="character" w:styleId="Nivel2Char" w:customStyle="1">
    <w:name w:val="Nivel 2 Char"/>
    <w:link w:val="Nivel2"/>
    <w:qFormat/>
    <w:locked/>
    <w:rsid w:val="00f901db"/>
    <w:rPr>
      <w:rFonts w:ascii="Arial" w:hAnsi="Arial" w:eastAsia="MS Mincho" w:cs="Arial"/>
      <w:color w:val="000000"/>
    </w:rPr>
  </w:style>
  <w:style w:type="character" w:styleId="Citao2Char" w:customStyle="1">
    <w:name w:val="citação 2 Char"/>
    <w:link w:val="Citao2"/>
    <w:qFormat/>
    <w:rsid w:val="00f901db"/>
    <w:rPr>
      <w:rFonts w:ascii="Arial" w:hAnsi="Arial" w:eastAsia="Calibri" w:cs="Tahoma"/>
      <w:i/>
      <w:iCs/>
      <w:color w:val="000000"/>
      <w:shd w:fill="FFFFCC" w:val="clear"/>
      <w:lang w:eastAsia="en-US"/>
    </w:rPr>
  </w:style>
  <w:style w:type="character" w:styleId="CitaoChar" w:customStyle="1">
    <w:name w:val="Citação Char"/>
    <w:link w:val="Quote"/>
    <w:qFormat/>
    <w:rsid w:val="00f901db"/>
    <w:rPr>
      <w:i/>
      <w:iCs/>
      <w:color w:val="404040"/>
      <w:kern w:val="2"/>
      <w:lang w:eastAsia="zh-CN"/>
    </w:rPr>
  </w:style>
  <w:style w:type="character" w:styleId="Nivel4Char" w:customStyle="1">
    <w:name w:val="Nivel 4 Char"/>
    <w:link w:val="Nivel4"/>
    <w:qFormat/>
    <w:rsid w:val="008803f6"/>
    <w:rPr>
      <w:rFonts w:ascii="Arial" w:hAnsi="Arial" w:eastAsia="MS Mincho" w:cs="Arial"/>
    </w:rPr>
  </w:style>
  <w:style w:type="character" w:styleId="PargrafodaListaChar" w:customStyle="1">
    <w:name w:val="Parágrafo da Lista Char"/>
    <w:link w:val="PargrafodaLista1"/>
    <w:uiPriority w:val="34"/>
    <w:qFormat/>
    <w:rsid w:val="008803f6"/>
    <w:rPr>
      <w:kern w:val="2"/>
      <w:sz w:val="24"/>
      <w:szCs w:val="24"/>
      <w:lang w:eastAsia="zh-CN"/>
    </w:rPr>
  </w:style>
  <w:style w:type="character" w:styleId="Nivel3Char" w:customStyle="1">
    <w:name w:val="Nivel 3 Char"/>
    <w:link w:val="Nivel3"/>
    <w:qFormat/>
    <w:rsid w:val="008803f6"/>
    <w:rPr>
      <w:rFonts w:ascii="Arial" w:hAnsi="Arial" w:eastAsia="MS Mincho" w:cs="Arial"/>
      <w:color w:val="000000"/>
    </w:rPr>
  </w:style>
  <w:style w:type="character" w:styleId="UnresolvedMention">
    <w:name w:val="Unresolved Mention"/>
    <w:uiPriority w:val="99"/>
    <w:semiHidden/>
    <w:unhideWhenUsed/>
    <w:qFormat/>
    <w:rsid w:val="005c3ea3"/>
    <w:rPr>
      <w:color w:val="605E5C"/>
      <w:shd w:fill="E1DFDD" w:val="clear"/>
    </w:rPr>
  </w:style>
  <w:style w:type="character" w:styleId="AssuntodocomentrioChar" w:customStyle="1">
    <w:name w:val="Assunto do comentário Char"/>
    <w:link w:val="Annotationsubject"/>
    <w:uiPriority w:val="99"/>
    <w:semiHidden/>
    <w:qFormat/>
    <w:rsid w:val="00c03f04"/>
    <w:rPr>
      <w:rFonts w:ascii="Ecofont_Spranq_eco_Sans" w:hAnsi="Ecofont_Spranq_eco_Sans" w:eastAsia="MS Mincho" w:cs="Tahoma"/>
      <w:b/>
      <w:bCs/>
      <w:kern w:val="2"/>
      <w:lang w:eastAsia="zh-CN"/>
    </w:rPr>
  </w:style>
  <w:style w:type="character" w:styleId="Nvel2RedChar" w:customStyle="1">
    <w:name w:val="Nível 2 -Red Char"/>
    <w:link w:val="Nvel2Red"/>
    <w:qFormat/>
    <w:locked/>
    <w:rsid w:val="00602823"/>
    <w:rPr>
      <w:rFonts w:ascii="Arial" w:hAnsi="Arial" w:cs="Arial"/>
      <w:i/>
      <w:iCs/>
      <w:color w:val="FF0000"/>
    </w:rPr>
  </w:style>
  <w:style w:type="character" w:styleId="OuChar" w:customStyle="1">
    <w:name w:val="ou Char"/>
    <w:link w:val="Ou"/>
    <w:qFormat/>
    <w:rsid w:val="00602823"/>
    <w:rPr>
      <w:rFonts w:ascii="Arial" w:hAnsi="Arial" w:eastAsia="Calibri" w:cs="Arial"/>
      <w:b/>
      <w:bCs/>
      <w:i/>
      <w:iCs/>
      <w:color w:val="FF0000"/>
      <w:sz w:val="24"/>
      <w:szCs w:val="24"/>
      <w:u w:val="single"/>
    </w:rPr>
  </w:style>
  <w:style w:type="character" w:styleId="Nvel3RChar" w:customStyle="1">
    <w:name w:val="Nível 3-R Char"/>
    <w:link w:val="Nvel3R"/>
    <w:qFormat/>
    <w:rsid w:val="008c4767"/>
    <w:rPr>
      <w:rFonts w:ascii="Arial" w:hAnsi="Arial" w:cs="Arial"/>
      <w:i/>
      <w:iCs/>
      <w:color w:val="FF000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 w:hAnsi="Liberation Sans"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 w:hAnsi="Liberation Sans"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 w:hAnsi="Liberation Sans"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 w:hAnsi="Liberation Sans"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 w:hAnsi="Liberation Sans"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 w:hAnsi="Liberation Sans"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 w:hAnsi="Liberation Sans"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 w:hAnsi="Liberation Sans"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 w:hAnsi="Liberation Sans"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 w:hAnsi="Liberation Sans"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 w:hAnsi="Liberation Sans"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 w:hAnsi="Liberation Sans"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 w:hAnsi="Liberation Sans"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 w:hAnsi="Liberation Sans"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 w:hAnsi="Liberation Sans"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 w:hAnsi="Liberation Sans"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 w:hAnsi="Liberation Sans"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 w:hAnsi="Liberation Sans"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 w:hAnsi="Liberation Sans"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 w:hAnsi="Liberation Sans"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 w:hAnsi="Liberation Sans"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 w:hAnsi="Liberation Sans"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 w:hAnsi="Liberation Sans"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 w:hAnsi="Liberation Sans"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 w:hAnsi="Liberation Sans"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 w:hAnsi="Liberation Sans"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 w:hAnsi="Liberation Sans"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 w:hAnsi="Liberation Sans"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 w:hAnsi="Liberation Sans"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 w:hAnsi="Liberation Sans"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 w:hAnsi="Liberation Sans"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 w:hAnsi="Liberation Sans"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 w:hAnsi="Liberation Sans"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 w:hAnsi="Liberation Sans"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 w:hAnsi="Liberation Sans"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 w:hAnsi="Liberation Sans"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 w:hAnsi="Liberation Sans"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 w:hAnsi="Liberation Sans"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 w:hAnsi="Liberation Sans"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 w:hAnsi="Liberation Sans"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 w:hAnsi="Liberation Sans"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 w:hAnsi="Liberation Sans"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 w:hAnsi="Liberation Sans"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 w:hAnsi="Liberation Sans"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 w:hAnsi="Liberation Sans"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 w:hAnsi="Liberation Sans"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 w:hAnsi="Liberation Sans"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 w:hAnsi="Liberation Sans"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 w:hAnsi="Liberation Sans"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 w:hAnsi="Liberation Sans"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 w:hAnsi="Liberation Sans"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 w:hAnsi="Liberation Sans"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 w:hAnsi="Liberation Sans"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 w:hAnsi="Liberation Sans"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 w:hAnsi="Liberation Sans"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 w:hAnsi="Liberation Sans"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 w:hAnsi="Liberation Sans"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 w:hAnsi="Liberation Sans"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 w:hAnsi="Liberation Sans"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 w:hAnsi="Liberation Sans"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 w:hAnsi="Liberation Sans"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 w:hAnsi="Liberation Sans"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 w:hAnsi="Liberation Sans"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 w:hAnsi="Liberation Sans"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 w:hAnsi="Liberation Sans"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 w:hAnsi="Liberation Sans"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 w:hAnsi="Liberation Sans"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 w:hAnsi="Liberation Sans"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 w:hAnsi="Liberation Sans"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 w:hAnsi="Liberation Sans"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 w:hAnsi="Liberation Sans"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 w:hAnsi="Liberation Sans"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 w:hAnsi="Liberation Sans"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 w:hAnsi="Liberation Sans"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 w:hAnsi="Liberation Sans"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 w:hAnsi="Liberation Sans"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 w:hAnsi="Liberation Sans"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 w:hAnsi="Liberation Sans"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 w:hAnsi="Liberation Sans"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 w:hAnsi="Liberation Sans"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 w:hAnsi="Liberation Sans"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 w:hAnsi="Liberation Sans"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 w:hAnsi="Liberation Sans"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 w:hAnsi="Liberation Sans"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 w:hAnsi="Liberation Sans"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 w:hAnsi="Liberation Sans"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 w:hAnsi="Liberation Sans"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 w:hAnsi="Liberation Sans"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 w:hAnsi="Liberation Sans"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 w:hAnsi="Liberation Sans"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 w:hAnsi="Liberation Sans"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 w:hAnsi="Liberation Sans"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 w:hAnsi="Liberation Sans"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 w:hAnsi="Liberation Sans"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 w:hAnsi="Liberation Sans"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 w:hAnsi="Liberation Sans"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 w:hAnsi="Liberation Sans"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 w:hAnsi="Liberation Sans"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 w:hAnsi="Liberation Sans"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 w:hAnsi="Liberation Sans"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 w:hAnsi="Liberation Sans"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 w:hAnsi="Liberation Sans"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 w:hAnsi="Liberation Sans"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 w:hAnsi="Liberation Sans"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 w:hAnsi="Liberation Sans"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 w:hAnsi="Liberation Sans"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 w:hAnsi="Liberation Sans"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 w:hAnsi="Liberation Sans"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 w:hAnsi="Liberation Sans"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 w:hAnsi="Liberation Sans"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 w:hAnsi="Liberation Sans"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 w:hAnsi="Liberation Sans"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 w:hAnsi="Liberation Sans"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 w:hAnsi="Liberation Sans"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 w:hAnsi="Liberation Sans"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 w:hAnsi="Liberation Sans"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 w:hAnsi="Liberation Sans"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 w:hAnsi="Liberation Sans"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 w:hAnsi="Liberation Sans"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 w:hAnsi="Liberation Sans"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 w:hAnsi="Liberation Sans"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 w:hAnsi="Liberation Sans"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 w:hAnsi="Liberation Sans"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 w:hAnsi="Liberation Sans"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 w:hAnsi="Liberation Sans"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 w:hAnsi="Liberation Sans"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 w:hAnsi="Liberation Sans"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 w:hAnsi="Liberation Sans"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rPr>
      <w:lang w:val="x-none"/>
    </w:rPr>
  </w:style>
  <w:style w:type="paragraph" w:styleId="Rodap">
    <w:name w:val="Footer"/>
    <w:basedOn w:val="Normal"/>
    <w:uiPriority w:val="99"/>
    <w:pPr/>
    <w:rPr/>
  </w:style>
  <w:style w:type="paragraph" w:styleId="Corpodotextorecuado">
    <w:name w:val="Body Text Indent"/>
    <w:basedOn w:val="Normal"/>
    <w:pPr>
      <w:ind w:firstLine="708"/>
      <w:jc w:val="both"/>
    </w:pPr>
    <w:rPr>
      <w:lang w:val="x-none"/>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 w:hAnsi="Times New" w:cs="Times New" w:eastAsia="Times New Roman"/>
      <w:color w:val="auto"/>
      <w:kern w:val="2"/>
      <w:sz w:val="20"/>
      <w:szCs w:val="20"/>
      <w:lang w:eastAsia="zh-CN" w:val="pt-BR"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PargrafodaLista1" w:customStyle="1">
    <w:name w:val="Parágrafo da Lista1"/>
    <w:basedOn w:val="Normal"/>
    <w:link w:val="PargrafodaListaChar"/>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 w:hAnsi="Helvetica LT Light" w:eastAsia="Calibri" w:cs="Helvetica LT Light"/>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eastAsia="zh-CN" w:val="pt-BR" w:bidi="ar-SA"/>
    </w:rPr>
  </w:style>
  <w:style w:type="paragraph" w:styleId="Corpodetexto23" w:customStyle="1">
    <w:name w:val="Corpo de texto 23"/>
    <w:basedOn w:val="Normal"/>
    <w:qFormat/>
    <w:pPr>
      <w:spacing w:lineRule="auto" w:line="480" w:before="0" w:after="120"/>
    </w:pPr>
    <w:rPr>
      <w:lang w:val="x-none"/>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pt-BR" w:bidi="ar-SA"/>
    </w:rPr>
  </w:style>
  <w:style w:type="paragraph" w:styleId="Default" w:customStyle="1">
    <w:name w:val="Default"/>
    <w:qFormat/>
    <w:pPr>
      <w:widowControl/>
      <w:suppressAutoHyphens w:val="true"/>
      <w:bidi w:val="0"/>
      <w:spacing w:before="0" w:after="0"/>
      <w:jc w:val="left"/>
    </w:pPr>
    <w:rPr>
      <w:rFonts w:ascii="Conduit ITC Light" w:hAnsi="Conduit ITC Light" w:cs="Conduit ITC Light" w:eastAsia="Times New Roman"/>
      <w:color w:val="000000"/>
      <w:kern w:val="2"/>
      <w:sz w:val="24"/>
      <w:szCs w:val="24"/>
      <w:lang w:eastAsia="zh-CN" w:val="pt-BR"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Corpodetexto33" w:customStyle="1">
    <w:name w:val="Corpo de texto 33"/>
    <w:basedOn w:val="Normal"/>
    <w:qFormat/>
    <w:pPr>
      <w:spacing w:lineRule="atLeast" w:line="240"/>
      <w:jc w:val="both"/>
    </w:pPr>
    <w:rPr/>
  </w:style>
  <w:style w:type="paragraph" w:styleId="Corpodetexto25" w:customStyle="1">
    <w:name w:val="Corpo de texto 25"/>
    <w:basedOn w:val="Normal"/>
    <w:qFormat/>
    <w:pPr>
      <w:spacing w:lineRule="auto" w:line="480" w:before="0" w:after="120"/>
    </w:pPr>
    <w:rPr>
      <w:lang w:val="x-none"/>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Standard" w:customStyle="1">
    <w:name w:val="Standard"/>
    <w:qFormat/>
    <w:rsid w:val="00a74525"/>
    <w:pPr>
      <w:widowControl/>
      <w:suppressAutoHyphens w:val="true"/>
      <w:bidi w:val="0"/>
      <w:spacing w:before="0" w:after="0"/>
      <w:jc w:val="left"/>
      <w:textAlignment w:val="baseline"/>
    </w:pPr>
    <w:rPr>
      <w:rFonts w:ascii="Arial" w:hAnsi="Arial" w:cs="Arial" w:eastAsia="Times New Roman"/>
      <w:color w:val="auto"/>
      <w:kern w:val="2"/>
      <w:sz w:val="24"/>
      <w:szCs w:val="24"/>
      <w:lang w:eastAsia="zh-CN" w:val="pt-BR" w:bidi="ar-SA"/>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Corpodetexto27" w:customStyle="1">
    <w:name w:val="Corpo de texto 27"/>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eastAsia="SimSun" w:ascii="Times New Roman" w:hAnsi="Times New Roman" w:cs="Times New Roman"/>
      <w:color w:val="auto"/>
      <w:kern w:val="2"/>
      <w:sz w:val="24"/>
      <w:szCs w:val="21"/>
      <w:lang w:eastAsia="zh-CN" w:bidi="hi-IN" w:val="pt-BR"/>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link w:val="TextodecomentrioChar"/>
    <w:unhideWhenUsed/>
    <w:qFormat/>
    <w:rsid w:val="00312428"/>
    <w:pPr>
      <w:suppressAutoHyphens w:val="false"/>
    </w:pPr>
    <w:rPr>
      <w:rFonts w:ascii="Ecofont_Spranq_eco_Sans" w:hAnsi="Ecofont_Spranq_eco_Sans" w:eastAsia="MS Mincho" w:cs="Tahoma"/>
      <w:kern w:val="0"/>
      <w:lang w:eastAsia="pt-BR"/>
    </w:rPr>
  </w:style>
  <w:style w:type="paragraph" w:styleId="Nivel01" w:customStyle="1">
    <w:name w:val="Nivel 01"/>
    <w:basedOn w:val="Ttulo1"/>
    <w:next w:val="Normal"/>
    <w:link w:val="Nivel01Char"/>
    <w:qFormat/>
    <w:rsid w:val="00f901db"/>
    <w:pPr>
      <w:keepLines/>
      <w:numPr>
        <w:ilvl w:val="0"/>
        <w:numId w:val="2"/>
      </w:numPr>
      <w:tabs>
        <w:tab w:val="clear" w:pos="709"/>
        <w:tab w:val="left" w:pos="567" w:leader="none"/>
      </w:tabs>
      <w:suppressAutoHyphens w:val="false"/>
      <w:spacing w:before="240" w:after="0"/>
      <w:jc w:val="both"/>
    </w:pPr>
    <w:rPr>
      <w:rFonts w:eastAsia="MS Gothic"/>
      <w:kern w:val="0"/>
      <w:sz w:val="20"/>
      <w:szCs w:val="20"/>
      <w:lang w:eastAsia="pt-BR"/>
    </w:rPr>
  </w:style>
  <w:style w:type="paragraph" w:styleId="Nivel2" w:customStyle="1">
    <w:name w:val="Nivel 2"/>
    <w:basedOn w:val="Normal"/>
    <w:link w:val="Nivel2Char"/>
    <w:qFormat/>
    <w:rsid w:val="00f901db"/>
    <w:pPr>
      <w:numPr>
        <w:ilvl w:val="1"/>
        <w:numId w:val="2"/>
      </w:numPr>
      <w:suppressAutoHyphens w:val="false"/>
      <w:spacing w:lineRule="auto" w:line="276" w:before="120" w:after="120"/>
      <w:jc w:val="both"/>
    </w:pPr>
    <w:rPr>
      <w:rFonts w:ascii="Arial" w:hAnsi="Arial" w:eastAsia="MS Mincho" w:cs="Arial"/>
      <w:color w:val="000000"/>
      <w:kern w:val="0"/>
      <w:lang w:eastAsia="pt-BR"/>
    </w:rPr>
  </w:style>
  <w:style w:type="paragraph" w:styleId="Nivel3" w:customStyle="1">
    <w:name w:val="Nivel 3"/>
    <w:basedOn w:val="Normal"/>
    <w:link w:val="Nivel3Char"/>
    <w:qFormat/>
    <w:rsid w:val="00f901db"/>
    <w:pPr>
      <w:numPr>
        <w:ilvl w:val="2"/>
        <w:numId w:val="2"/>
      </w:numPr>
      <w:tabs>
        <w:tab w:val="clear" w:pos="709"/>
        <w:tab w:val="left" w:pos="0" w:leader="none"/>
      </w:tabs>
      <w:suppressAutoHyphens w:val="false"/>
      <w:spacing w:lineRule="auto" w:line="276" w:before="120" w:after="120"/>
      <w:ind w:left="3198" w:hanging="0"/>
      <w:jc w:val="both"/>
    </w:pPr>
    <w:rPr>
      <w:rFonts w:ascii="Arial" w:hAnsi="Arial" w:eastAsia="MS Mincho" w:cs="Arial"/>
      <w:color w:val="000000"/>
      <w:kern w:val="0"/>
      <w:lang w:eastAsia="pt-BR"/>
    </w:rPr>
  </w:style>
  <w:style w:type="paragraph" w:styleId="Nivel4" w:customStyle="1">
    <w:name w:val="Nivel 4"/>
    <w:basedOn w:val="Nivel3"/>
    <w:link w:val="Nivel4Char"/>
    <w:qFormat/>
    <w:rsid w:val="00f901db"/>
    <w:pPr/>
    <w:rPr>
      <w:color w:val="auto"/>
    </w:rPr>
  </w:style>
  <w:style w:type="paragraph" w:styleId="Nivel5" w:customStyle="1">
    <w:name w:val="Nivel 5"/>
    <w:basedOn w:val="Nivel4"/>
    <w:qFormat/>
    <w:rsid w:val="00f901db"/>
    <w:pPr/>
    <w:rPr/>
  </w:style>
  <w:style w:type="paragraph" w:styleId="Citao2" w:customStyle="1">
    <w:name w:val="citação 2"/>
    <w:basedOn w:val="Quote"/>
    <w:link w:val="Citao2Char"/>
    <w:qFormat/>
    <w:rsid w:val="00f901db"/>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hanging="0"/>
      <w:jc w:val="both"/>
    </w:pPr>
    <w:rPr>
      <w:rFonts w:ascii="Arial" w:hAnsi="Arial" w:eastAsia="Calibri" w:cs="Tahoma"/>
      <w:color w:val="000000"/>
      <w:kern w:val="0"/>
      <w:lang w:eastAsia="en-US"/>
    </w:rPr>
  </w:style>
  <w:style w:type="paragraph" w:styleId="Quote">
    <w:name w:val="Quote"/>
    <w:basedOn w:val="Normal"/>
    <w:next w:val="Normal"/>
    <w:link w:val="CitaoChar"/>
    <w:qFormat/>
    <w:rsid w:val="00f901db"/>
    <w:pPr>
      <w:spacing w:before="200" w:after="160"/>
      <w:ind w:left="864" w:right="864" w:hanging="0"/>
      <w:jc w:val="center"/>
    </w:pPr>
    <w:rPr>
      <w:i/>
      <w:iCs/>
      <w:color w:val="404040"/>
    </w:rPr>
  </w:style>
  <w:style w:type="paragraph" w:styleId="Annotationsubject">
    <w:name w:val="annotation subject"/>
    <w:basedOn w:val="Annotationtext"/>
    <w:next w:val="Annotationtext"/>
    <w:link w:val="AssuntodocomentrioChar"/>
    <w:uiPriority w:val="99"/>
    <w:semiHidden/>
    <w:unhideWhenUsed/>
    <w:qFormat/>
    <w:rsid w:val="00c03f04"/>
    <w:pPr>
      <w:suppressAutoHyphens w:val="true"/>
    </w:pPr>
    <w:rPr>
      <w:rFonts w:ascii="Times New Roman" w:hAnsi="Times New Roman" w:eastAsia="Times New Roman" w:cs="Times New Roman"/>
      <w:b/>
      <w:bCs/>
      <w:kern w:val="2"/>
      <w:lang w:eastAsia="zh-CN"/>
    </w:rPr>
  </w:style>
  <w:style w:type="paragraph" w:styleId="Nvel2Red" w:customStyle="1">
    <w:name w:val="Nível 2 -Red"/>
    <w:basedOn w:val="Nivel2"/>
    <w:link w:val="Nvel2RedChar"/>
    <w:qFormat/>
    <w:rsid w:val="00602823"/>
    <w:pPr>
      <w:numPr>
        <w:ilvl w:val="0"/>
        <w:numId w:val="0"/>
      </w:numPr>
      <w:tabs>
        <w:tab w:val="clear" w:pos="709"/>
        <w:tab w:val="left" w:pos="0" w:leader="none"/>
      </w:tabs>
    </w:pPr>
    <w:rPr>
      <w:rFonts w:eastAsia="Times New Roman"/>
      <w:i/>
      <w:iCs/>
      <w:color w:val="FF0000"/>
    </w:rPr>
  </w:style>
  <w:style w:type="paragraph" w:styleId="Ou" w:customStyle="1">
    <w:name w:val="ou"/>
    <w:basedOn w:val="PargrafodaLista1"/>
    <w:link w:val="OuChar"/>
    <w:qFormat/>
    <w:rsid w:val="00602823"/>
    <w:pPr>
      <w:suppressAutoHyphens w:val="false"/>
      <w:spacing w:lineRule="auto" w:line="259" w:before="60" w:after="60"/>
      <w:ind w:left="0" w:hanging="0"/>
      <w:jc w:val="center"/>
    </w:pPr>
    <w:rPr>
      <w:rFonts w:ascii="Arial" w:hAnsi="Arial" w:cs="Arial"/>
      <w:b/>
      <w:bCs/>
      <w:i/>
      <w:iCs/>
      <w:color w:val="FF0000"/>
      <w:kern w:val="0"/>
      <w:u w:val="single"/>
      <w:lang w:eastAsia="pt-BR"/>
    </w:rPr>
  </w:style>
  <w:style w:type="paragraph" w:styleId="Nvel3R" w:customStyle="1">
    <w:name w:val="Nível 3-R"/>
    <w:basedOn w:val="Nivel3"/>
    <w:link w:val="Nvel3RChar"/>
    <w:qFormat/>
    <w:rsid w:val="008c4767"/>
    <w:pPr>
      <w:numPr>
        <w:ilvl w:val="0"/>
        <w:numId w:val="0"/>
      </w:numPr>
      <w:ind w:left="284" w:hanging="0"/>
    </w:pPr>
    <w:rPr>
      <w:rFonts w:eastAsia="Times New Roman"/>
      <w:i/>
      <w:iCs/>
      <w:color w:val="FF0000"/>
    </w:rPr>
  </w:style>
  <w:style w:type="paragraph" w:styleId="Textbody" w:customStyle="1">
    <w:name w:val="Text body"/>
    <w:basedOn w:val="Standard"/>
    <w:qFormat/>
    <w:rsid w:val="00a74525"/>
    <w:pPr>
      <w:spacing w:before="0" w:after="120"/>
    </w:pPr>
    <w:rPr>
      <w:rFonts w:ascii="Calibri" w:hAnsi="Calibri" w:eastAsia="NSimSun" w:cs="Calibri"/>
      <w:sz w:val="22"/>
      <w:szCs w:val="22"/>
    </w:rPr>
  </w:style>
  <w:style w:type="paragraph" w:styleId="LOnormal" w:customStyle="1">
    <w:name w:val="LO-normal"/>
    <w:qFormat/>
    <w:rsid w:val="00a74525"/>
    <w:pPr>
      <w:widowControl/>
      <w:suppressAutoHyphens w:val="true"/>
      <w:bidi w:val="0"/>
      <w:spacing w:before="0" w:after="0"/>
      <w:jc w:val="left"/>
    </w:pPr>
    <w:rPr>
      <w:rFonts w:ascii="Liberation Serif" w:hAnsi="Liberation Serif" w:eastAsia="Liberation Serif" w:cs="Liberation Serif"/>
      <w:color w:val="auto"/>
      <w:kern w:val="0"/>
      <w:sz w:val="24"/>
      <w:szCs w:val="24"/>
      <w:lang w:eastAsia="zh-CN" w:bidi="hi-IN" w:val="pt-BR"/>
    </w:rPr>
  </w:style>
  <w:style w:type="paragraph" w:styleId="ListParagraph">
    <w:name w:val="List Paragraph"/>
    <w:basedOn w:val="Normal"/>
    <w:uiPriority w:val="34"/>
    <w:qFormat/>
    <w:rsid w:val="000830ed"/>
    <w:pPr>
      <w:spacing w:before="0" w:after="0"/>
      <w:ind w:left="720" w:hanging="0"/>
      <w:contextualSpacing/>
    </w:pPr>
    <w:rPr/>
  </w:style>
  <w:style w:type="paragraph" w:styleId="Douparagraph" w:customStyle="1">
    <w:name w:val="dou-paragraph"/>
    <w:basedOn w:val="Standard"/>
    <w:qFormat/>
    <w:rsid w:val="00060972"/>
    <w:pPr>
      <w:spacing w:before="280" w:after="280"/>
    </w:pPr>
    <w:rPr>
      <w:rFonts w:ascii="Times New Roman" w:hAnsi="Times New Roman" w:cs="Times New Roman"/>
      <w:kern w:val="0"/>
      <w:lang w:eastAsia="pt-BR"/>
    </w:rPr>
  </w:style>
  <w:style w:type="numbering" w:styleId="NoList" w:default="1">
    <w:name w:val="No List"/>
    <w:uiPriority w:val="99"/>
    <w:semiHidden/>
    <w:unhideWhenUsed/>
    <w:qFormat/>
  </w:style>
  <w:style w:type="numbering" w:styleId="WW8Num2" w:customStyle="1">
    <w:name w:val="WW8Num2"/>
    <w:qFormat/>
    <w:rsid w:val="00a74525"/>
  </w:style>
  <w:style w:type="numbering" w:styleId="WW8Num3" w:customStyle="1">
    <w:name w:val="WW8Num3"/>
    <w:qFormat/>
    <w:rsid w:val="00a74525"/>
  </w:style>
  <w:style w:type="numbering" w:styleId="WW8Num4" w:customStyle="1">
    <w:name w:val="WW8Num4"/>
    <w:qFormat/>
    <w:rsid w:val="00a74525"/>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s://www.planalto.gov.br/ccivil_03/_ato2015-2018/2016/decreto/d8660.htm"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bbmnetlicitacoes.com.br/" TargetMode="External"/><Relationship Id="rId17" Type="http://schemas.openxmlformats.org/officeDocument/2006/relationships/hyperlink" Target="http://www.itatiba.sp.gov.br/" TargetMode="External"/><Relationship Id="rId18" Type="http://schemas.openxmlformats.org/officeDocument/2006/relationships/hyperlink" Target="http://www.bbmnetlicitacoes.com.br/" TargetMode="External"/><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52448-F67F-41FC-A2B7-7417FD45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Application>LibreOffice/7.4.6.2$Windows_X86_64 LibreOffice_project/5b1f5509c2decdade7fda905e3e1429a67acd63d</Application>
  <AppVersion>15.0000</AppVersion>
  <Pages>57</Pages>
  <Words>15748</Words>
  <Characters>90164</Characters>
  <CharactersWithSpaces>105439</CharactersWithSpaces>
  <Paragraphs>706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2024-06-06T15:28:00Z</dcterms:created>
  <dc:creator>eportella</dc:creator>
  <dc:description/>
  <dc:language>pt-BR</dc:language>
  <cp:lastModifiedBy/>
  <cp:lastPrinted>2024-06-06T18:28:00Z</cp:lastPrinted>
  <dcterms:modified xsi:type="dcterms:W3CDTF">2024-06-11T09:49:06Z</dcterms:modified>
  <cp:revision>7</cp:revision>
  <dc:subject/>
  <dc:title> </dc:title>
</cp:coreProperties>
</file>

<file path=docProps/custom.xml><?xml version="1.0" encoding="utf-8"?>
<Properties xmlns="http://schemas.openxmlformats.org/officeDocument/2006/custom-properties" xmlns:vt="http://schemas.openxmlformats.org/officeDocument/2006/docPropsVTypes"/>
</file>