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PROCESSO ADMINISTRATIVO Nº 3.614/2025</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 xml:space="preserve">PREGÃO ELETRÔNICO Nº </w:t>
      </w:r>
      <w:r>
        <w:rPr>
          <w:rFonts w:cs="Arial" w:ascii="Arial" w:hAnsi="Arial"/>
          <w:b/>
          <w:bCs/>
          <w:sz w:val="22"/>
          <w:szCs w:val="22"/>
        </w:rPr>
        <w:t>30</w:t>
      </w:r>
      <w:r>
        <w:rPr>
          <w:rFonts w:cs="Arial" w:ascii="Arial" w:hAnsi="Arial"/>
          <w:b/>
          <w:bCs/>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 xml:space="preserve">EDITAL Nº </w:t>
      </w:r>
      <w:r>
        <w:rPr>
          <w:rFonts w:cs="Arial" w:ascii="Arial" w:hAnsi="Arial"/>
          <w:b/>
          <w:bCs/>
          <w:sz w:val="22"/>
          <w:szCs w:val="22"/>
        </w:rPr>
        <w:t>39</w:t>
      </w:r>
      <w:r>
        <w:rPr>
          <w:rFonts w:cs="Arial" w:ascii="Arial" w:hAnsi="Arial"/>
          <w:b/>
          <w:bCs/>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O Registro de Preços pelo prazo de 12 (doze) meses, para eventual aquisição de materiais para curativo.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R$ 162.939,80 (Cento e sessenta e dois mil quinhentos e novecentos e trinta e nove reais e oitenta centavos)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 xml:space="preserve">DATA DA SESSÃO PÚBLICA – Data </w:t>
      </w:r>
      <w:r>
        <w:rPr>
          <w:rFonts w:cs="Arial" w:ascii="Arial" w:hAnsi="Arial"/>
          <w:b/>
          <w:bCs/>
          <w:sz w:val="22"/>
          <w:szCs w:val="22"/>
        </w:rPr>
        <w:t>25</w:t>
      </w:r>
      <w:r>
        <w:rPr>
          <w:rFonts w:cs="Arial" w:ascii="Arial" w:hAnsi="Arial"/>
          <w:b/>
          <w:bCs/>
          <w:sz w:val="22"/>
          <w:szCs w:val="22"/>
        </w:rPr>
        <w:t xml:space="preserve"> de </w:t>
      </w:r>
      <w:r>
        <w:rPr>
          <w:rFonts w:cs="Arial" w:ascii="Arial" w:hAnsi="Arial"/>
          <w:b/>
          <w:bCs/>
          <w:sz w:val="22"/>
          <w:szCs w:val="22"/>
        </w:rPr>
        <w:t>junho</w:t>
      </w:r>
      <w:r>
        <w:rPr>
          <w:rFonts w:cs="Arial" w:ascii="Arial" w:hAnsi="Arial"/>
          <w:b/>
          <w:bCs/>
          <w:sz w:val="22"/>
          <w:szCs w:val="22"/>
        </w:rPr>
        <w:t xml:space="preserve"> de 2025.</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 xml:space="preserve">Cadastro das Propostas até: </w:t>
        <w:tab/>
        <w:tab/>
      </w:r>
      <w:r>
        <w:rPr>
          <w:rFonts w:cs="Arial" w:ascii="Arial" w:hAnsi="Arial"/>
          <w:b w:val="false"/>
          <w:bCs w:val="false"/>
          <w:sz w:val="22"/>
          <w:szCs w:val="22"/>
        </w:rPr>
        <w:t>25</w:t>
      </w:r>
      <w:r>
        <w:rPr>
          <w:rFonts w:cs="Arial" w:ascii="Arial" w:hAnsi="Arial"/>
          <w:b w:val="false"/>
          <w:bCs w:val="false"/>
          <w:sz w:val="22"/>
          <w:szCs w:val="22"/>
        </w:rPr>
        <w:t>/</w:t>
      </w:r>
      <w:r>
        <w:rPr>
          <w:rFonts w:cs="Arial" w:ascii="Arial" w:hAnsi="Arial"/>
          <w:b w:val="false"/>
          <w:bCs w:val="false"/>
          <w:sz w:val="22"/>
          <w:szCs w:val="22"/>
        </w:rPr>
        <w:t>06</w:t>
      </w:r>
      <w:r>
        <w:rPr>
          <w:rFonts w:cs="Arial" w:ascii="Arial" w:hAnsi="Arial"/>
          <w:b w:val="false"/>
          <w:bCs w:val="false"/>
          <w:sz w:val="22"/>
          <w:szCs w:val="22"/>
        </w:rPr>
        <w:t>/2025</w:t>
      </w:r>
      <w:r>
        <w:rPr>
          <w:rFonts w:cs="Arial" w:ascii="Arial" w:hAnsi="Arial"/>
          <w:sz w:val="22"/>
          <w:szCs w:val="22"/>
        </w:rPr>
        <w:tab/>
        <w:tab/>
        <w:t>08h50min</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Abertura das Propostas:</w:t>
        <w:tab/>
        <w:tab/>
        <w:tab/>
      </w:r>
      <w:r>
        <w:rPr>
          <w:rFonts w:cs="Arial" w:ascii="Arial" w:hAnsi="Arial"/>
          <w:b w:val="false"/>
          <w:bCs w:val="false"/>
          <w:sz w:val="22"/>
          <w:szCs w:val="22"/>
        </w:rPr>
        <w:t>25</w:t>
      </w:r>
      <w:r>
        <w:rPr>
          <w:rFonts w:cs="Arial" w:ascii="Arial" w:hAnsi="Arial"/>
          <w:b w:val="false"/>
          <w:bCs w:val="false"/>
          <w:sz w:val="22"/>
          <w:szCs w:val="22"/>
        </w:rPr>
        <w:t>/</w:t>
      </w:r>
      <w:r>
        <w:rPr>
          <w:rFonts w:cs="Arial" w:ascii="Arial" w:hAnsi="Arial"/>
          <w:b w:val="false"/>
          <w:bCs w:val="false"/>
          <w:sz w:val="22"/>
          <w:szCs w:val="22"/>
        </w:rPr>
        <w:t>06</w:t>
      </w:r>
      <w:r>
        <w:rPr>
          <w:rFonts w:cs="Arial" w:ascii="Arial" w:hAnsi="Arial"/>
          <w:b w:val="false"/>
          <w:bCs w:val="false"/>
          <w:sz w:val="22"/>
          <w:szCs w:val="22"/>
        </w:rPr>
        <w:t>/2025</w:t>
      </w:r>
      <w:r>
        <w:rPr>
          <w:rFonts w:cs="Arial" w:ascii="Arial" w:hAnsi="Arial"/>
          <w:sz w:val="22"/>
          <w:szCs w:val="22"/>
        </w:rPr>
        <w:tab/>
        <w:tab/>
        <w:t>09 horas</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Início do Pregão (fase competitiva)</w:t>
        <w:tab/>
      </w:r>
      <w:r>
        <w:rPr>
          <w:rFonts w:cs="Arial" w:ascii="Arial" w:hAnsi="Arial"/>
          <w:b w:val="false"/>
          <w:bCs w:val="false"/>
          <w:sz w:val="22"/>
          <w:szCs w:val="22"/>
        </w:rPr>
        <w:t>25</w:t>
      </w:r>
      <w:r>
        <w:rPr>
          <w:rFonts w:cs="Arial" w:ascii="Arial" w:hAnsi="Arial"/>
          <w:b w:val="false"/>
          <w:bCs w:val="false"/>
          <w:sz w:val="22"/>
          <w:szCs w:val="22"/>
        </w:rPr>
        <w:t>/</w:t>
      </w:r>
      <w:r>
        <w:rPr>
          <w:rFonts w:cs="Arial" w:ascii="Arial" w:hAnsi="Arial"/>
          <w:b w:val="false"/>
          <w:bCs w:val="false"/>
          <w:sz w:val="22"/>
          <w:szCs w:val="22"/>
        </w:rPr>
        <w:t>06</w:t>
      </w:r>
      <w:r>
        <w:rPr>
          <w:rFonts w:cs="Arial" w:ascii="Arial" w:hAnsi="Arial"/>
          <w:b w:val="false"/>
          <w:bCs w:val="false"/>
          <w:sz w:val="22"/>
          <w:szCs w:val="22"/>
        </w:rPr>
        <w:t>/2025</w:t>
      </w:r>
      <w:r>
        <w:rPr>
          <w:rFonts w:cs="Arial" w:ascii="Arial" w:hAnsi="Arial"/>
          <w:sz w:val="22"/>
          <w:szCs w:val="22"/>
        </w:rPr>
        <w:tab/>
        <w:tab/>
        <w:t>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COM COTA DE EXCLUSIVIDADE ME/EPP</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jc w:val="both"/>
        <w:rPr>
          <w:rFonts w:ascii="Arial" w:hAnsi="Arial" w:cs="Arial"/>
          <w:b/>
          <w:bCs/>
          <w:sz w:val="22"/>
          <w:szCs w:val="22"/>
        </w:rPr>
      </w:pPr>
      <w:r>
        <w:rPr>
          <w:rFonts w:cs="Arial" w:ascii="Arial" w:hAnsi="Arial"/>
          <w:b/>
          <w:bCs/>
          <w:sz w:val="22"/>
          <w:szCs w:val="22"/>
        </w:rPr>
        <w:t>SECRETARIA DA SAÚDE</w:t>
      </w:r>
    </w:p>
    <w:p>
      <w:pPr>
        <w:pStyle w:val="Normal"/>
        <w:spacing w:lineRule="auto" w:line="360"/>
        <w:rPr>
          <w:rFonts w:ascii="Arial" w:hAnsi="Arial" w:cs="Arial"/>
          <w:b/>
          <w:bCs/>
          <w:sz w:val="22"/>
          <w:szCs w:val="22"/>
        </w:rPr>
      </w:pPr>
      <w:r>
        <w:rPr>
          <w:rFonts w:cs="Arial" w:ascii="Arial" w:hAnsi="Arial"/>
          <w:b/>
          <w:bCs/>
          <w:sz w:val="22"/>
          <w:szCs w:val="22"/>
        </w:rPr>
        <w:t>PROCESSO ADMINISTRATIVO Nº 3.614/2025</w:t>
      </w:r>
    </w:p>
    <w:p>
      <w:pPr>
        <w:pStyle w:val="Normal"/>
        <w:spacing w:lineRule="auto" w:line="360"/>
        <w:rPr>
          <w:rFonts w:ascii="Arial" w:hAnsi="Arial" w:cs="Arial"/>
          <w:b/>
          <w:bCs/>
          <w:sz w:val="22"/>
          <w:szCs w:val="22"/>
        </w:rPr>
      </w:pPr>
      <w:r>
        <w:rPr>
          <w:rFonts w:cs="Arial" w:ascii="Arial" w:hAnsi="Arial"/>
          <w:b/>
          <w:bCs/>
          <w:sz w:val="22"/>
          <w:szCs w:val="22"/>
        </w:rPr>
      </w:r>
    </w:p>
    <w:p>
      <w:pPr>
        <w:pStyle w:val="Normal"/>
        <w:spacing w:lineRule="auto" w:line="360"/>
        <w:rPr>
          <w:rFonts w:ascii="Arial" w:hAnsi="Arial" w:cs="Arial"/>
          <w:b/>
          <w:bCs/>
          <w:sz w:val="22"/>
          <w:szCs w:val="22"/>
        </w:rPr>
      </w:pPr>
      <w:r>
        <w:rPr>
          <w:rFonts w:cs="Arial" w:ascii="Arial" w:hAnsi="Arial"/>
          <w:b/>
          <w:bCs/>
          <w:sz w:val="22"/>
          <w:szCs w:val="22"/>
        </w:rPr>
      </w:r>
    </w:p>
    <w:p>
      <w:pPr>
        <w:pStyle w:val="Normal"/>
        <w:spacing w:lineRule="auto" w:line="360"/>
        <w:ind w:firstLine="567"/>
        <w:jc w:val="center"/>
        <w:rPr/>
      </w:pPr>
      <w:r>
        <w:rPr>
          <w:rFonts w:cs="Arial" w:ascii="Arial" w:hAnsi="Arial"/>
          <w:b/>
          <w:sz w:val="22"/>
          <w:szCs w:val="22"/>
        </w:rPr>
        <w:t xml:space="preserve">PREGÃO ELETRÔNICO Nº </w:t>
      </w:r>
      <w:r>
        <w:rPr>
          <w:rFonts w:cs="Arial" w:ascii="Arial" w:hAnsi="Arial"/>
          <w:b/>
          <w:sz w:val="22"/>
          <w:szCs w:val="22"/>
        </w:rPr>
        <w:t>30</w:t>
      </w:r>
      <w:r>
        <w:rPr>
          <w:rFonts w:cs="Arial" w:ascii="Arial" w:hAnsi="Arial"/>
          <w:b/>
          <w:sz w:val="22"/>
          <w:szCs w:val="22"/>
        </w:rPr>
        <w:t>/2025</w:t>
      </w:r>
    </w:p>
    <w:p>
      <w:pPr>
        <w:pStyle w:val="Normal"/>
        <w:spacing w:lineRule="auto" w:line="360"/>
        <w:ind w:firstLine="567"/>
        <w:jc w:val="center"/>
        <w:rPr/>
      </w:pPr>
      <w:r>
        <w:rPr>
          <w:rFonts w:cs="Arial" w:ascii="Arial" w:hAnsi="Arial"/>
          <w:b/>
          <w:sz w:val="22"/>
          <w:szCs w:val="22"/>
        </w:rPr>
        <w:t xml:space="preserve">EDITAL Nº </w:t>
      </w:r>
      <w:r>
        <w:rPr>
          <w:rFonts w:cs="Arial" w:ascii="Arial" w:hAnsi="Arial"/>
          <w:b/>
          <w:sz w:val="22"/>
          <w:szCs w:val="22"/>
        </w:rPr>
        <w:t>39</w:t>
      </w:r>
      <w:r>
        <w:rPr>
          <w:rFonts w:cs="Arial" w:ascii="Arial" w:hAnsi="Arial"/>
          <w:b/>
          <w:sz w:val="22"/>
          <w:szCs w:val="22"/>
        </w:rPr>
        <w:t>/2025</w:t>
      </w:r>
    </w:p>
    <w:p>
      <w:pPr>
        <w:pStyle w:val="Normal"/>
        <w:spacing w:lineRule="auto" w:line="360"/>
        <w:ind w:firstLine="567"/>
        <w:jc w:val="center"/>
        <w:rPr>
          <w:rFonts w:ascii="Arial" w:hAnsi="Arial" w:cs="Arial"/>
          <w:b/>
          <w:sz w:val="22"/>
          <w:szCs w:val="22"/>
        </w:rPr>
      </w:pPr>
      <w:r>
        <w:rPr>
          <w:rFonts w:cs="Arial" w:ascii="Arial" w:hAnsi="Arial"/>
          <w:b/>
          <w:sz w:val="22"/>
          <w:szCs w:val="22"/>
        </w:rPr>
      </w:r>
    </w:p>
    <w:p>
      <w:pPr>
        <w:pStyle w:val="Normal"/>
        <w:snapToGrid w:val="false"/>
        <w:spacing w:lineRule="auto" w:line="360" w:before="288" w:after="288"/>
        <w:ind w:firstLine="567"/>
        <w:jc w:val="both"/>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 xml:space="preserve">SECRETARIA DA SAÚDE, </w:t>
      </w:r>
      <w:r>
        <w:rPr>
          <w:rFonts w:cs="Arial" w:ascii="Arial" w:hAnsi="Arial"/>
          <w:sz w:val="22"/>
          <w:szCs w:val="22"/>
        </w:rPr>
        <w:t xml:space="preserve">sediada à Avenida Luciano Consoline, nº 600, Jardim de Lucca, Itatiba/SP, realizará licitação, na modalidade PREGÃO, na forma ELETRÔNICA, nos termos da </w:t>
      </w:r>
      <w:hyperlink r:id="rId2">
        <w:r>
          <w:rPr>
            <w:rStyle w:val="ListLabel185"/>
            <w:rFonts w:cs="Arial" w:ascii="Arial" w:hAnsi="Arial"/>
            <w:sz w:val="22"/>
            <w:szCs w:val="22"/>
          </w:rPr>
          <w:t>Lei nº 14.133/2021 e Decreto 11.462/2023 e 7.999/2024</w:t>
        </w:r>
      </w:hyperlink>
      <w:r>
        <w:rPr/>
        <w:t xml:space="preserve"> e</w:t>
      </w:r>
      <w:r>
        <w:rPr>
          <w:rFonts w:cs="Arial" w:ascii="Arial" w:hAnsi="Arial"/>
          <w:sz w:val="22"/>
          <w:szCs w:val="22"/>
        </w:rPr>
        <w:t>, e demais legislação aplicável e, ainda, de acordo com as condições estabelecidas neste Edital.</w:t>
      </w:r>
    </w:p>
    <w:p>
      <w:pPr>
        <w:pStyle w:val="Nivel01"/>
        <w:spacing w:lineRule="auto" w:line="360" w:before="0" w:after="0"/>
        <w:ind w:hanging="0" w:left="0"/>
        <w:rPr>
          <w:sz w:val="22"/>
          <w:szCs w:val="22"/>
          <w:lang w:eastAsia="en-US"/>
        </w:rPr>
      </w:pPr>
      <w:r>
        <w:rPr>
          <w:sz w:val="22"/>
          <w:szCs w:val="22"/>
          <w:lang w:eastAsia="en-US"/>
        </w:rPr>
        <w:t>1 - DO OBJETO</w:t>
      </w:r>
    </w:p>
    <w:p>
      <w:pPr>
        <w:pStyle w:val="Nivel2"/>
        <w:numPr>
          <w:ilvl w:val="0"/>
          <w:numId w:val="0"/>
        </w:numPr>
        <w:spacing w:lineRule="auto" w:line="360" w:before="0" w:after="0"/>
        <w:ind w:hanging="0" w:left="0"/>
        <w:rPr>
          <w:sz w:val="22"/>
          <w:szCs w:val="22"/>
        </w:rPr>
      </w:pPr>
      <w:r>
        <w:rPr>
          <w:sz w:val="22"/>
          <w:szCs w:val="22"/>
        </w:rPr>
        <w:t>1.1 - O objeto da presente licitação é o Registro de Preço, pelo prazo de 12 (doze) meses, para eventual aquisição de materiais para curativo, conforme condições, quantidades e exigências estabelecidas neste Edital e seus anexos.</w:t>
      </w:r>
    </w:p>
    <w:p>
      <w:pPr>
        <w:pStyle w:val="Nivel2"/>
        <w:numPr>
          <w:ilvl w:val="0"/>
          <w:numId w:val="0"/>
        </w:numPr>
        <w:spacing w:lineRule="auto" w:line="360" w:before="0" w:after="0"/>
        <w:ind w:hanging="0" w:left="0"/>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pPr>
        <w:pStyle w:val="Nivel2"/>
        <w:numPr>
          <w:ilvl w:val="0"/>
          <w:numId w:val="0"/>
        </w:numPr>
        <w:spacing w:lineRule="auto" w:line="360" w:before="0" w:after="0"/>
        <w:ind w:hanging="0" w:left="0"/>
        <w:rPr>
          <w:sz w:val="22"/>
          <w:szCs w:val="22"/>
        </w:rPr>
      </w:pPr>
      <w:r>
        <w:rPr>
          <w:sz w:val="22"/>
          <w:szCs w:val="22"/>
        </w:rPr>
        <w:t>1.3 - Os quantitativos totais expressos no Anexo I, deste edital, são estimativos e representam a previsão da Secretaria requisitante, pelo prazo de 12 (doze) meses.</w:t>
      </w:r>
    </w:p>
    <w:p>
      <w:pPr>
        <w:pStyle w:val="Nivel2"/>
        <w:numPr>
          <w:ilvl w:val="0"/>
          <w:numId w:val="0"/>
        </w:numPr>
        <w:spacing w:lineRule="auto" w:line="360" w:before="0" w:after="0"/>
        <w:ind w:hanging="0" w:left="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ivel2"/>
        <w:numPr>
          <w:ilvl w:val="0"/>
          <w:numId w:val="0"/>
        </w:numPr>
        <w:spacing w:lineRule="auto" w:line="360" w:before="0" w:after="0"/>
        <w:ind w:hanging="0" w:left="0"/>
        <w:rPr>
          <w:color w:val="auto"/>
          <w:sz w:val="22"/>
          <w:szCs w:val="22"/>
        </w:rPr>
      </w:pPr>
      <w:r>
        <w:rPr>
          <w:sz w:val="22"/>
          <w:szCs w:val="22"/>
        </w:rPr>
        <w:t>1.5 - Os</w:t>
      </w:r>
      <w:r>
        <w:rPr>
          <w:color w:val="auto"/>
          <w:sz w:val="22"/>
          <w:szCs w:val="22"/>
        </w:rPr>
        <w:t xml:space="preserve"> quantitativos do objeto desta licitação estão divididos em </w:t>
      </w:r>
      <w:r>
        <w:rPr>
          <w:b/>
          <w:color w:val="auto"/>
          <w:sz w:val="22"/>
          <w:szCs w:val="22"/>
        </w:rPr>
        <w:t>Cota Principal</w:t>
      </w:r>
      <w:r>
        <w:rPr>
          <w:color w:val="auto"/>
          <w:sz w:val="22"/>
          <w:szCs w:val="22"/>
        </w:rPr>
        <w:t xml:space="preserve">, correspondente a 75% (setenta e cinco por cento) das quantidades do Item do Objeto, destinado à participação dos interessados que atendam aos requisitos deste edital; e em </w:t>
      </w:r>
      <w:r>
        <w:rPr>
          <w:b/>
          <w:color w:val="auto"/>
          <w:sz w:val="22"/>
          <w:szCs w:val="22"/>
        </w:rPr>
        <w:t>Cota Reservada</w:t>
      </w:r>
      <w:r>
        <w:rPr>
          <w:color w:val="auto"/>
          <w:sz w:val="22"/>
          <w:szCs w:val="22"/>
        </w:rPr>
        <w:t>, correspondente a 25% (vinte e cinco por cento) das quantidades do item do objeto, destinado à participação exclusiva das Microempresas – ME e Empresas de Pequeno Porte – EPP, sem prejuízo da sua participação na Cota Principal.</w:t>
      </w:r>
    </w:p>
    <w:p>
      <w:pPr>
        <w:pStyle w:val="Nivel2"/>
        <w:numPr>
          <w:ilvl w:val="0"/>
          <w:numId w:val="0"/>
        </w:numPr>
        <w:spacing w:lineRule="auto" w:line="360" w:before="0" w:after="0"/>
        <w:ind w:hanging="0" w:left="0"/>
        <w:rPr>
          <w:sz w:val="22"/>
          <w:szCs w:val="22"/>
        </w:rPr>
      </w:pPr>
      <w:r>
        <w:rPr>
          <w:sz w:val="22"/>
          <w:szCs w:val="22"/>
        </w:rPr>
        <w:t>1.6 – O objeto desta licitação será subsidiado com Recursos Próprios da Administração.</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2 - DA PARTICIPAÇÃO NA LICITAÇÃO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hanging="0" w:left="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6"/>
        </w:numPr>
        <w:spacing w:lineRule="auto" w:line="360" w:before="0" w:after="0"/>
        <w:ind w:hanging="0" w:left="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6"/>
        </w:numPr>
        <w:spacing w:lineRule="auto" w:line="360" w:before="0" w:after="0"/>
        <w:ind w:hanging="0" w:left="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6"/>
        </w:numPr>
        <w:spacing w:lineRule="auto" w:line="360" w:before="0" w:after="0"/>
        <w:ind w:hanging="0" w:left="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6"/>
        </w:numPr>
        <w:spacing w:lineRule="auto" w:line="360" w:before="0" w:after="0"/>
        <w:ind w:hanging="0" w:left="0"/>
        <w:rPr>
          <w:rFonts w:eastAsia="Times New Roman"/>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bookmarkStart w:id="0" w:name="_Ref117000692"/>
    </w:p>
    <w:p>
      <w:pPr>
        <w:pStyle w:val="Nivel2"/>
        <w:numPr>
          <w:ilvl w:val="1"/>
          <w:numId w:val="6"/>
        </w:numPr>
        <w:spacing w:lineRule="auto" w:line="360" w:before="0" w:after="0"/>
        <w:ind w:hanging="0" w:left="0"/>
        <w:rPr>
          <w:rFonts w:eastAsia="Times New Roman"/>
          <w:color w:val="auto"/>
          <w:sz w:val="22"/>
          <w:szCs w:val="22"/>
        </w:rPr>
      </w:pPr>
      <w:r>
        <w:rPr>
          <w:color w:val="auto"/>
          <w:sz w:val="22"/>
          <w:szCs w:val="22"/>
        </w:rPr>
        <w:t xml:space="preserve">Para os itens das cotas reservadas a participação é exclusiva a microempresas e empresas de pequeno porte, nos termos do </w:t>
      </w:r>
      <w:hyperlink r:id="rId3">
        <w:r>
          <w:rPr>
            <w:rStyle w:val="Hyperlink"/>
            <w:color w:val="auto"/>
            <w:sz w:val="22"/>
            <w:szCs w:val="22"/>
          </w:rPr>
          <w:t>art. 48 da Lei Complementar nº 123, de 14 de dezembro de 2006</w:t>
        </w:r>
      </w:hyperlink>
      <w:r>
        <w:rPr>
          <w:color w:val="auto"/>
          <w:sz w:val="22"/>
          <w:szCs w:val="22"/>
        </w:rPr>
        <w:t>.</w:t>
      </w:r>
    </w:p>
    <w:p>
      <w:pPr>
        <w:pStyle w:val="Nivel3"/>
        <w:spacing w:lineRule="auto" w:line="360" w:before="0" w:after="0"/>
        <w:ind w:firstLine="709" w:left="0"/>
        <w:rPr>
          <w:color w:val="auto"/>
          <w:sz w:val="22"/>
          <w:szCs w:val="22"/>
        </w:rPr>
      </w:pPr>
      <w:bookmarkStart w:id="1" w:name="_Ref117015508"/>
      <w:r>
        <w:rPr>
          <w:color w:val="auto"/>
          <w:sz w:val="22"/>
          <w:szCs w:val="22"/>
        </w:rPr>
        <w:t>2.6.1 -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
    </w:p>
    <w:p>
      <w:pPr>
        <w:pStyle w:val="Nivel2"/>
        <w:numPr>
          <w:ilvl w:val="1"/>
          <w:numId w:val="6"/>
        </w:numPr>
        <w:spacing w:lineRule="auto" w:line="360" w:before="0" w:after="0"/>
        <w:ind w:hanging="0" w:left="0"/>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w:t>
      </w:r>
      <w:r>
        <w:fldChar w:fldCharType="begin"/>
      </w:r>
      <w:r>
        <w:rPr>
          <w:rStyle w:val="Hyperlink"/>
          <w:sz w:val="22"/>
          <w:szCs w:val="22"/>
          <w:rFonts w:eastAsia="Times New Roman"/>
          <w:color w:val="auto"/>
        </w:rPr>
        <w:instrText xml:space="preserve"> HYPERLINK "http://www.planalto.gov.br/ccivil_03/_ato2019-2022/2021/lei/L14133.htm" \l "art16"</w:instrText>
      </w:r>
      <w:r>
        <w:rPr>
          <w:rStyle w:val="Hyperlink"/>
          <w:sz w:val="22"/>
          <w:szCs w:val="22"/>
          <w:rFonts w:eastAsia="Times New Roman"/>
          <w:color w:val="auto"/>
        </w:rPr>
        <w:fldChar w:fldCharType="separate"/>
      </w:r>
      <w:r>
        <w:rPr>
          <w:rStyle w:val="Hyperlink"/>
          <w:rFonts w:eastAsia="Times New Roman"/>
          <w:color w:val="auto"/>
          <w:sz w:val="22"/>
          <w:szCs w:val="22"/>
        </w:rPr>
        <w:t xml:space="preserve">artigo </w:t>
      </w:r>
      <w:r>
        <w:rPr>
          <w:rStyle w:val="Hyperlink"/>
          <w:sz w:val="22"/>
          <w:szCs w:val="22"/>
          <w:rFonts w:eastAsia="Times New Roman"/>
          <w:color w:val="auto"/>
        </w:rPr>
        <w:fldChar w:fldCharType="end"/>
      </w:r>
      <w:r>
        <w:rPr>
          <w:rStyle w:val="InternetLink"/>
          <w:color w:val="auto"/>
          <w:sz w:val="22"/>
          <w:szCs w:val="22"/>
        </w:rPr>
        <w:t>16 da Lei nº 14.133, de 2021</w:t>
      </w:r>
      <w:r>
        <w:rPr>
          <w:color w:val="auto"/>
          <w:sz w:val="22"/>
          <w:szCs w:val="22"/>
        </w:rPr>
        <w:t xml:space="preserve">, para o agricultor familiar, o produtor rural pessoa física e para o microempreendedor individual - MEI, nos limites previstos da </w:t>
      </w:r>
      <w:hyperlink r:id="rId4">
        <w:r>
          <w:rPr>
            <w:rStyle w:val="Hyperlink"/>
            <w:color w:val="auto"/>
            <w:sz w:val="22"/>
            <w:szCs w:val="22"/>
          </w:rPr>
          <w:t>Lei Complementar nº 123, de 2006</w:t>
        </w:r>
      </w:hyperlink>
      <w:r>
        <w:rPr>
          <w:color w:val="auto"/>
          <w:sz w:val="22"/>
          <w:szCs w:val="22"/>
        </w:rPr>
        <w:t>.</w:t>
      </w:r>
    </w:p>
    <w:p>
      <w:pPr>
        <w:pStyle w:val="Nivel2"/>
        <w:numPr>
          <w:ilvl w:val="1"/>
          <w:numId w:val="6"/>
        </w:numPr>
        <w:spacing w:lineRule="auto" w:line="360" w:before="0" w:after="0"/>
        <w:ind w:hanging="0" w:left="0"/>
        <w:rPr>
          <w:rFonts w:eastAsia="Times New Roman"/>
          <w:sz w:val="22"/>
          <w:szCs w:val="22"/>
        </w:rPr>
      </w:pPr>
      <w:r>
        <w:rPr>
          <w:rFonts w:eastAsia="Times New Roman"/>
          <w:sz w:val="22"/>
          <w:szCs w:val="22"/>
        </w:rPr>
        <w:t>Não poderão disputar esta licitação:</w:t>
      </w:r>
      <w:bookmarkEnd w:id="0"/>
    </w:p>
    <w:p>
      <w:pPr>
        <w:pStyle w:val="Normal"/>
        <w:numPr>
          <w:ilvl w:val="2"/>
          <w:numId w:val="6"/>
        </w:numPr>
        <w:tabs>
          <w:tab w:val="left" w:pos="709" w:leader="none"/>
        </w:tabs>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6"/>
        </w:numPr>
        <w:spacing w:lineRule="auto" w:line="360" w:before="0" w:after="0"/>
        <w:ind w:hanging="0" w:left="567"/>
        <w:rPr>
          <w:sz w:val="22"/>
          <w:szCs w:val="22"/>
        </w:rPr>
      </w:pPr>
      <w:bookmarkStart w:id="2" w:name="_Ref113883003"/>
      <w:bookmarkStart w:id="3" w:name="_Ref113883338"/>
      <w:bookmarkEnd w:id="3"/>
      <w:r>
        <w:rPr>
          <w:sz w:val="22"/>
          <w:szCs w:val="22"/>
        </w:rPr>
        <w:t>pessoa física ou jurídica que se encontre, ao tempo da licitação, impossibilitada de participar da licitação em decorrência de sanção que lhe foi imposta;</w:t>
      </w:r>
      <w:bookmarkEnd w:id="2"/>
    </w:p>
    <w:p>
      <w:pPr>
        <w:pStyle w:val="Nivel3"/>
        <w:numPr>
          <w:ilvl w:val="2"/>
          <w:numId w:val="6"/>
        </w:numPr>
        <w:spacing w:lineRule="auto" w:line="360" w:before="0" w:after="0"/>
        <w:ind w:hanging="0" w:left="567"/>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6"/>
        </w:numPr>
        <w:spacing w:lineRule="auto" w:line="360" w:before="0" w:after="0"/>
        <w:ind w:hanging="0" w:left="567"/>
        <w:rPr>
          <w:sz w:val="22"/>
          <w:szCs w:val="22"/>
        </w:rPr>
      </w:pPr>
      <w:bookmarkStart w:id="4" w:name="_Ref113883579"/>
      <w:r>
        <w:rPr>
          <w:sz w:val="22"/>
          <w:szCs w:val="22"/>
        </w:rPr>
        <w:t>empresas controladoras, controladas ou coligadas, nos termos da Lei nº 6.404, de 15 de dezembro de 1976, concorrendo entre si;</w:t>
      </w:r>
      <w:bookmarkEnd w:id="4"/>
    </w:p>
    <w:p>
      <w:pPr>
        <w:pStyle w:val="Nivel3"/>
        <w:numPr>
          <w:ilvl w:val="2"/>
          <w:numId w:val="6"/>
        </w:numPr>
        <w:spacing w:lineRule="auto" w:line="360" w:before="0" w:after="0"/>
        <w:ind w:hanging="0" w:left="567"/>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6"/>
        </w:numPr>
        <w:spacing w:lineRule="auto" w:line="360" w:before="0" w:after="0"/>
        <w:ind w:hanging="0" w:left="567"/>
        <w:rPr>
          <w:sz w:val="22"/>
          <w:szCs w:val="22"/>
        </w:rPr>
      </w:pPr>
      <w:bookmarkStart w:id="5" w:name="_Ref113962336"/>
      <w:r>
        <w:rPr>
          <w:sz w:val="22"/>
          <w:szCs w:val="22"/>
        </w:rPr>
        <w:t>agente público do órgão ou entidade licitante;</w:t>
      </w:r>
      <w:bookmarkEnd w:id="5"/>
    </w:p>
    <w:p>
      <w:pPr>
        <w:pStyle w:val="Normal"/>
        <w:numPr>
          <w:ilvl w:val="2"/>
          <w:numId w:val="6"/>
        </w:numPr>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6"/>
        </w:numPr>
        <w:spacing w:lineRule="auto" w:line="360" w:before="0" w:after="0"/>
        <w:ind w:hanging="0" w:left="567"/>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Hyperlink"/>
          <w:sz w:val="22"/>
          <w:szCs w:val="22"/>
          <w:color w:val="000000"/>
        </w:rPr>
        <w:instrText xml:space="preserve"> HYPERLINK "http://www.planalto.gov.br/ccivil_03/_ato2019-2022/2021/lei/L14133.htm" \l "art9%C2%A71"</w:instrText>
      </w:r>
      <w:r>
        <w:rPr>
          <w:rStyle w:val="Hyperlink"/>
          <w:sz w:val="22"/>
          <w:szCs w:val="22"/>
          <w:color w:val="000000"/>
        </w:rPr>
        <w:fldChar w:fldCharType="separate"/>
      </w:r>
      <w:r>
        <w:rPr>
          <w:rStyle w:val="Hyperlink"/>
          <w:color w:val="000000"/>
          <w:sz w:val="22"/>
          <w:szCs w:val="22"/>
        </w:rPr>
        <w:t>§ 1º do art. 9º da Lei n.º 14.133, de 2021</w:t>
      </w:r>
      <w:r>
        <w:rPr>
          <w:rStyle w:val="Hyperlink"/>
          <w:sz w:val="22"/>
          <w:szCs w:val="22"/>
          <w:color w:val="000000"/>
        </w:rPr>
        <w:fldChar w:fldCharType="end"/>
      </w:r>
      <w:r>
        <w:rPr>
          <w:sz w:val="22"/>
          <w:szCs w:val="22"/>
        </w:rPr>
        <w:t>.</w:t>
      </w:r>
    </w:p>
    <w:p>
      <w:pPr>
        <w:pStyle w:val="Nivel2"/>
        <w:numPr>
          <w:ilvl w:val="1"/>
          <w:numId w:val="6"/>
        </w:numPr>
        <w:spacing w:lineRule="auto" w:line="360" w:before="0" w:after="0"/>
        <w:ind w:hanging="0" w:left="0"/>
        <w:rPr/>
      </w:pPr>
      <w:r>
        <w:rPr>
          <w:sz w:val="22"/>
          <w:szCs w:val="22"/>
        </w:rPr>
        <w:t xml:space="preserve">O impedimento de que trata o item </w:t>
      </w:r>
      <w:r>
        <w:rPr>
          <w:sz w:val="22"/>
          <w:szCs w:val="22"/>
        </w:rPr>
        <w:fldChar w:fldCharType="begin"/>
      </w:r>
      <w:r>
        <w:rPr>
          <w:sz w:val="22"/>
          <w:szCs w:val="22"/>
        </w:rPr>
        <w:instrText xml:space="preserve"> REF _Ref113883003 \r \r \h </w:instrText>
      </w:r>
      <w:r>
        <w:rPr>
          <w:sz w:val="22"/>
          <w:szCs w:val="22"/>
        </w:rPr>
        <w:fldChar w:fldCharType="separate"/>
      </w:r>
      <w:r>
        <w:rPr>
          <w:sz w:val="22"/>
          <w:szCs w:val="22"/>
        </w:rPr>
        <w:t>2.8.2</w:t>
      </w:r>
      <w:r>
        <w:rPr>
          <w:sz w:val="22"/>
          <w:szCs w:val="22"/>
        </w:rPr>
        <w:fldChar w:fldCharType="end"/>
      </w:r>
      <w:r>
        <w:rPr>
          <w:sz w:val="22"/>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numPr>
          <w:ilvl w:val="0"/>
          <w:numId w:val="0"/>
        </w:numPr>
        <w:spacing w:lineRule="auto" w:line="360" w:before="0" w:after="0"/>
        <w:ind w:hanging="0" w:left="0"/>
        <w:rPr>
          <w:sz w:val="22"/>
          <w:szCs w:val="22"/>
        </w:rPr>
      </w:pPr>
      <w:r>
        <w:rPr>
          <w:sz w:val="22"/>
          <w:szCs w:val="22"/>
        </w:rPr>
      </w:r>
      <w:bookmarkStart w:id="6" w:name="art14§2"/>
      <w:bookmarkStart w:id="7" w:name="art14§2"/>
      <w:bookmarkEnd w:id="7"/>
    </w:p>
    <w:p>
      <w:pPr>
        <w:pStyle w:val="Nivel2"/>
        <w:numPr>
          <w:ilvl w:val="0"/>
          <w:numId w:val="0"/>
        </w:numPr>
        <w:spacing w:lineRule="auto" w:line="360" w:before="0" w:after="0"/>
        <w:ind w:hanging="0" w:left="0"/>
        <w:rPr>
          <w:sz w:val="22"/>
          <w:szCs w:val="22"/>
        </w:rPr>
      </w:pPr>
      <w:r>
        <w:rPr>
          <w:sz w:val="22"/>
          <w:szCs w:val="22"/>
        </w:rPr>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3 - DA APRESENTAÇÃO DA PROPOSTA E DOS DOCUMENTOS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hanging="6" w:left="0"/>
        <w:rPr>
          <w:sz w:val="22"/>
          <w:szCs w:val="22"/>
        </w:rPr>
      </w:pPr>
      <w:r>
        <w:rPr>
          <w:sz w:val="22"/>
          <w:szCs w:val="22"/>
        </w:rPr>
        <w:t>Na presente licitação, a fase de habilitação sucederá as fases de apresentação de propostas, lances e julgamento.</w:t>
      </w:r>
    </w:p>
    <w:p>
      <w:pPr>
        <w:pStyle w:val="Nivel2"/>
        <w:numPr>
          <w:ilvl w:val="1"/>
          <w:numId w:val="6"/>
        </w:numPr>
        <w:spacing w:lineRule="auto" w:line="360" w:before="0" w:after="0"/>
        <w:ind w:hanging="0" w:left="0"/>
        <w:rPr/>
      </w:pPr>
      <w:r>
        <w:rPr>
          <w:sz w:val="22"/>
          <w:szCs w:val="22"/>
        </w:rPr>
        <w:t xml:space="preserve">Os procedimentos para credenciamento e obtenção da chave e senha de acesso poderão ser iniciados diretamente no site de licitações no endereço eletrônico </w:t>
      </w:r>
      <w:r>
        <w:rPr>
          <w:rStyle w:val="InternetLink"/>
          <w:color w:val="000000"/>
          <w:sz w:val="22"/>
          <w:szCs w:val="22"/>
        </w:rPr>
        <w:t>www.novobbmnet.com.br</w:t>
      </w:r>
      <w:r>
        <w:rPr>
          <w:sz w:val="22"/>
          <w:szCs w:val="22"/>
        </w:rPr>
        <w:t xml:space="preserve">, acesso “credenciamento – licitantes (fornecedores)”. </w:t>
      </w:r>
    </w:p>
    <w:p>
      <w:pPr>
        <w:pStyle w:val="Nivel2"/>
        <w:numPr>
          <w:ilvl w:val="1"/>
          <w:numId w:val="6"/>
        </w:numPr>
        <w:spacing w:lineRule="auto" w:line="360" w:before="0" w:after="0"/>
        <w:ind w:hanging="0" w:left="0"/>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5">
        <w:r>
          <w:rPr>
            <w:rStyle w:val="Hyperlink"/>
            <w:color w:val="000000"/>
            <w:sz w:val="22"/>
            <w:szCs w:val="22"/>
          </w:rPr>
          <w:t>www.novobbmnet.com.br</w:t>
        </w:r>
      </w:hyperlink>
      <w:r>
        <w:rPr>
          <w:sz w:val="22"/>
          <w:szCs w:val="22"/>
        </w:rPr>
        <w:t>.</w:t>
      </w:r>
    </w:p>
    <w:p>
      <w:pPr>
        <w:pStyle w:val="Nivel2"/>
        <w:numPr>
          <w:ilvl w:val="1"/>
          <w:numId w:val="6"/>
        </w:numPr>
        <w:spacing w:lineRule="auto" w:line="360" w:before="0" w:after="0"/>
        <w:ind w:hanging="0" w:left="0"/>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6">
        <w:r>
          <w:rPr>
            <w:rStyle w:val="Hyperlink"/>
            <w:color w:val="000000"/>
            <w:sz w:val="22"/>
            <w:szCs w:val="22"/>
          </w:rPr>
          <w:t>www.novobbmnet.com.br</w:t>
        </w:r>
      </w:hyperlink>
      <w:r>
        <w:rPr>
          <w:sz w:val="22"/>
          <w:szCs w:val="22"/>
        </w:rPr>
        <w:t>.</w:t>
      </w:r>
    </w:p>
    <w:p>
      <w:pPr>
        <w:pStyle w:val="Nivel2"/>
        <w:numPr>
          <w:ilvl w:val="1"/>
          <w:numId w:val="6"/>
        </w:numPr>
        <w:spacing w:lineRule="auto" w:line="360" w:before="0" w:after="0"/>
        <w:ind w:hanging="0" w:left="0"/>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7">
        <w:r>
          <w:rPr>
            <w:rStyle w:val="Hyperlink"/>
            <w:color w:val="000000"/>
            <w:sz w:val="22"/>
            <w:szCs w:val="22"/>
          </w:rPr>
          <w:t>www.novobbmnet.com.br</w:t>
        </w:r>
      </w:hyperlink>
      <w:r>
        <w:rPr>
          <w:sz w:val="22"/>
          <w:szCs w:val="22"/>
        </w:rPr>
        <w:t>, opção “Login” opção “Licitação Pública” “Sala de Negociação”.</w:t>
      </w:r>
    </w:p>
    <w:p>
      <w:pPr>
        <w:pStyle w:val="Nivel2"/>
        <w:numPr>
          <w:ilvl w:val="1"/>
          <w:numId w:val="6"/>
        </w:numPr>
        <w:spacing w:lineRule="auto" w:line="360" w:before="0" w:after="0"/>
        <w:ind w:hanging="0" w:left="0"/>
        <w:rPr>
          <w:sz w:val="22"/>
          <w:szCs w:val="22"/>
        </w:rPr>
      </w:pPr>
      <w:bookmarkStart w:id="8"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8"/>
    </w:p>
    <w:p>
      <w:pPr>
        <w:pStyle w:val="Nivel2"/>
        <w:numPr>
          <w:ilvl w:val="1"/>
          <w:numId w:val="6"/>
        </w:numPr>
        <w:spacing w:lineRule="auto" w:line="360" w:before="0" w:after="0"/>
        <w:ind w:hanging="0" w:left="0"/>
        <w:rPr>
          <w:rFonts w:eastAsia="Times New Roman"/>
          <w:sz w:val="22"/>
          <w:szCs w:val="22"/>
        </w:rPr>
      </w:pPr>
      <w:bookmarkStart w:id="9" w:name="_Ref113968921"/>
      <w:r>
        <w:rPr>
          <w:rFonts w:eastAsia="Times New Roman"/>
          <w:sz w:val="22"/>
          <w:szCs w:val="22"/>
        </w:rPr>
        <w:t>No cadastramento da proposta inicial, o licitante declarará, em campo próprio do sistema, que:</w:t>
      </w:r>
      <w:bookmarkEnd w:id="9"/>
    </w:p>
    <w:p>
      <w:pPr>
        <w:pStyle w:val="Nivel3"/>
        <w:numPr>
          <w:ilvl w:val="2"/>
          <w:numId w:val="6"/>
        </w:numPr>
        <w:spacing w:lineRule="auto" w:line="360" w:before="0" w:after="0"/>
        <w:ind w:hanging="0" w:left="567"/>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6"/>
        </w:numPr>
        <w:spacing w:lineRule="auto" w:line="360" w:before="0" w:after="0"/>
        <w:ind w:hanging="0" w:left="567"/>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Hyperlink"/>
          <w:sz w:val="22"/>
          <w:szCs w:val="22"/>
          <w:color w:val="000000"/>
        </w:rPr>
        <w:instrText xml:space="preserve"> HYPERLINK "https://www.planalto.gov.br/ccivil_03/constituicao/constituicaocompilado.htm" \l "art7"</w:instrText>
      </w:r>
      <w:r>
        <w:rPr>
          <w:rStyle w:val="Hyperlink"/>
          <w:sz w:val="22"/>
          <w:szCs w:val="22"/>
          <w:color w:val="000000"/>
        </w:rPr>
        <w:fldChar w:fldCharType="separate"/>
      </w:r>
      <w:r>
        <w:rPr>
          <w:rStyle w:val="Hyperlink"/>
          <w:color w:val="000000"/>
          <w:sz w:val="22"/>
          <w:szCs w:val="22"/>
        </w:rPr>
        <w:t>artigo 7°, XXXIII, da Constituição</w:t>
      </w:r>
      <w:r>
        <w:rPr>
          <w:rStyle w:val="Hyperlink"/>
          <w:sz w:val="22"/>
          <w:szCs w:val="22"/>
          <w:color w:val="000000"/>
        </w:rPr>
        <w:fldChar w:fldCharType="end"/>
      </w:r>
      <w:r>
        <w:rPr>
          <w:sz w:val="22"/>
          <w:szCs w:val="22"/>
        </w:rPr>
        <w:t>;</w:t>
      </w:r>
    </w:p>
    <w:p>
      <w:pPr>
        <w:pStyle w:val="Nivel3"/>
        <w:numPr>
          <w:ilvl w:val="2"/>
          <w:numId w:val="6"/>
        </w:numPr>
        <w:spacing w:lineRule="auto" w:line="360" w:before="0" w:after="0"/>
        <w:ind w:hanging="0" w:left="567"/>
        <w:rPr/>
      </w:pPr>
      <w:r>
        <w:rPr>
          <w:sz w:val="22"/>
          <w:szCs w:val="22"/>
        </w:rPr>
        <w:t xml:space="preserve">Não possui, em sua cadeia produtiva, empregados executando trabalho degradante ou forçado, observando o disposto nos </w:t>
      </w:r>
      <w:hyperlink r:id="rId8">
        <w:r>
          <w:rPr>
            <w:rStyle w:val="Hyperlink"/>
            <w:color w:val="000000"/>
            <w:sz w:val="22"/>
            <w:szCs w:val="22"/>
          </w:rPr>
          <w:t>incisos III e IV do art. 1º e no inciso III do art. 5º da Constituição Federal</w:t>
        </w:r>
      </w:hyperlink>
      <w:r>
        <w:rPr>
          <w:sz w:val="22"/>
          <w:szCs w:val="22"/>
        </w:rPr>
        <w:t>;</w:t>
      </w:r>
    </w:p>
    <w:p>
      <w:pPr>
        <w:pStyle w:val="Nivel3"/>
        <w:numPr>
          <w:ilvl w:val="2"/>
          <w:numId w:val="6"/>
        </w:numPr>
        <w:spacing w:lineRule="auto" w:line="360" w:before="0" w:after="0"/>
        <w:ind w:hanging="0" w:left="567"/>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6"/>
        </w:numPr>
        <w:spacing w:lineRule="auto" w:line="360" w:before="0" w:after="0"/>
        <w:ind w:hanging="0" w:left="0"/>
        <w:rPr/>
      </w:pPr>
      <w:bookmarkStart w:id="10" w:name="_Hlk159222170"/>
      <w:bookmarkEnd w:id="10"/>
      <w:r>
        <w:rPr>
          <w:sz w:val="22"/>
          <w:szCs w:val="22"/>
        </w:rPr>
        <w:t xml:space="preserve">O licitante organizado em cooperativa deverá declarar, ainda, em campo próprio do sistema eletrônico, que cumpre os requisitos estabelecidos no </w:t>
      </w:r>
      <w:r>
        <w:fldChar w:fldCharType="begin"/>
      </w:r>
      <w:r>
        <w:rPr>
          <w:rStyle w:val="Hyperlink"/>
          <w:sz w:val="22"/>
          <w:szCs w:val="22"/>
          <w:color w:val="000000"/>
        </w:rPr>
        <w:instrText xml:space="preserve"> HYPERLINK "http://www.planalto.gov.br/ccivil_03/_ato2019-2022/2021/lei/L14133.htm" \l "art16"</w:instrText>
      </w:r>
      <w:r>
        <w:rPr>
          <w:rStyle w:val="Hyperlink"/>
          <w:sz w:val="22"/>
          <w:szCs w:val="22"/>
          <w:color w:val="000000"/>
        </w:rPr>
        <w:fldChar w:fldCharType="separate"/>
      </w:r>
      <w:r>
        <w:rPr>
          <w:rStyle w:val="Hyperlink"/>
          <w:color w:val="000000"/>
          <w:sz w:val="22"/>
          <w:szCs w:val="22"/>
        </w:rPr>
        <w:t>artigo 16 da Lei nº 14.133, de 2021</w:t>
      </w:r>
      <w:r>
        <w:rPr>
          <w:rStyle w:val="Hyperlink"/>
          <w:sz w:val="22"/>
          <w:szCs w:val="22"/>
          <w:color w:val="000000"/>
        </w:rPr>
        <w:fldChar w:fldCharType="end"/>
      </w:r>
      <w:r>
        <w:rPr>
          <w:sz w:val="22"/>
          <w:szCs w:val="22"/>
        </w:rPr>
        <w:t>.</w:t>
      </w:r>
    </w:p>
    <w:p>
      <w:pPr>
        <w:pStyle w:val="Nivel2"/>
        <w:numPr>
          <w:ilvl w:val="1"/>
          <w:numId w:val="6"/>
        </w:numPr>
        <w:spacing w:lineRule="auto" w:line="360" w:before="0" w:after="0"/>
        <w:ind w:hanging="0" w:left="0"/>
        <w:rPr/>
      </w:pPr>
      <w:bookmarkStart w:id="11"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Hyperlink"/>
          <w:sz w:val="22"/>
          <w:szCs w:val="22"/>
          <w:color w:val="000000"/>
        </w:rPr>
        <w:instrText xml:space="preserve"> HYPERLINK "https://www.planalto.gov.br/ccivil_03/leis/lcp/lcp123.htm" \l "art3"</w:instrText>
      </w:r>
      <w:r>
        <w:rPr>
          <w:rStyle w:val="Hyperlink"/>
          <w:sz w:val="22"/>
          <w:szCs w:val="22"/>
          <w:color w:val="000000"/>
        </w:rPr>
        <w:fldChar w:fldCharType="separate"/>
      </w:r>
      <w:r>
        <w:rPr>
          <w:rStyle w:val="Hyperlink"/>
          <w:color w:val="000000"/>
          <w:sz w:val="22"/>
          <w:szCs w:val="22"/>
        </w:rPr>
        <w:t>artigo 3° da Lei Complementar nº 123, de 2006</w:t>
      </w:r>
      <w:r>
        <w:rPr>
          <w:rStyle w:val="Hyperlink"/>
          <w:sz w:val="22"/>
          <w:szCs w:val="22"/>
          <w:color w:val="000000"/>
        </w:rPr>
        <w:fldChar w:fldCharType="end"/>
      </w:r>
      <w:r>
        <w:rPr>
          <w:sz w:val="22"/>
          <w:szCs w:val="22"/>
        </w:rPr>
        <w:t xml:space="preserve">, estando apto a usufruir do tratamento favorecido estabelecido em seus </w:t>
      </w:r>
      <w:r>
        <w:fldChar w:fldCharType="begin"/>
      </w:r>
      <w:r>
        <w:rPr>
          <w:rStyle w:val="Hyperlink"/>
          <w:sz w:val="22"/>
          <w:szCs w:val="22"/>
          <w:color w:val="000000"/>
        </w:rPr>
        <w:instrText xml:space="preserve"> HYPERLINK "https://www.planalto.gov.br/ccivil_03/leis/lcp/lcp123.htm" \l "art42"</w:instrText>
      </w:r>
      <w:r>
        <w:rPr>
          <w:rStyle w:val="Hyperlink"/>
          <w:sz w:val="22"/>
          <w:szCs w:val="22"/>
          <w:color w:val="000000"/>
        </w:rPr>
        <w:fldChar w:fldCharType="separate"/>
      </w:r>
      <w:r>
        <w:rPr>
          <w:rStyle w:val="Hyperlink"/>
          <w:color w:val="000000"/>
          <w:sz w:val="22"/>
          <w:szCs w:val="22"/>
        </w:rPr>
        <w:t>arts. 42 a 49</w:t>
      </w:r>
      <w:r>
        <w:rPr>
          <w:rStyle w:val="Hyperlink"/>
          <w:sz w:val="22"/>
          <w:szCs w:val="22"/>
          <w:color w:val="000000"/>
        </w:rPr>
        <w:fldChar w:fldCharType="end"/>
      </w:r>
      <w:r>
        <w:rPr>
          <w:sz w:val="22"/>
          <w:szCs w:val="22"/>
        </w:rPr>
        <w:t xml:space="preserve">, observado o disposto nos </w:t>
      </w:r>
      <w:r>
        <w:fldChar w:fldCharType="begin"/>
      </w:r>
      <w:r>
        <w:rPr>
          <w:rStyle w:val="Hyperlink"/>
          <w:sz w:val="22"/>
          <w:szCs w:val="22"/>
          <w:color w:val="000000"/>
        </w:rPr>
        <w:instrText xml:space="preserve"> HYPERLINK "http://www.planalto.gov.br/ccivil_03/_ato2019-2022/2021/lei/L14133.htm" \l "art4%C2%A71"</w:instrText>
      </w:r>
      <w:r>
        <w:rPr>
          <w:rStyle w:val="Hyperlink"/>
          <w:sz w:val="22"/>
          <w:szCs w:val="22"/>
          <w:color w:val="000000"/>
        </w:rPr>
        <w:fldChar w:fldCharType="separate"/>
      </w:r>
      <w:r>
        <w:rPr>
          <w:rStyle w:val="Hyperlink"/>
          <w:color w:val="000000"/>
          <w:sz w:val="22"/>
          <w:szCs w:val="22"/>
        </w:rPr>
        <w:t>§§ 1º ao 3º do art. 4º, da Lei n.º 14.133, de 2021.</w:t>
      </w:r>
      <w:r>
        <w:rPr>
          <w:rStyle w:val="Hyperlink"/>
          <w:sz w:val="22"/>
          <w:szCs w:val="22"/>
          <w:color w:val="000000"/>
        </w:rPr>
        <w:fldChar w:fldCharType="end"/>
      </w:r>
      <w:bookmarkEnd w:id="11"/>
      <w:r>
        <w:rPr>
          <w:sz w:val="22"/>
          <w:szCs w:val="22"/>
        </w:rPr>
        <w:t xml:space="preserve"> </w:t>
      </w:r>
    </w:p>
    <w:p>
      <w:pPr>
        <w:pStyle w:val="Nivel2"/>
        <w:numPr>
          <w:ilvl w:val="1"/>
          <w:numId w:val="6"/>
        </w:numPr>
        <w:spacing w:lineRule="auto" w:line="360" w:before="0" w:after="0"/>
        <w:ind w:hanging="0" w:left="0"/>
        <w:rPr/>
      </w:pPr>
      <w:r>
        <w:rPr>
          <w:sz w:val="22"/>
          <w:szCs w:val="22"/>
        </w:rPr>
        <w:t xml:space="preserve">A falsidade da declaração de que trata os itens </w:t>
      </w:r>
      <w:r>
        <w:rPr>
          <w:sz w:val="22"/>
          <w:szCs w:val="22"/>
        </w:rPr>
        <w:fldChar w:fldCharType="begin"/>
      </w:r>
      <w:r>
        <w:rPr>
          <w:sz w:val="22"/>
          <w:szCs w:val="22"/>
        </w:rPr>
        <w:instrText xml:space="preserve"> REF _Ref113968921 \r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9">
        <w:r>
          <w:rPr>
            <w:rStyle w:val="Hyperlink"/>
            <w:color w:val="000000"/>
            <w:sz w:val="22"/>
            <w:szCs w:val="22"/>
          </w:rPr>
          <w:t>Lei nº 14.133, de 2021</w:t>
        </w:r>
      </w:hyperlink>
      <w:r>
        <w:rPr>
          <w:sz w:val="22"/>
          <w:szCs w:val="22"/>
        </w:rPr>
        <w:t>, e neste Edital.</w:t>
      </w:r>
    </w:p>
    <w:p>
      <w:pPr>
        <w:pStyle w:val="Nivel2"/>
        <w:numPr>
          <w:ilvl w:val="1"/>
          <w:numId w:val="6"/>
        </w:numPr>
        <w:spacing w:lineRule="auto" w:line="360" w:before="0" w:after="0"/>
        <w:ind w:hanging="0" w:left="0"/>
        <w:rPr>
          <w:sz w:val="22"/>
          <w:szCs w:val="22"/>
        </w:rPr>
      </w:pPr>
      <w:r>
        <w:rPr>
          <w:sz w:val="22"/>
          <w:szCs w:val="22"/>
        </w:rPr>
        <w:t>Os licitantes poderão retirar ou substituir a proposta, até a abertura da sessão pública.</w:t>
      </w:r>
    </w:p>
    <w:p>
      <w:pPr>
        <w:pStyle w:val="Nivel2"/>
        <w:numPr>
          <w:ilvl w:val="1"/>
          <w:numId w:val="6"/>
        </w:numPr>
        <w:spacing w:lineRule="auto" w:line="360" w:before="0" w:after="0"/>
        <w:ind w:hanging="0" w:left="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6"/>
        </w:numPr>
        <w:spacing w:lineRule="auto" w:line="360" w:before="0" w:after="0"/>
        <w:ind w:hanging="0" w:left="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6"/>
        </w:numPr>
        <w:spacing w:lineRule="auto" w:line="360" w:before="0" w:after="0"/>
        <w:ind w:hanging="0" w:left="0"/>
        <w:rPr/>
      </w:pPr>
      <w:bookmarkStart w:id="12" w:name="_Ref116992247"/>
      <w:r>
        <w:rPr>
          <w:sz w:val="22"/>
          <w:szCs w:val="22"/>
        </w:rPr>
        <w:t>Desde que disponibilizada a funcionalidade no sistema, o licitante poderá parametrizar o seu valor final mínimo ou o seu percentual de desconto máximo quando do cadastramento da proposta.</w:t>
      </w:r>
      <w:bookmarkEnd w:id="12"/>
      <w:r>
        <w:rPr>
          <w:sz w:val="22"/>
          <w:szCs w:val="22"/>
        </w:rPr>
        <w:t xml:space="preserve"> </w:t>
      </w:r>
    </w:p>
    <w:p>
      <w:pPr>
        <w:pStyle w:val="Nivel2"/>
        <w:numPr>
          <w:ilvl w:val="1"/>
          <w:numId w:val="6"/>
        </w:numPr>
        <w:spacing w:lineRule="auto" w:line="360" w:before="0" w:after="0"/>
        <w:ind w:hanging="0" w:left="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6"/>
        </w:numPr>
        <w:spacing w:lineRule="auto" w:line="360" w:before="0" w:after="0"/>
        <w:ind w:hanging="0" w:left="567"/>
        <w:rPr>
          <w:sz w:val="22"/>
          <w:szCs w:val="22"/>
        </w:rPr>
      </w:pPr>
      <w:r>
        <w:rPr>
          <w:sz w:val="22"/>
          <w:szCs w:val="22"/>
        </w:rPr>
        <w:t>valor superior a lance já registrado pelo fornecedor no sistema, quando adotado o critério de julgamento por menor preço; e</w:t>
      </w:r>
    </w:p>
    <w:p>
      <w:pPr>
        <w:pStyle w:val="Nivel3"/>
        <w:numPr>
          <w:ilvl w:val="2"/>
          <w:numId w:val="6"/>
        </w:numPr>
        <w:spacing w:lineRule="auto" w:line="360" w:before="0" w:after="0"/>
        <w:ind w:hanging="0" w:left="567"/>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6"/>
        </w:numPr>
        <w:spacing w:lineRule="auto" w:line="360" w:before="0" w:after="0"/>
        <w:ind w:hanging="0" w:left="0"/>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6"/>
        </w:numPr>
        <w:spacing w:lineRule="auto" w:line="360" w:before="0" w:after="0"/>
        <w:ind w:hanging="0" w:left="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6"/>
        </w:numPr>
        <w:spacing w:lineRule="auto" w:line="360" w:before="0" w:after="0"/>
        <w:ind w:hanging="0" w:left="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6"/>
        </w:numPr>
        <w:spacing w:lineRule="auto" w:line="360" w:before="0" w:after="0"/>
        <w:ind w:hanging="0" w:left="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6"/>
        </w:numPr>
        <w:spacing w:lineRule="auto" w:line="360" w:before="0" w:after="0"/>
        <w:ind w:hanging="0" w:left="0"/>
        <w:rPr/>
      </w:pPr>
      <w:r>
        <w:rPr>
          <w:sz w:val="22"/>
          <w:szCs w:val="22"/>
        </w:rPr>
        <w:t xml:space="preserve">O andamento do procedimento de licitação entre a data de abertura das propostas e a adjudicação do objeto deve ser acompanhado pelos participantes por meio do portal </w:t>
      </w:r>
      <w:hyperlink r:id="rId10">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6"/>
        </w:numPr>
        <w:spacing w:lineRule="auto" w:line="360" w:before="0" w:after="0"/>
        <w:ind w:hanging="0" w:left="0"/>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ivel2"/>
        <w:numPr>
          <w:ilvl w:val="0"/>
          <w:numId w:val="0"/>
        </w:numPr>
        <w:spacing w:lineRule="auto" w:line="360" w:before="0" w:after="0"/>
        <w:ind w:hanging="0" w:left="0"/>
        <w:rPr>
          <w:sz w:val="22"/>
          <w:szCs w:val="22"/>
        </w:rPr>
      </w:pPr>
      <w:r>
        <w:rPr>
          <w:sz w:val="22"/>
          <w:szCs w:val="22"/>
        </w:rPr>
      </w:r>
    </w:p>
    <w:p>
      <w:pPr>
        <w:pStyle w:val="Nivel2"/>
        <w:numPr>
          <w:ilvl w:val="0"/>
          <w:numId w:val="0"/>
        </w:numPr>
        <w:spacing w:lineRule="auto" w:line="360" w:before="0" w:after="0"/>
        <w:ind w:hanging="0" w:left="0"/>
        <w:rPr>
          <w:b/>
          <w:bCs/>
          <w:sz w:val="22"/>
          <w:szCs w:val="22"/>
        </w:rPr>
      </w:pPr>
      <w:r>
        <w:rPr>
          <w:b/>
          <w:bCs/>
          <w:sz w:val="22"/>
          <w:szCs w:val="22"/>
        </w:rPr>
        <w:t>4 - DO PREENCHIMENTO DA PROPOSTA</w:t>
      </w:r>
    </w:p>
    <w:p>
      <w:pPr>
        <w:pStyle w:val="ListParagraph"/>
        <w:numPr>
          <w:ilvl w:val="0"/>
          <w:numId w:val="6"/>
        </w:numPr>
        <w:suppressAutoHyphens w:val="false"/>
        <w:spacing w:lineRule="auto" w:line="360"/>
        <w:jc w:val="both"/>
        <w:rPr>
          <w:rFonts w:ascii="Arial" w:hAnsi="Arial" w:eastAsia="MS Mincho;ＭＳ 明朝" w:cs="Arial"/>
          <w:b/>
          <w:bCs/>
          <w:vanish/>
          <w:kern w:val="0"/>
          <w:lang w:eastAsia="pt-BR"/>
        </w:rPr>
      </w:pPr>
      <w:r>
        <w:rPr>
          <w:rFonts w:eastAsia="MS Mincho;ＭＳ 明朝" w:cs="Arial" w:ascii="Arial" w:hAnsi="Arial"/>
          <w:b/>
          <w:bCs/>
          <w:vanish/>
          <w:kern w:val="0"/>
          <w:lang w:eastAsia="pt-BR"/>
        </w:rPr>
      </w:r>
    </w:p>
    <w:p>
      <w:pPr>
        <w:pStyle w:val="Nivel2"/>
        <w:numPr>
          <w:ilvl w:val="1"/>
          <w:numId w:val="6"/>
        </w:numPr>
        <w:spacing w:lineRule="auto" w:line="360" w:before="0" w:after="0"/>
        <w:ind w:hanging="0" w:left="0"/>
        <w:rPr>
          <w:sz w:val="22"/>
          <w:szCs w:val="22"/>
        </w:rPr>
      </w:pPr>
      <w:r>
        <w:rPr>
          <w:sz w:val="22"/>
          <w:szCs w:val="22"/>
        </w:rPr>
        <w:t xml:space="preserve">O licitante deverá enviar sua proposta mediante o preenchimento, no sistema eletrônico, do campo: VALOR UNITÁRIO DO ITEM e MARCA. </w:t>
      </w:r>
    </w:p>
    <w:p>
      <w:pPr>
        <w:pStyle w:val="Nivel2"/>
        <w:numPr>
          <w:ilvl w:val="1"/>
          <w:numId w:val="6"/>
        </w:numPr>
        <w:spacing w:lineRule="auto" w:line="360" w:before="0" w:after="0"/>
        <w:ind w:hanging="0" w:left="0"/>
        <w:rPr>
          <w:sz w:val="22"/>
          <w:szCs w:val="22"/>
        </w:rPr>
      </w:pPr>
      <w:r>
        <w:rPr>
          <w:sz w:val="22"/>
          <w:szCs w:val="22"/>
        </w:rPr>
        <w:t>Todas as especificações do objeto contidas na proposta vinculam o licitante.</w:t>
      </w:r>
    </w:p>
    <w:p>
      <w:pPr>
        <w:pStyle w:val="Nivel2"/>
        <w:numPr>
          <w:ilvl w:val="1"/>
          <w:numId w:val="6"/>
        </w:numPr>
        <w:spacing w:lineRule="auto" w:line="360" w:before="0" w:after="0"/>
        <w:ind w:hanging="0" w:left="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6"/>
        </w:numPr>
        <w:spacing w:lineRule="auto" w:line="360" w:before="0" w:after="0"/>
        <w:ind w:hanging="0" w:left="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pPr>
        <w:pStyle w:val="Nivel2"/>
        <w:numPr>
          <w:ilvl w:val="1"/>
          <w:numId w:val="6"/>
        </w:numPr>
        <w:spacing w:lineRule="auto" w:line="360" w:before="0" w:after="0"/>
        <w:ind w:hanging="0" w:left="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6"/>
        </w:numPr>
        <w:spacing w:lineRule="auto" w:line="360" w:before="0" w:after="0"/>
        <w:ind w:hanging="0" w:left="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6"/>
        </w:numPr>
        <w:spacing w:lineRule="auto" w:line="360" w:before="0" w:after="0"/>
        <w:ind w:hanging="0" w:left="0"/>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6"/>
        </w:numPr>
        <w:spacing w:lineRule="auto" w:line="360" w:before="0" w:after="0"/>
        <w:ind w:hanging="0" w:left="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5 - 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Empresário individual: inscrição no Registro Público de Empresas Mercantis, a cargo da Junta Comercial da respectiva sede;</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 xml:space="preserve">Microempreendedor Individual - MEI: Certificado da Condição de Microempreendedor Individual - CCMEI, cuja aceitação ficará condicionada à verificação da autenticidade no sítio </w:t>
      </w:r>
      <w:hyperlink r:id="rId11">
        <w:r>
          <w:rPr>
            <w:rStyle w:val="ListLabel189"/>
            <w:rFonts w:eastAsia="MS Mincho;ＭＳ 明朝" w:cs="Arial" w:ascii="Arial" w:hAnsi="Arial"/>
            <w:kern w:val="0"/>
            <w:lang w:eastAsia="pt-BR"/>
          </w:rPr>
          <w:t>https://www.gov.br/empresas-enegocios/pt-br/empreendedor</w:t>
        </w:r>
      </w:hyperlink>
      <w:r>
        <w:rPr>
          <w:rFonts w:eastAsia="MS Mincho;ＭＳ 明朝" w:cs="Arial" w:ascii="Arial" w:hAnsi="Arial"/>
          <w:kern w:val="0"/>
          <w:lang w:eastAsia="pt-BR"/>
        </w:rPr>
        <w:t>;</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Sociedade simples: inscrição do ato constitutivo no Registro Civil de Pessoas Jurídicas do local de sua sede, acompanhada de documento comprobatório de seus administradores;</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Estadual, </w:t>
      </w:r>
      <w:r>
        <w:rPr>
          <w:rFonts w:cs="Arial" w:ascii="Arial" w:hAnsi="Arial"/>
          <w:sz w:val="22"/>
          <w:szCs w:val="22"/>
        </w:rPr>
        <w:t>da sede/ domicílio do licitante, relativa aos tributos incidentes sobre o objeto desta licitação.</w:t>
      </w:r>
    </w:p>
    <w:p>
      <w:pPr>
        <w:pStyle w:val="Normal"/>
        <w:spacing w:lineRule="auto" w:line="360"/>
        <w:ind w:right="-54"/>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hanging="24" w:right="-5"/>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jc w:val="both"/>
        <w:rPr>
          <w:rFonts w:ascii="Arial" w:hAnsi="Arial" w:cs="Arial"/>
          <w:b/>
          <w:sz w:val="22"/>
          <w:szCs w:val="22"/>
        </w:rPr>
      </w:pPr>
      <w:r>
        <w:rPr>
          <w:rFonts w:cs="Arial" w:ascii="Arial" w:hAnsi="Arial"/>
          <w:b/>
          <w:sz w:val="22"/>
          <w:szCs w:val="22"/>
        </w:rPr>
        <w:t>5.3 - QUALIFICAÇÃO ECONÔMICA-FINANCEIRA</w:t>
      </w:r>
    </w:p>
    <w:p>
      <w:pPr>
        <w:pStyle w:val="Normal"/>
        <w:spacing w:lineRule="auto" w:line="360"/>
        <w:ind w:right="-54"/>
        <w:jc w:val="both"/>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jc w:val="both"/>
        <w:rPr>
          <w:rFonts w:ascii="Arial" w:hAnsi="Arial" w:cs="Arial"/>
          <w:b/>
          <w:sz w:val="22"/>
          <w:szCs w:val="22"/>
        </w:rPr>
      </w:pPr>
      <w:r>
        <w:rPr>
          <w:rFonts w:cs="Arial" w:ascii="Arial" w:hAnsi="Arial"/>
          <w:b/>
          <w:sz w:val="22"/>
          <w:szCs w:val="22"/>
        </w:rPr>
        <w:t xml:space="preserve">5.4 - QUALIFICAÇÃO TÉCNICA </w:t>
      </w:r>
    </w:p>
    <w:p>
      <w:pPr>
        <w:pStyle w:val="Normal"/>
        <w:spacing w:lineRule="auto" w:line="360"/>
        <w:jc w:val="both"/>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276"/>
        <w:ind w:right="-54"/>
        <w:jc w:val="both"/>
        <w:rPr>
          <w:rFonts w:ascii="Arial" w:hAnsi="Arial" w:cs="Arial"/>
          <w:b/>
          <w:sz w:val="22"/>
          <w:szCs w:val="22"/>
          <w:u w:val="single"/>
        </w:rPr>
      </w:pPr>
      <w:r>
        <w:rPr>
          <w:rFonts w:cs="Arial" w:ascii="Arial" w:hAnsi="Arial"/>
          <w:b/>
          <w:sz w:val="22"/>
          <w:szCs w:val="22"/>
          <w:u w:val="single"/>
        </w:rPr>
        <w:t>5.5 - OUTRAS COMPROVAÇÕES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jc w:val="both"/>
        <w:rPr>
          <w:rFonts w:ascii="Arial" w:hAnsi="Arial" w:cs="Arial"/>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r>
    </w:p>
    <w:p>
      <w:pPr>
        <w:pStyle w:val="Nivel01"/>
        <w:spacing w:lineRule="auto" w:line="360" w:before="0" w:after="0"/>
        <w:ind w:hanging="0" w:left="0"/>
        <w:rPr>
          <w:sz w:val="22"/>
          <w:szCs w:val="22"/>
        </w:rPr>
      </w:pPr>
      <w:r>
        <w:rPr>
          <w:sz w:val="22"/>
          <w:szCs w:val="22"/>
        </w:rPr>
        <w:t>6 - DA ABERTURA DA SESSÃO, CLASSIFICAÇÃO DAS PROPOSTAS E FORMULAÇÃO DE LANCES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hanging="6" w:left="0"/>
        <w:rPr/>
      </w:pPr>
      <w:r>
        <w:rPr>
          <w:sz w:val="22"/>
          <w:szCs w:val="22"/>
        </w:rPr>
        <w:t>A abertura da presente licitação dar-se-á automaticamente em sessão pública, por meio de sistema eletrônico, na data, horário e local indicados neste Edital</w:t>
      </w:r>
      <w:r>
        <w:rPr/>
        <w:t>.</w:t>
      </w:r>
    </w:p>
    <w:p>
      <w:pPr>
        <w:pStyle w:val="Nivel2"/>
        <w:numPr>
          <w:ilvl w:val="1"/>
          <w:numId w:val="6"/>
        </w:numPr>
        <w:spacing w:lineRule="auto" w:line="360" w:before="0" w:after="0"/>
        <w:ind w:hanging="0" w:left="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6"/>
        </w:numPr>
        <w:spacing w:lineRule="auto" w:line="360" w:before="0" w:after="0"/>
        <w:ind w:hanging="0" w:left="0"/>
        <w:rPr>
          <w:sz w:val="22"/>
          <w:szCs w:val="22"/>
        </w:rPr>
      </w:pPr>
      <w:r>
        <w:rPr>
          <w:sz w:val="22"/>
          <w:szCs w:val="22"/>
        </w:rPr>
        <w:t>Será desclassificada a proposta que identifique o licitante.</w:t>
      </w:r>
    </w:p>
    <w:p>
      <w:pPr>
        <w:pStyle w:val="Nivel2"/>
        <w:numPr>
          <w:ilvl w:val="1"/>
          <w:numId w:val="6"/>
        </w:numPr>
        <w:spacing w:lineRule="auto" w:line="360" w:before="0" w:after="0"/>
        <w:ind w:hanging="0" w:left="0"/>
        <w:rPr>
          <w:sz w:val="22"/>
          <w:szCs w:val="22"/>
        </w:rPr>
      </w:pPr>
      <w:r>
        <w:rPr>
          <w:sz w:val="22"/>
          <w:szCs w:val="22"/>
        </w:rPr>
        <w:t>A desclassificação será sempre fundamentada e registrada no sistema, com acompanhamento em tempo real por todos os participantes.</w:t>
      </w:r>
    </w:p>
    <w:p>
      <w:pPr>
        <w:pStyle w:val="Nivel2"/>
        <w:numPr>
          <w:ilvl w:val="1"/>
          <w:numId w:val="6"/>
        </w:numPr>
        <w:spacing w:lineRule="auto" w:line="360" w:before="0" w:after="0"/>
        <w:ind w:hanging="0" w:left="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6"/>
        </w:numPr>
        <w:spacing w:lineRule="auto" w:line="360" w:before="0" w:after="0"/>
        <w:ind w:hanging="0" w:left="0"/>
        <w:rPr>
          <w:sz w:val="22"/>
          <w:szCs w:val="22"/>
        </w:rPr>
      </w:pPr>
      <w:r>
        <w:rPr>
          <w:sz w:val="22"/>
          <w:szCs w:val="22"/>
        </w:rPr>
        <w:t>O sistema ordenará automaticamente as propostas classificadas, sendo que somente estas participarão da fase de lances.</w:t>
      </w:r>
    </w:p>
    <w:p>
      <w:pPr>
        <w:pStyle w:val="Nivel2"/>
        <w:numPr>
          <w:ilvl w:val="1"/>
          <w:numId w:val="6"/>
        </w:numPr>
        <w:spacing w:lineRule="auto" w:line="360" w:before="0" w:after="0"/>
        <w:ind w:hanging="0" w:left="0"/>
        <w:rPr>
          <w:sz w:val="22"/>
          <w:szCs w:val="22"/>
        </w:rPr>
      </w:pPr>
      <w:r>
        <w:rPr>
          <w:sz w:val="22"/>
          <w:szCs w:val="22"/>
        </w:rPr>
        <w:t>O sistema disponibilizará campo próprio para troca de mensagens entre o Pregoeiro e os licitantes.</w:t>
      </w:r>
    </w:p>
    <w:p>
      <w:pPr>
        <w:pStyle w:val="Nivel2"/>
        <w:numPr>
          <w:ilvl w:val="1"/>
          <w:numId w:val="6"/>
        </w:numPr>
        <w:spacing w:lineRule="auto" w:line="360" w:before="0" w:after="0"/>
        <w:ind w:hanging="0" w:left="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6"/>
        </w:numPr>
        <w:spacing w:lineRule="auto" w:line="360" w:before="0" w:after="0"/>
        <w:ind w:hanging="0" w:left="0"/>
        <w:rPr>
          <w:sz w:val="22"/>
          <w:szCs w:val="22"/>
        </w:rPr>
      </w:pPr>
      <w:r>
        <w:rPr>
          <w:sz w:val="22"/>
          <w:szCs w:val="22"/>
        </w:rPr>
        <w:t>O lance deverá ser ofertado pelo valor unitário do item.</w:t>
      </w:r>
    </w:p>
    <w:p>
      <w:pPr>
        <w:pStyle w:val="Nivel2"/>
        <w:numPr>
          <w:ilvl w:val="1"/>
          <w:numId w:val="6"/>
        </w:numPr>
        <w:spacing w:lineRule="auto" w:line="360" w:before="0" w:after="0"/>
        <w:ind w:hanging="0" w:left="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6"/>
        </w:numPr>
        <w:spacing w:lineRule="auto" w:line="360" w:before="0" w:after="0"/>
        <w:ind w:hanging="0" w:left="0"/>
        <w:rPr>
          <w:sz w:val="22"/>
          <w:szCs w:val="22"/>
        </w:rPr>
      </w:pPr>
      <w:r>
        <w:rPr>
          <w:sz w:val="22"/>
          <w:szCs w:val="22"/>
        </w:rPr>
        <w:t xml:space="preserve">O licitante somente poderá oferecer lance de valor inferior ao último por ele ofertado e registrado pelo sistema. </w:t>
      </w:r>
    </w:p>
    <w:p>
      <w:pPr>
        <w:pStyle w:val="Nivel2"/>
        <w:numPr>
          <w:ilvl w:val="1"/>
          <w:numId w:val="6"/>
        </w:numPr>
        <w:spacing w:lineRule="auto" w:line="360" w:before="0" w:after="0"/>
        <w:ind w:hanging="0" w:left="0"/>
        <w:rPr>
          <w:sz w:val="22"/>
          <w:szCs w:val="22"/>
        </w:rPr>
      </w:pPr>
      <w:r>
        <w:rPr>
          <w:sz w:val="22"/>
          <w:szCs w:val="22"/>
        </w:rPr>
        <w:t>O procedimento seguirá de acordo com o modo de disputa adotado.</w:t>
      </w:r>
    </w:p>
    <w:p>
      <w:pPr>
        <w:pStyle w:val="Nivel2"/>
        <w:numPr>
          <w:ilvl w:val="1"/>
          <w:numId w:val="6"/>
        </w:numPr>
        <w:spacing w:lineRule="auto" w:line="360" w:before="0" w:after="0"/>
        <w:ind w:hanging="0" w:left="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6"/>
        </w:numPr>
        <w:spacing w:lineRule="auto" w:line="360" w:before="0" w:after="0"/>
        <w:ind w:hanging="0" w:left="0"/>
        <w:rPr>
          <w:sz w:val="22"/>
          <w:szCs w:val="22"/>
        </w:rPr>
      </w:pPr>
      <w:bookmarkStart w:id="13" w:name="_Hlk113697759"/>
      <w:bookmarkEnd w:id="13"/>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6"/>
        </w:numPr>
        <w:spacing w:lineRule="auto" w:line="360" w:before="0" w:after="0"/>
        <w:ind w:hanging="0" w:left="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6"/>
        </w:numPr>
        <w:spacing w:lineRule="auto" w:line="360" w:before="0" w:after="0"/>
        <w:ind w:hanging="0" w:left="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3"/>
        <w:numPr>
          <w:ilvl w:val="2"/>
          <w:numId w:val="6"/>
        </w:numPr>
        <w:spacing w:lineRule="auto" w:line="360" w:before="0" w:after="0"/>
        <w:ind w:hanging="0" w:left="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6"/>
        </w:numPr>
        <w:spacing w:lineRule="auto" w:line="360" w:before="0" w:after="0"/>
        <w:ind w:hanging="0" w:left="0"/>
        <w:rPr/>
      </w:pPr>
      <w:bookmarkStart w:id="14" w:name="_Hlk113697816"/>
      <w:r>
        <w:rPr>
          <w:sz w:val="22"/>
          <w:szCs w:val="22"/>
        </w:rPr>
        <w:t>Após o reinício previsto no item supra, os licitantes serão convocados para apresentar lances intermediários.</w:t>
      </w:r>
      <w:bookmarkEnd w:id="14"/>
      <w:r>
        <w:rPr>
          <w:sz w:val="22"/>
          <w:szCs w:val="22"/>
        </w:rPr>
        <w:t xml:space="preserve"> </w:t>
      </w:r>
    </w:p>
    <w:p>
      <w:pPr>
        <w:pStyle w:val="Nivel2"/>
        <w:numPr>
          <w:ilvl w:val="1"/>
          <w:numId w:val="6"/>
        </w:numPr>
        <w:spacing w:lineRule="auto" w:line="360" w:before="0" w:after="0"/>
        <w:ind w:hanging="0" w:left="0"/>
        <w:rPr/>
      </w:pPr>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6"/>
        </w:numPr>
        <w:spacing w:lineRule="auto" w:line="360" w:before="0" w:after="0"/>
        <w:ind w:hanging="0" w:left="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6"/>
        </w:numPr>
        <w:spacing w:lineRule="auto" w:line="360" w:before="0" w:after="0"/>
        <w:ind w:hanging="0" w:left="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6"/>
        </w:numPr>
        <w:spacing w:lineRule="auto" w:line="360" w:before="0" w:after="0"/>
        <w:ind w:hanging="0" w:left="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6"/>
        </w:numPr>
        <w:spacing w:lineRule="auto" w:line="360" w:before="0" w:after="0"/>
        <w:ind w:hanging="0" w:left="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6"/>
        </w:numPr>
        <w:spacing w:lineRule="auto" w:line="360" w:before="0" w:after="0"/>
        <w:ind w:hanging="0" w:left="0"/>
        <w:rPr>
          <w:sz w:val="22"/>
          <w:szCs w:val="22"/>
        </w:rPr>
      </w:pPr>
      <w:r>
        <w:rPr>
          <w:sz w:val="22"/>
          <w:szCs w:val="22"/>
        </w:rPr>
        <w:t>Caso o licitante não apresente lances, concorrerá com o valor de sua proposta.</w:t>
      </w:r>
    </w:p>
    <w:p>
      <w:pPr>
        <w:pStyle w:val="Nivel2"/>
        <w:numPr>
          <w:ilvl w:val="1"/>
          <w:numId w:val="6"/>
        </w:numPr>
        <w:spacing w:lineRule="auto" w:line="360" w:before="0" w:after="0"/>
        <w:ind w:hanging="0" w:left="0"/>
        <w:rPr>
          <w:color w:val="auto"/>
          <w:sz w:val="22"/>
          <w:szCs w:val="22"/>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Hyperlink"/>
          <w:sz w:val="22"/>
          <w:szCs w:val="22"/>
          <w:rFonts w:eastAsia="Zurich BT"/>
          <w:color w:val="auto"/>
        </w:rPr>
        <w:instrText xml:space="preserve"> HYPERLINK "https://www.planalto.gov.br/ccivil_03/leis/lcp/lcp123.htm" \l "art44"</w:instrText>
      </w:r>
      <w:r>
        <w:rPr>
          <w:rStyle w:val="Hyperlink"/>
          <w:sz w:val="22"/>
          <w:szCs w:val="22"/>
          <w:rFonts w:eastAsia="Zurich BT"/>
          <w:color w:val="auto"/>
        </w:rPr>
        <w:fldChar w:fldCharType="separate"/>
      </w:r>
      <w:r>
        <w:rPr>
          <w:rStyle w:val="Hyperlink"/>
          <w:rFonts w:eastAsia="Zurich BT"/>
          <w:color w:val="auto"/>
          <w:sz w:val="22"/>
          <w:szCs w:val="22"/>
        </w:rPr>
        <w:t>arts. 44 e 45 da Lei Complementar nº 123, de 2006</w:t>
      </w:r>
      <w:r>
        <w:rPr>
          <w:rStyle w:val="Hyperlink"/>
          <w:sz w:val="22"/>
          <w:szCs w:val="22"/>
          <w:rFonts w:eastAsia="Zurich BT"/>
          <w:color w:val="auto"/>
        </w:rPr>
        <w:fldChar w:fldCharType="end"/>
      </w:r>
      <w:r>
        <w:rPr>
          <w:rFonts w:eastAsia="Zurich BT"/>
          <w:color w:val="auto"/>
          <w:sz w:val="22"/>
          <w:szCs w:val="22"/>
        </w:rPr>
        <w:t xml:space="preserve">, regulamentada pelo </w:t>
      </w:r>
      <w:hyperlink r:id="rId12">
        <w:r>
          <w:rPr>
            <w:rStyle w:val="Hyperlink"/>
            <w:rFonts w:eastAsia="Zurich BT"/>
            <w:color w:val="auto"/>
            <w:sz w:val="22"/>
            <w:szCs w:val="22"/>
          </w:rPr>
          <w:t>Decreto nº 8.538, de 2015</w:t>
        </w:r>
      </w:hyperlink>
      <w:r>
        <w:rPr>
          <w:rFonts w:eastAsia="Zurich BT"/>
          <w:color w:val="auto"/>
          <w:sz w:val="22"/>
          <w:szCs w:val="22"/>
        </w:rPr>
        <w:t>.</w:t>
      </w:r>
    </w:p>
    <w:p>
      <w:pPr>
        <w:pStyle w:val="Nivel3"/>
        <w:spacing w:lineRule="auto" w:line="360" w:before="0" w:after="0"/>
        <w:ind w:firstLine="709" w:left="0"/>
        <w:rPr>
          <w:color w:val="auto"/>
          <w:sz w:val="22"/>
          <w:szCs w:val="22"/>
        </w:rPr>
      </w:pPr>
      <w:r>
        <w:rPr>
          <w:color w:val="auto"/>
          <w:sz w:val="22"/>
          <w:szCs w:val="22"/>
        </w:rPr>
        <w:t xml:space="preserve">6.20.1 - 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pPr>
        <w:pStyle w:val="Nivel3"/>
        <w:spacing w:lineRule="auto" w:line="360" w:before="0" w:after="0"/>
        <w:ind w:firstLine="709" w:left="0"/>
        <w:rPr>
          <w:color w:val="auto"/>
          <w:sz w:val="22"/>
          <w:szCs w:val="22"/>
        </w:rPr>
      </w:pPr>
      <w:r>
        <w:rPr>
          <w:color w:val="auto"/>
          <w:sz w:val="22"/>
          <w:szCs w:val="22"/>
        </w:rPr>
        <w:t>6.20.2 -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spacing w:lineRule="auto" w:line="360" w:before="0" w:after="0"/>
        <w:ind w:firstLine="709" w:left="0"/>
        <w:rPr>
          <w:color w:val="auto"/>
          <w:sz w:val="22"/>
          <w:szCs w:val="22"/>
        </w:rPr>
      </w:pPr>
      <w:r>
        <w:rPr>
          <w:color w:val="auto"/>
          <w:sz w:val="22"/>
          <w:szCs w:val="22"/>
        </w:rPr>
        <w:t xml:space="preserve">6.20.3 - 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pPr>
        <w:pStyle w:val="Nivel3"/>
        <w:spacing w:lineRule="auto" w:line="360" w:before="0" w:after="0"/>
        <w:ind w:firstLine="709" w:left="0"/>
        <w:rPr>
          <w:color w:val="auto"/>
          <w:sz w:val="22"/>
          <w:szCs w:val="22"/>
        </w:rPr>
      </w:pPr>
      <w:r>
        <w:rPr>
          <w:color w:val="auto"/>
          <w:sz w:val="22"/>
          <w:szCs w:val="22"/>
        </w:rPr>
        <w:t>6.20.4 -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3"/>
        <w:spacing w:lineRule="auto" w:line="360" w:before="0" w:after="0"/>
        <w:ind w:hanging="0" w:left="0"/>
        <w:rPr>
          <w:sz w:val="22"/>
          <w:szCs w:val="22"/>
        </w:rPr>
      </w:pPr>
      <w:r>
        <w:rPr>
          <w:sz w:val="22"/>
          <w:szCs w:val="22"/>
        </w:rPr>
        <w:t>6.21 -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spacing w:lineRule="auto" w:line="360" w:before="0" w:after="0"/>
        <w:ind w:hanging="0" w:left="0"/>
        <w:rPr>
          <w:sz w:val="22"/>
          <w:szCs w:val="22"/>
        </w:rPr>
      </w:pPr>
      <w:r>
        <w:rPr>
          <w:sz w:val="22"/>
          <w:szCs w:val="22"/>
        </w:rPr>
        <w:t>6.21.1 -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spacing w:lineRule="auto" w:line="360" w:before="0" w:after="0"/>
        <w:ind w:hanging="0" w:left="0"/>
        <w:rPr>
          <w:sz w:val="22"/>
          <w:szCs w:val="22"/>
        </w:rPr>
      </w:pPr>
      <w:r>
        <w:rPr>
          <w:sz w:val="22"/>
          <w:szCs w:val="22"/>
        </w:rPr>
        <w:t xml:space="preserve">6.21.2 - </w:t>
      </w:r>
      <w:r>
        <w:rPr>
          <w:rFonts w:eastAsia="Times New Roman"/>
          <w:sz w:val="22"/>
          <w:szCs w:val="22"/>
        </w:rPr>
        <w:t xml:space="preserve">A </w:t>
      </w:r>
      <w:r>
        <w:rPr>
          <w:sz w:val="22"/>
          <w:szCs w:val="22"/>
        </w:rPr>
        <w:t>negociação será realizada por meio do sistema, podendo ser acompanhada pelos demais licitantes.</w:t>
      </w:r>
    </w:p>
    <w:p>
      <w:pPr>
        <w:pStyle w:val="Nivel3"/>
        <w:spacing w:lineRule="auto" w:line="360" w:before="0" w:after="0"/>
        <w:ind w:hanging="0" w:left="0"/>
        <w:rPr>
          <w:rFonts w:eastAsia="Times New Roman"/>
          <w:sz w:val="22"/>
          <w:szCs w:val="22"/>
        </w:rPr>
      </w:pPr>
      <w:r>
        <w:rPr>
          <w:sz w:val="22"/>
          <w:szCs w:val="22"/>
        </w:rPr>
        <w:t xml:space="preserve">6.21.3 - </w:t>
      </w:r>
      <w:r>
        <w:rPr>
          <w:rFonts w:eastAsia="Times New Roman"/>
          <w:sz w:val="22"/>
          <w:szCs w:val="22"/>
        </w:rPr>
        <w:t>O resultado da negociação será divulgado a todos os licitantes e anexado aos autos do processo licitatório.</w:t>
      </w:r>
      <w:bookmarkStart w:id="15" w:name="_Hlk114646655"/>
    </w:p>
    <w:p>
      <w:pPr>
        <w:pStyle w:val="Nivel3"/>
        <w:spacing w:lineRule="auto" w:line="360" w:before="0" w:after="0"/>
        <w:ind w:hanging="0" w:left="0"/>
        <w:rPr>
          <w:sz w:val="22"/>
          <w:szCs w:val="22"/>
        </w:rPr>
      </w:pPr>
      <w:r>
        <w:rPr>
          <w:rFonts w:eastAsia="Times New Roman"/>
          <w:sz w:val="22"/>
          <w:szCs w:val="22"/>
        </w:rPr>
        <w:t xml:space="preserve">6.21.4 - </w:t>
      </w:r>
      <w:r>
        <w:rPr>
          <w:sz w:val="22"/>
          <w:szCs w:val="22"/>
        </w:rPr>
        <w:t>Após a negociação do preço, o Pregoeiro iniciará a fase de aceitação e julgamento da proposta.</w:t>
      </w:r>
      <w:bookmarkEnd w:id="15"/>
      <w:r>
        <w:rPr>
          <w:sz w:val="22"/>
          <w:szCs w:val="22"/>
        </w:rPr>
        <w:t xml:space="preserve"> </w:t>
      </w:r>
    </w:p>
    <w:p>
      <w:pPr>
        <w:pStyle w:val="Nivel3"/>
        <w:spacing w:lineRule="auto" w:line="360" w:before="0" w:after="0"/>
        <w:ind w:hanging="0" w:left="0"/>
        <w:rPr/>
      </w:pPr>
      <w:r>
        <w:rPr>
          <w:sz w:val="22"/>
          <w:szCs w:val="22"/>
        </w:rPr>
        <w:t xml:space="preserve">6.21.5 - </w:t>
      </w:r>
      <w:r>
        <w:rPr>
          <w:rFonts w:eastAsia="Times New Roman"/>
          <w:color w:val="auto"/>
          <w:sz w:val="22"/>
          <w:szCs w:val="22"/>
        </w:rPr>
        <w:t>Se a mesma licitante vencer a Cota Reservada do item e a Cota Principal do Item, a contratação deverá ocorrer pelo menor preço ofertado pela empresa.</w:t>
      </w:r>
    </w:p>
    <w:p>
      <w:pPr>
        <w:pStyle w:val="Nivel2"/>
        <w:numPr>
          <w:ilvl w:val="0"/>
          <w:numId w:val="0"/>
        </w:numPr>
        <w:spacing w:lineRule="auto" w:line="360" w:before="0" w:after="0"/>
        <w:ind w:hanging="0" w:left="0"/>
        <w:rPr>
          <w:rFonts w:eastAsia="Times New Roman"/>
          <w:sz w:val="22"/>
          <w:szCs w:val="22"/>
        </w:rPr>
      </w:pPr>
      <w:r>
        <w:rPr>
          <w:rFonts w:eastAsia="Times New Roman"/>
          <w:sz w:val="22"/>
          <w:szCs w:val="22"/>
        </w:rPr>
      </w:r>
    </w:p>
    <w:p>
      <w:pPr>
        <w:pStyle w:val="Nivel01"/>
        <w:spacing w:lineRule="auto" w:line="360" w:before="0" w:after="0"/>
        <w:ind w:hanging="0" w:left="0"/>
        <w:rPr>
          <w:sz w:val="22"/>
          <w:szCs w:val="22"/>
        </w:rPr>
      </w:pPr>
      <w:r>
        <w:rPr>
          <w:sz w:val="22"/>
          <w:szCs w:val="22"/>
        </w:rPr>
        <w:t>7 - DA FASE DE JULGAMENTO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bookmarkStart w:id="16" w:name="_Ref117019424"/>
      <w:bookmarkStart w:id="17" w:name="_Ref117019424"/>
    </w:p>
    <w:p>
      <w:pPr>
        <w:pStyle w:val="Nivel2"/>
        <w:numPr>
          <w:ilvl w:val="1"/>
          <w:numId w:val="6"/>
        </w:numPr>
        <w:spacing w:lineRule="auto" w:line="360" w:before="0" w:after="0"/>
        <w:ind w:hanging="0" w:left="0"/>
        <w:rPr/>
      </w:pPr>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Hyperlink"/>
          <w:sz w:val="22"/>
          <w:szCs w:val="22"/>
        </w:rPr>
        <w:instrText xml:space="preserve"> HYPERLINK "http://www.planalto.gov.br/ccivil_03/_ato2019-2022/2021/lei/L14133.htm" \l "art14"</w:instrText>
      </w:r>
      <w:r>
        <w:rPr>
          <w:rStyle w:val="Hyperlink"/>
          <w:sz w:val="22"/>
          <w:szCs w:val="22"/>
        </w:rPr>
        <w:fldChar w:fldCharType="separate"/>
      </w:r>
      <w:r>
        <w:rPr>
          <w:rStyle w:val="Hyperlink"/>
          <w:sz w:val="22"/>
          <w:szCs w:val="22"/>
        </w:rPr>
        <w:t>art. 14 da Lei nº 14.133/2021</w:t>
      </w:r>
      <w:r>
        <w:rPr>
          <w:rStyle w:val="Hyperlink"/>
          <w:sz w:val="22"/>
          <w:szCs w:val="22"/>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\r \h </w:instrText>
      </w:r>
      <w:r>
        <w:rPr>
          <w:sz w:val="22"/>
          <w:szCs w:val="22"/>
        </w:rPr>
        <w:fldChar w:fldCharType="separate"/>
      </w:r>
      <w:r>
        <w:rPr>
          <w:sz w:val="22"/>
          <w:szCs w:val="22"/>
        </w:rPr>
        <w:t>2.5</w:t>
      </w:r>
      <w:r>
        <w:rPr>
          <w:sz w:val="22"/>
          <w:szCs w:val="22"/>
        </w:rPr>
        <w:fldChar w:fldCharType="end"/>
      </w:r>
      <w:r>
        <w:rPr>
          <w:sz w:val="22"/>
          <w:szCs w:val="22"/>
        </w:rPr>
        <w:t xml:space="preserve"> do edital, </w:t>
      </w:r>
      <w:bookmarkEnd w:id="17"/>
      <w:r>
        <w:rPr>
          <w:sz w:val="22"/>
          <w:szCs w:val="22"/>
        </w:rPr>
        <w:t>especialmente quanto à existência de sanção que impeça a participação no certame ou a futura contratação.</w:t>
      </w:r>
    </w:p>
    <w:p>
      <w:pPr>
        <w:pStyle w:val="Nivel2"/>
        <w:numPr>
          <w:ilvl w:val="1"/>
          <w:numId w:val="6"/>
        </w:numPr>
        <w:spacing w:lineRule="auto" w:line="360" w:before="0" w:after="0"/>
        <w:ind w:hanging="0" w:left="0"/>
        <w:rPr>
          <w:sz w:val="22"/>
          <w:szCs w:val="22"/>
        </w:rPr>
      </w:pPr>
      <w:r>
        <w:rPr>
          <w:sz w:val="22"/>
          <w:szCs w:val="22"/>
        </w:rPr>
        <w:t>Caso atendidas as condições de participação, será iniciado o procedimento de habilitação.</w:t>
      </w:r>
    </w:p>
    <w:p>
      <w:pPr>
        <w:pStyle w:val="Nivel2"/>
        <w:numPr>
          <w:ilvl w:val="1"/>
          <w:numId w:val="6"/>
        </w:numPr>
        <w:spacing w:lineRule="auto" w:line="360" w:before="0" w:after="0"/>
        <w:ind w:hanging="0" w:left="0"/>
        <w:rPr>
          <w:sz w:val="22"/>
          <w:szCs w:val="22"/>
        </w:rPr>
      </w:pPr>
      <w:r>
        <w:rPr>
          <w:color w:val="auto"/>
          <w:sz w:val="22"/>
          <w:szCs w:val="22"/>
        </w:rPr>
        <w:t xml:space="preserve">Caso o licitante provisoriamente classificado em primeiro lugar tenha se utilizado de algum tratamento favorecido às ME/EPPs, o pregoeiro verificará se faz jus ao benefício, em conformidade com os itens </w:t>
      </w:r>
      <w:r>
        <w:rPr>
          <w:color w:val="auto"/>
          <w:sz w:val="22"/>
          <w:szCs w:val="22"/>
        </w:rPr>
        <w:fldChar w:fldCharType="begin"/>
      </w:r>
      <w:r>
        <w:rPr>
          <w:sz w:val="22"/>
          <w:szCs w:val="22"/>
          <w:color w:val="auto"/>
        </w:rPr>
        <w:instrText xml:space="preserve"> REF _Ref117015508 \r \r \h </w:instrText>
      </w:r>
      <w:r>
        <w:rPr>
          <w:sz w:val="22"/>
          <w:szCs w:val="22"/>
          <w:color w:val="auto"/>
        </w:rPr>
        <w:fldChar w:fldCharType="separate"/>
      </w:r>
      <w:r>
        <w:rPr>
          <w:sz w:val="22"/>
          <w:szCs w:val="22"/>
          <w:color w:val="auto"/>
        </w:rPr>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_Ref117000019 \r \r \h </w:instrText>
      </w:r>
      <w:r>
        <w:rPr>
          <w:sz w:val="22"/>
          <w:szCs w:val="22"/>
          <w:color w:val="auto"/>
        </w:rPr>
        <w:fldChar w:fldCharType="separate"/>
      </w:r>
      <w:r>
        <w:rPr>
          <w:sz w:val="22"/>
          <w:szCs w:val="22"/>
          <w:color w:val="auto"/>
        </w:rPr>
        <w:t>3.9</w:t>
      </w:r>
      <w:r>
        <w:rPr>
          <w:sz w:val="22"/>
          <w:szCs w:val="22"/>
          <w:color w:val="auto"/>
        </w:rPr>
        <w:fldChar w:fldCharType="end"/>
      </w:r>
      <w:r>
        <w:rPr>
          <w:color w:val="auto"/>
          <w:sz w:val="22"/>
          <w:szCs w:val="22"/>
        </w:rPr>
        <w:t xml:space="preserve"> deste edital.</w:t>
      </w:r>
    </w:p>
    <w:p>
      <w:pPr>
        <w:pStyle w:val="Nivel2"/>
        <w:numPr>
          <w:ilvl w:val="1"/>
          <w:numId w:val="6"/>
        </w:numPr>
        <w:spacing w:lineRule="auto" w:line="360" w:before="0" w:after="0"/>
        <w:ind w:hanging="0" w:left="0"/>
        <w:rPr>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6"/>
        </w:numPr>
        <w:spacing w:lineRule="auto" w:line="360" w:before="0" w:after="0"/>
        <w:ind w:hanging="0" w:left="0"/>
        <w:rPr>
          <w:sz w:val="22"/>
          <w:szCs w:val="22"/>
        </w:rPr>
      </w:pPr>
      <w:r>
        <w:rPr>
          <w:sz w:val="22"/>
          <w:szCs w:val="22"/>
        </w:rPr>
        <w:t xml:space="preserve">Será desclassificada a proposta vencedora que: </w:t>
      </w:r>
    </w:p>
    <w:p>
      <w:pPr>
        <w:pStyle w:val="Nivel3"/>
        <w:numPr>
          <w:ilvl w:val="2"/>
          <w:numId w:val="6"/>
        </w:numPr>
        <w:spacing w:lineRule="auto" w:line="360" w:before="0" w:after="0"/>
        <w:ind w:hanging="0" w:left="0"/>
        <w:rPr>
          <w:sz w:val="22"/>
          <w:szCs w:val="22"/>
        </w:rPr>
      </w:pPr>
      <w:r>
        <w:rPr>
          <w:sz w:val="22"/>
          <w:szCs w:val="22"/>
        </w:rPr>
        <w:t>contiver vícios insanáveis;</w:t>
      </w:r>
    </w:p>
    <w:p>
      <w:pPr>
        <w:pStyle w:val="Nivel3"/>
        <w:numPr>
          <w:ilvl w:val="2"/>
          <w:numId w:val="6"/>
        </w:numPr>
        <w:spacing w:lineRule="auto" w:line="360" w:before="0" w:after="0"/>
        <w:ind w:hanging="0" w:left="0"/>
        <w:rPr>
          <w:sz w:val="22"/>
          <w:szCs w:val="22"/>
        </w:rPr>
      </w:pPr>
      <w:r>
        <w:rPr>
          <w:sz w:val="22"/>
          <w:szCs w:val="22"/>
        </w:rPr>
        <w:t>não obedecer às especificações técnicas contidas no Termo de Referência;</w:t>
      </w:r>
    </w:p>
    <w:p>
      <w:pPr>
        <w:pStyle w:val="Nivel3"/>
        <w:numPr>
          <w:ilvl w:val="2"/>
          <w:numId w:val="6"/>
        </w:numPr>
        <w:spacing w:lineRule="auto" w:line="360" w:before="0" w:after="0"/>
        <w:ind w:hanging="0" w:left="0"/>
        <w:rPr>
          <w:sz w:val="22"/>
          <w:szCs w:val="22"/>
        </w:rPr>
      </w:pPr>
      <w:r>
        <w:rPr>
          <w:sz w:val="22"/>
          <w:szCs w:val="22"/>
        </w:rPr>
        <w:t>apresentar preços inexequíveis ou permanecerem acima do preço máximo definido para a contratação;</w:t>
      </w:r>
    </w:p>
    <w:p>
      <w:pPr>
        <w:pStyle w:val="Nivel3"/>
        <w:numPr>
          <w:ilvl w:val="2"/>
          <w:numId w:val="6"/>
        </w:numPr>
        <w:spacing w:lineRule="auto" w:line="360" w:before="0" w:after="0"/>
        <w:ind w:hanging="0" w:left="0"/>
        <w:rPr>
          <w:sz w:val="22"/>
          <w:szCs w:val="22"/>
        </w:rPr>
      </w:pPr>
      <w:r>
        <w:rPr>
          <w:sz w:val="22"/>
          <w:szCs w:val="22"/>
        </w:rPr>
        <w:t>não tiverem sua exequibilidade demonstrada, quando exigido pela Administração;</w:t>
      </w:r>
    </w:p>
    <w:p>
      <w:pPr>
        <w:pStyle w:val="Nivel3"/>
        <w:numPr>
          <w:ilvl w:val="2"/>
          <w:numId w:val="6"/>
        </w:numPr>
        <w:spacing w:lineRule="auto" w:line="360" w:before="0" w:after="0"/>
        <w:ind w:hanging="0" w:left="0"/>
        <w:rPr>
          <w:sz w:val="22"/>
          <w:szCs w:val="22"/>
        </w:rPr>
      </w:pPr>
      <w:r>
        <w:rPr>
          <w:sz w:val="22"/>
          <w:szCs w:val="22"/>
        </w:rPr>
        <w:t>apresentar desconformidade com quaisquer outras exigências deste Edital ou seus anexos, desde que insanável.</w:t>
      </w:r>
    </w:p>
    <w:p>
      <w:pPr>
        <w:pStyle w:val="Nivel2"/>
        <w:numPr>
          <w:ilvl w:val="1"/>
          <w:numId w:val="6"/>
        </w:numPr>
        <w:spacing w:lineRule="auto" w:line="360" w:before="0" w:after="0"/>
        <w:ind w:hanging="0" w:left="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6"/>
        </w:numPr>
        <w:spacing w:lineRule="auto" w:line="360" w:before="0" w:after="0"/>
        <w:ind w:hanging="0" w:left="0"/>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numPr>
          <w:ilvl w:val="1"/>
          <w:numId w:val="6"/>
        </w:numPr>
        <w:spacing w:lineRule="auto" w:line="360" w:before="0" w:after="0"/>
        <w:ind w:hanging="0" w:left="0"/>
        <w:rPr>
          <w:sz w:val="22"/>
          <w:szCs w:val="22"/>
        </w:rPr>
      </w:pPr>
      <w:r>
        <w:rPr>
          <w:sz w:val="22"/>
          <w:szCs w:val="22"/>
        </w:rPr>
        <w:t>A sessão será suspensa para a apresentação e análise das documentações e os envelopes de habilitação, devidamente rubricados pelo(a) pregoeiro(a) e pelos representantes credenciados, ficarão sob a guarda do(a) pregoeiro(a), sendo exibidos aos licitantes na reabertura da sessão que será marcada, com no mínimo três (03) dias úteis de antecedência, pela Imprensa Oficial do Município, para prosseguimento dos trabalhos.</w:t>
      </w:r>
    </w:p>
    <w:p>
      <w:pPr>
        <w:pStyle w:val="Nivel2"/>
        <w:numPr>
          <w:ilvl w:val="1"/>
          <w:numId w:val="6"/>
        </w:numPr>
        <w:spacing w:lineRule="auto" w:line="360" w:before="0" w:after="0"/>
        <w:ind w:hanging="0" w:left="0"/>
        <w:rPr>
          <w:b/>
          <w:bCs/>
          <w:sz w:val="22"/>
          <w:szCs w:val="22"/>
        </w:rPr>
      </w:pPr>
      <w:r>
        <w:rPr>
          <w:b/>
          <w:bCs/>
          <w:sz w:val="22"/>
          <w:szCs w:val="22"/>
        </w:rPr>
        <w:t xml:space="preserve"> </w:t>
      </w:r>
      <w:r>
        <w:rPr>
          <w:b/>
          <w:bCs/>
          <w:sz w:val="22"/>
          <w:szCs w:val="22"/>
        </w:rPr>
        <w:t xml:space="preserve">O licitante classificado em primeiro lugar, terá o prazo de até 05 (cinco) dias úteis, contados da sessão de processamento da licitação, para apresentar mediante protocolo na </w:t>
      </w:r>
      <w:r>
        <w:rPr>
          <w:b/>
          <w:bCs/>
          <w:sz w:val="22"/>
          <w:szCs w:val="22"/>
          <w:u w:val="single"/>
        </w:rPr>
        <w:t>Secretaria da Saúde, situada na Rua Marcos Dian, 365 – Jd de Lucca</w:t>
      </w:r>
      <w:r>
        <w:rPr>
          <w:b/>
          <w:bCs/>
          <w:sz w:val="22"/>
          <w:szCs w:val="22"/>
        </w:rPr>
        <w:t>, aos cuidados do pregoeiro, os seguintes documentos dos produtos ofertados:</w:t>
      </w:r>
    </w:p>
    <w:p>
      <w:pPr>
        <w:pStyle w:val="Nivel2"/>
        <w:numPr>
          <w:ilvl w:val="0"/>
          <w:numId w:val="0"/>
        </w:numPr>
        <w:spacing w:lineRule="auto" w:line="360" w:before="0" w:after="0"/>
        <w:ind w:firstLine="709" w:left="0"/>
        <w:rPr>
          <w:b/>
          <w:bCs/>
          <w:sz w:val="22"/>
          <w:szCs w:val="22"/>
        </w:rPr>
      </w:pPr>
      <w:bookmarkStart w:id="18" w:name="_Hlk198889247"/>
      <w:bookmarkEnd w:id="18"/>
      <w:r>
        <w:rPr>
          <w:b/>
          <w:bCs/>
          <w:sz w:val="22"/>
          <w:szCs w:val="22"/>
        </w:rPr>
        <w:t>a) Licença de funcionamento emitida pela Vigilância Sanitária do Estado ou Município;</w:t>
      </w:r>
    </w:p>
    <w:p>
      <w:pPr>
        <w:pStyle w:val="Nivel2"/>
        <w:numPr>
          <w:ilvl w:val="0"/>
          <w:numId w:val="0"/>
        </w:numPr>
        <w:spacing w:lineRule="auto" w:line="360" w:before="0" w:after="0"/>
        <w:ind w:firstLine="349" w:left="360"/>
        <w:rPr>
          <w:b/>
          <w:bCs/>
          <w:sz w:val="22"/>
          <w:szCs w:val="22"/>
        </w:rPr>
      </w:pPr>
      <w:r>
        <w:rPr>
          <w:b/>
          <w:bCs/>
          <w:sz w:val="22"/>
          <w:szCs w:val="22"/>
        </w:rPr>
        <w:t>b) Registro do Ministério da Saúde para os produtos ofertados ou Carta de Isenção;</w:t>
      </w:r>
    </w:p>
    <w:p>
      <w:pPr>
        <w:pStyle w:val="Nivel2"/>
        <w:numPr>
          <w:ilvl w:val="0"/>
          <w:numId w:val="0"/>
        </w:numPr>
        <w:spacing w:lineRule="auto" w:line="360" w:before="0" w:after="0"/>
        <w:ind w:hanging="0" w:left="709"/>
        <w:rPr>
          <w:sz w:val="22"/>
          <w:szCs w:val="22"/>
        </w:rPr>
      </w:pPr>
      <w:r>
        <w:rPr>
          <w:b/>
          <w:bCs/>
          <w:sz w:val="22"/>
          <w:szCs w:val="22"/>
        </w:rPr>
        <w:t xml:space="preserve">c) Amostras de todos os produtos ofertados. </w:t>
      </w:r>
      <w:r>
        <w:rPr>
          <w:sz w:val="22"/>
          <w:szCs w:val="22"/>
        </w:rPr>
        <w:t>As amostras deverão vir acompanhadas de declaração do fabricante ou da detentora do Registro junto ao Ministério da Saúde (ANVISA) subscrita por seu representante legal confirmando estar a proponente autorizada a comercializar o item.</w:t>
      </w:r>
    </w:p>
    <w:p>
      <w:pPr>
        <w:pStyle w:val="Normal"/>
        <w:shd w:val="clear" w:color="auto" w:fill="FFFFFF"/>
        <w:spacing w:lineRule="auto" w:line="360"/>
        <w:jc w:val="both"/>
        <w:rPr>
          <w:rFonts w:ascii="Arial" w:hAnsi="Arial" w:cs="Arial"/>
          <w:b/>
          <w:sz w:val="22"/>
          <w:szCs w:val="22"/>
          <w:u w:val="single"/>
        </w:rPr>
      </w:pPr>
      <w:r>
        <w:rPr>
          <w:rFonts w:cs="Arial" w:ascii="Arial" w:hAnsi="Arial"/>
          <w:b/>
          <w:sz w:val="22"/>
          <w:szCs w:val="22"/>
          <w:u w:val="single"/>
        </w:rPr>
        <w:t>7.9.1 - CASO A PROPONENTE APRESENTE EM SUA PROPOSTA O PRODUTO COM AS MARCAS DE REFERÊNCIA CITADA NA TABELA DO ANEXO I, ESTARÁ DISPENSADA DA APRESENTAÇÃO DAS AMOSTRAS, DEVERÁ APRESENTAR APENAS A LICENÇA DE FUNCIONAMENTO EMITIDA PELA VIGILÂNCIA SANITÁRIA DO ESTADO E OU MUNICÍPIO DA EMPRESA E O REGISTRO DO PRODUTO NA ANVISA</w:t>
      </w:r>
    </w:p>
    <w:p>
      <w:pPr>
        <w:pStyle w:val="Nivel2"/>
        <w:numPr>
          <w:ilvl w:val="0"/>
          <w:numId w:val="0"/>
        </w:numPr>
        <w:spacing w:lineRule="auto" w:line="360" w:before="0" w:after="0"/>
        <w:ind w:hanging="360" w:left="360"/>
        <w:rPr>
          <w:sz w:val="22"/>
          <w:szCs w:val="22"/>
        </w:rPr>
      </w:pPr>
      <w:r>
        <w:rPr>
          <w:sz w:val="22"/>
          <w:szCs w:val="22"/>
        </w:rPr>
      </w:r>
      <w:bookmarkStart w:id="19" w:name="_Hlk198889247"/>
      <w:bookmarkStart w:id="20" w:name="_Hlk198889247"/>
      <w:bookmarkEnd w:id="20"/>
    </w:p>
    <w:p>
      <w:pPr>
        <w:pStyle w:val="Normal"/>
        <w:shd w:val="clear" w:color="auto" w:fill="FFFFFF"/>
        <w:spacing w:lineRule="auto" w:line="360"/>
        <w:jc w:val="both"/>
        <w:rPr>
          <w:rFonts w:ascii="Arial" w:hAnsi="Arial" w:cs="Arial"/>
          <w:bCs/>
          <w:sz w:val="22"/>
          <w:szCs w:val="22"/>
        </w:rPr>
      </w:pPr>
      <w:r>
        <w:rPr>
          <w:rFonts w:cs="Arial" w:ascii="Arial" w:hAnsi="Arial"/>
          <w:bCs/>
          <w:sz w:val="22"/>
          <w:szCs w:val="22"/>
        </w:rPr>
        <w:t>7.10 - A falta de entrega dos documentos/amostras dentro do prazo estabelecido caracterizará desistência de proposta e a entrega em desconformidade com as especificações contidas no edital implicará em desclassificação.</w:t>
      </w:r>
    </w:p>
    <w:p>
      <w:pPr>
        <w:pStyle w:val="Normal"/>
        <w:spacing w:lineRule="auto" w:line="360"/>
        <w:jc w:val="both"/>
        <w:rPr>
          <w:rFonts w:ascii="Arial" w:hAnsi="Arial" w:cs="Arial"/>
          <w:bCs/>
          <w:sz w:val="22"/>
          <w:szCs w:val="22"/>
        </w:rPr>
      </w:pPr>
      <w:r>
        <w:rPr>
          <w:rFonts w:cs="Arial" w:ascii="Arial" w:hAnsi="Arial"/>
          <w:bCs/>
          <w:sz w:val="22"/>
          <w:szCs w:val="22"/>
        </w:rPr>
        <w:t xml:space="preserve">7.11 - A Secretaria requisitante apresentará nos autos manifestação fundamentada sobre o atendimento ou não das especificações contidas no edital, no prazo de até dois dias úteis, contados do protocolo dos documentos; neste mesmo prazo, os participantes da licitação poderão, em querendo, ter acesso aos documentos apresentados. </w:t>
      </w:r>
    </w:p>
    <w:p>
      <w:pPr>
        <w:pStyle w:val="Normal"/>
        <w:spacing w:lineRule="auto" w:line="360"/>
        <w:jc w:val="both"/>
        <w:rPr>
          <w:rFonts w:ascii="Arial" w:hAnsi="Arial" w:cs="Arial"/>
          <w:sz w:val="22"/>
          <w:szCs w:val="22"/>
        </w:rPr>
      </w:pPr>
      <w:r>
        <w:rPr>
          <w:rFonts w:cs="Arial" w:ascii="Arial" w:hAnsi="Arial"/>
          <w:sz w:val="22"/>
          <w:szCs w:val="22"/>
        </w:rPr>
        <w:t>7.12 - Aprovadas as documentações/amostras, na retomada da sessão o proponente será definitivamente declarado vencedor, e terá o seu preço registrado na ata que será formalizada, após adjudicação do objeto e homologação do procedimento.</w:t>
      </w:r>
    </w:p>
    <w:p>
      <w:pPr>
        <w:pStyle w:val="Nivel2"/>
        <w:numPr>
          <w:ilvl w:val="0"/>
          <w:numId w:val="0"/>
        </w:numPr>
        <w:spacing w:lineRule="auto" w:line="360" w:before="0" w:after="0"/>
        <w:ind w:hanging="0" w:left="0"/>
        <w:rPr>
          <w:b/>
          <w:sz w:val="22"/>
          <w:szCs w:val="22"/>
          <w:highlight w:val="yellow"/>
        </w:rPr>
      </w:pPr>
      <w:r>
        <w:rPr>
          <w:b/>
          <w:sz w:val="22"/>
          <w:szCs w:val="22"/>
          <w:highlight w:val="yellow"/>
        </w:rPr>
      </w:r>
    </w:p>
    <w:p>
      <w:pPr>
        <w:pStyle w:val="Nivel01"/>
        <w:spacing w:lineRule="auto" w:line="360" w:before="0" w:after="0"/>
        <w:ind w:hanging="0" w:left="0"/>
        <w:rPr>
          <w:sz w:val="22"/>
          <w:szCs w:val="22"/>
        </w:rPr>
      </w:pPr>
      <w:r>
        <w:rPr>
          <w:sz w:val="22"/>
          <w:szCs w:val="22"/>
        </w:rPr>
        <w:t>8 - DA FASE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hanging="0" w:left="0"/>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Hyperlink"/>
          <w:sz w:val="22"/>
          <w:szCs w:val="22"/>
        </w:rPr>
        <w:instrText xml:space="preserve"> HYPERLINK "http://www.planalto.gov.br/ccivil_03/_ato2019-2022/2021/lei/L14133.htm" \l "art62"</w:instrText>
      </w:r>
      <w:r>
        <w:rPr>
          <w:rStyle w:val="Hyperlink"/>
          <w:sz w:val="22"/>
          <w:szCs w:val="22"/>
        </w:rPr>
        <w:fldChar w:fldCharType="separate"/>
      </w:r>
      <w:r>
        <w:rPr>
          <w:rStyle w:val="Hyperlink"/>
          <w:sz w:val="22"/>
          <w:szCs w:val="22"/>
        </w:rPr>
        <w:t>arts. 62 a 70 da Lei nº 14.133, de 2021</w:t>
      </w:r>
      <w:r>
        <w:rPr>
          <w:rStyle w:val="Hyperlink"/>
          <w:sz w:val="22"/>
          <w:szCs w:val="22"/>
        </w:rPr>
        <w:fldChar w:fldCharType="end"/>
      </w:r>
      <w:r>
        <w:rPr>
          <w:sz w:val="22"/>
          <w:szCs w:val="22"/>
        </w:rPr>
        <w:t>.</w:t>
      </w:r>
    </w:p>
    <w:p>
      <w:pPr>
        <w:pStyle w:val="Nivel2"/>
        <w:numPr>
          <w:ilvl w:val="1"/>
          <w:numId w:val="6"/>
        </w:numPr>
        <w:spacing w:lineRule="auto" w:line="360" w:before="0" w:after="0"/>
        <w:ind w:hanging="0" w:left="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6"/>
        </w:numPr>
        <w:spacing w:lineRule="auto" w:line="360" w:before="0" w:after="0"/>
        <w:ind w:hanging="0" w:left="0"/>
        <w:rPr/>
      </w:pPr>
      <w:r>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3">
        <w:r>
          <w:rPr>
            <w:rStyle w:val="Hyperlink"/>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6"/>
        </w:numPr>
        <w:spacing w:lineRule="auto" w:line="360" w:before="0" w:after="0"/>
        <w:ind w:hanging="0" w:left="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6"/>
        </w:numPr>
        <w:spacing w:lineRule="auto" w:line="360" w:before="0" w:after="0"/>
        <w:ind w:hanging="0" w:left="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6"/>
        </w:numPr>
        <w:spacing w:lineRule="auto" w:line="360" w:before="0" w:after="0"/>
        <w:ind w:hanging="0" w:left="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6"/>
        </w:numPr>
        <w:spacing w:lineRule="auto" w:line="360" w:before="0" w:after="0"/>
        <w:ind w:hanging="0" w:left="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6"/>
        </w:numPr>
        <w:spacing w:lineRule="auto" w:line="360" w:before="0" w:after="0"/>
        <w:ind w:hanging="0" w:left="567"/>
        <w:rPr/>
      </w:pPr>
      <w:bookmarkStart w:id="21" w:name="_Ref114663151"/>
      <w:r>
        <w:rPr>
          <w:sz w:val="22"/>
          <w:szCs w:val="22"/>
        </w:rPr>
        <w:t xml:space="preserve">Os documentos exigidos para habilitação deverão ser enviados por meio do sistema, em formato digital, </w:t>
      </w:r>
      <w:r>
        <w:rPr>
          <w:b/>
          <w:bCs/>
          <w:sz w:val="22"/>
          <w:szCs w:val="22"/>
        </w:rPr>
        <w:t>no prazo máximo de 02 (duas) horas</w:t>
      </w:r>
      <w:r>
        <w:rPr>
          <w:sz w:val="22"/>
          <w:szCs w:val="22"/>
        </w:rPr>
        <w:t xml:space="preserve">, </w:t>
      </w:r>
      <w:bookmarkEnd w:id="21"/>
      <w:r>
        <w:rPr>
          <w:sz w:val="22"/>
          <w:szCs w:val="22"/>
        </w:rPr>
        <w:t>contado da solicitação do Agente de Contratação.</w:t>
      </w:r>
    </w:p>
    <w:p>
      <w:pPr>
        <w:pStyle w:val="Nivel2"/>
        <w:numPr>
          <w:ilvl w:val="1"/>
          <w:numId w:val="6"/>
        </w:numPr>
        <w:spacing w:lineRule="auto" w:line="360" w:before="0" w:after="0"/>
        <w:ind w:hanging="0" w:left="0"/>
        <w:rPr>
          <w:sz w:val="22"/>
          <w:szCs w:val="22"/>
        </w:rPr>
      </w:pPr>
      <w:r>
        <w:rPr>
          <w:sz w:val="22"/>
          <w:szCs w:val="22"/>
        </w:rPr>
        <w:t>A exigência das documentações de habilitação somente será feita em relação ao licitante vencedor.</w:t>
      </w:r>
    </w:p>
    <w:p>
      <w:pPr>
        <w:pStyle w:val="Nivel2"/>
        <w:numPr>
          <w:ilvl w:val="1"/>
          <w:numId w:val="6"/>
        </w:numPr>
        <w:spacing w:lineRule="auto" w:line="360" w:before="0" w:after="0"/>
        <w:ind w:hanging="0" w:left="0"/>
        <w:rPr/>
      </w:pPr>
      <w:r>
        <w:rPr>
          <w:sz w:val="22"/>
          <w:szCs w:val="22"/>
        </w:rPr>
        <w:t>Após a entrega dos documentos para habilitação, não será permitida a substituição ou a apresentação de novos documentos, salvo em sede de diligência, para (</w:t>
      </w:r>
      <w:r>
        <w:fldChar w:fldCharType="begin"/>
      </w:r>
      <w:r>
        <w:rPr>
          <w:rStyle w:val="Hyperlink"/>
          <w:sz w:val="22"/>
          <w:szCs w:val="22"/>
          <w:color w:val="000000"/>
        </w:rPr>
        <w:instrText xml:space="preserve"> HYPERLINK "http://www.planalto.gov.br/ccivil_03/_ato2019-2022/2021/lei/L14133.htm" \l "art64"</w:instrText>
      </w:r>
      <w:r>
        <w:rPr>
          <w:rStyle w:val="Hyperlink"/>
          <w:sz w:val="22"/>
          <w:szCs w:val="22"/>
          <w:color w:val="000000"/>
        </w:rPr>
        <w:fldChar w:fldCharType="separate"/>
      </w:r>
      <w:r>
        <w:rPr>
          <w:rStyle w:val="Hyperlink"/>
          <w:color w:val="000000"/>
          <w:sz w:val="22"/>
          <w:szCs w:val="22"/>
        </w:rPr>
        <w:t>Lei 14.133/21, art. 64</w:t>
      </w:r>
      <w:r>
        <w:rPr>
          <w:rStyle w:val="Hyperlink"/>
          <w:sz w:val="22"/>
          <w:szCs w:val="22"/>
          <w:color w:val="000000"/>
        </w:rPr>
        <w:fldChar w:fldCharType="end"/>
      </w:r>
      <w:r>
        <w:rPr>
          <w:rStyle w:val="InternetLink"/>
          <w:color w:val="000000"/>
          <w:sz w:val="22"/>
          <w:szCs w:val="22"/>
        </w:rPr>
        <w:t>):</w:t>
      </w:r>
    </w:p>
    <w:p>
      <w:pPr>
        <w:pStyle w:val="Nivel3"/>
        <w:numPr>
          <w:ilvl w:val="2"/>
          <w:numId w:val="6"/>
        </w:numPr>
        <w:spacing w:lineRule="auto" w:line="360" w:before="0" w:after="0"/>
        <w:ind w:hanging="0" w:left="567"/>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6"/>
        </w:numPr>
        <w:spacing w:lineRule="auto" w:line="360" w:before="0" w:after="0"/>
        <w:ind w:hanging="0" w:left="567"/>
        <w:rPr>
          <w:sz w:val="22"/>
          <w:szCs w:val="22"/>
        </w:rPr>
      </w:pPr>
      <w:r>
        <w:rPr>
          <w:sz w:val="22"/>
          <w:szCs w:val="22"/>
        </w:rPr>
        <w:t>atualização de documentos cuja validade tenha expirado após a data de recebimento das propostas;</w:t>
      </w:r>
    </w:p>
    <w:p>
      <w:pPr>
        <w:pStyle w:val="Nivel2"/>
        <w:numPr>
          <w:ilvl w:val="1"/>
          <w:numId w:val="6"/>
        </w:numPr>
        <w:spacing w:lineRule="auto" w:line="360" w:before="0" w:after="0"/>
        <w:ind w:hanging="0" w:left="0"/>
        <w:rPr>
          <w:sz w:val="22"/>
          <w:szCs w:val="22"/>
        </w:rPr>
      </w:pPr>
      <w:bookmarkStart w:id="22"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22"/>
    </w:p>
    <w:p>
      <w:pPr>
        <w:pStyle w:val="Nivel2"/>
        <w:numPr>
          <w:ilvl w:val="1"/>
          <w:numId w:val="6"/>
        </w:numPr>
        <w:spacing w:lineRule="auto" w:line="360" w:before="0" w:after="0"/>
        <w:ind w:hanging="0" w:left="0"/>
        <w:rPr/>
      </w:pPr>
      <w:bookmarkStart w:id="23"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\r \h </w:instrText>
      </w:r>
      <w:r>
        <w:rPr>
          <w:sz w:val="22"/>
          <w:szCs w:val="22"/>
        </w:rPr>
        <w:fldChar w:fldCharType="separate"/>
      </w:r>
      <w:r>
        <w:rPr>
          <w:sz w:val="22"/>
          <w:szCs w:val="22"/>
        </w:rPr>
        <w:t>8.5.1</w:t>
      </w:r>
      <w:r>
        <w:rPr>
          <w:sz w:val="22"/>
          <w:szCs w:val="22"/>
        </w:rPr>
        <w:fldChar w:fldCharType="end"/>
      </w:r>
      <w:r>
        <w:rPr>
          <w:sz w:val="22"/>
          <w:szCs w:val="22"/>
        </w:rPr>
        <w:t>.</w:t>
      </w:r>
      <w:bookmarkEnd w:id="23"/>
    </w:p>
    <w:p>
      <w:pPr>
        <w:pStyle w:val="Nivel2"/>
        <w:numPr>
          <w:ilvl w:val="1"/>
          <w:numId w:val="6"/>
        </w:numPr>
        <w:spacing w:lineRule="auto" w:line="360" w:before="0" w:after="0"/>
        <w:ind w:hanging="0" w:left="0"/>
        <w:rPr/>
      </w:pPr>
      <w:bookmarkStart w:id="24"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24"/>
      <w:r>
        <w:rPr>
          <w:sz w:val="22"/>
          <w:szCs w:val="22"/>
        </w:rPr>
        <w:t>.</w:t>
      </w:r>
    </w:p>
    <w:p>
      <w:pPr>
        <w:pStyle w:val="Nivel2"/>
        <w:numPr>
          <w:ilvl w:val="0"/>
          <w:numId w:val="0"/>
        </w:numPr>
        <w:spacing w:lineRule="auto" w:line="360" w:before="0" w:after="0"/>
        <w:ind w:hanging="0" w:left="0"/>
        <w:rPr>
          <w:b/>
          <w:bCs/>
          <w:sz w:val="22"/>
          <w:szCs w:val="22"/>
          <w:u w:val="single"/>
        </w:rPr>
      </w:pPr>
      <w:r>
        <w:rPr>
          <w:sz w:val="22"/>
          <w:szCs w:val="22"/>
        </w:rPr>
        <w:t xml:space="preserve">8.11- As empresas Vencedoras, deverão enviar </w:t>
      </w:r>
      <w:r>
        <w:rPr>
          <w:b/>
          <w:bCs/>
          <w:sz w:val="22"/>
          <w:szCs w:val="22"/>
        </w:rPr>
        <w:t>no prazo de máximo de 48 horas, do término da sessão (adjudicação do objeto</w:t>
      </w:r>
      <w:r>
        <w:rPr>
          <w:sz w:val="22"/>
          <w:szCs w:val="22"/>
        </w:rPr>
        <w:t>), para a Seção de Licitações, localizada à Avenida Luciano Consoline, nº   600 – Jardim de Lucca, CEP 13.250-000, das 09h às 17h, os documentos abaixo relacionados:</w:t>
      </w:r>
    </w:p>
    <w:p>
      <w:pPr>
        <w:pStyle w:val="Nivel2"/>
        <w:numPr>
          <w:ilvl w:val="0"/>
          <w:numId w:val="0"/>
        </w:numPr>
        <w:spacing w:lineRule="auto" w:line="360" w:before="0" w:after="0"/>
        <w:ind w:hanging="0" w:left="0"/>
        <w:rPr>
          <w:sz w:val="22"/>
          <w:szCs w:val="22"/>
        </w:rPr>
      </w:pPr>
      <w:r>
        <w:rPr>
          <w:b/>
          <w:bCs/>
          <w:sz w:val="22"/>
          <w:szCs w:val="22"/>
          <w:u w:val="single"/>
        </w:rPr>
        <w:t>8.11.1 -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pPr>
        <w:pStyle w:val="Nivel2"/>
        <w:numPr>
          <w:ilvl w:val="0"/>
          <w:numId w:val="0"/>
        </w:numPr>
        <w:spacing w:lineRule="auto" w:line="360" w:before="0" w:after="0"/>
        <w:ind w:hanging="0" w:left="0"/>
        <w:rPr>
          <w:sz w:val="22"/>
          <w:szCs w:val="22"/>
        </w:rPr>
      </w:pPr>
      <w:r>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pPr>
        <w:pStyle w:val="Nivel2"/>
        <w:numPr>
          <w:ilvl w:val="0"/>
          <w:numId w:val="0"/>
        </w:numPr>
        <w:spacing w:lineRule="auto" w:line="360" w:before="0" w:after="0"/>
        <w:ind w:hanging="0" w:left="0"/>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pPr>
        <w:pStyle w:val="Nivel2"/>
        <w:numPr>
          <w:ilvl w:val="0"/>
          <w:numId w:val="0"/>
        </w:numPr>
        <w:spacing w:lineRule="auto" w:line="360" w:before="0" w:after="0"/>
        <w:ind w:hanging="0" w:left="0"/>
        <w:rPr>
          <w:sz w:val="22"/>
          <w:szCs w:val="22"/>
        </w:rPr>
      </w:pPr>
      <w:r>
        <w:rPr>
          <w:sz w:val="22"/>
          <w:szCs w:val="22"/>
        </w:rPr>
        <w:t>c) O prazo de validade que não poderá ser inferior a 120 (cento e vinte) dias, contados da abertura das propostas virtuais;</w:t>
      </w:r>
    </w:p>
    <w:p>
      <w:pPr>
        <w:pStyle w:val="Nivel2"/>
        <w:numPr>
          <w:ilvl w:val="0"/>
          <w:numId w:val="0"/>
        </w:numPr>
        <w:spacing w:lineRule="auto" w:line="360" w:before="0" w:after="0"/>
        <w:ind w:hanging="0" w:left="0"/>
        <w:rPr>
          <w:sz w:val="22"/>
          <w:szCs w:val="22"/>
        </w:rPr>
      </w:pPr>
      <w:r>
        <w:rPr>
          <w:sz w:val="22"/>
          <w:szCs w:val="22"/>
        </w:rPr>
        <w:t>d) Especificação completa do produto oferecido e marca, contendo informações técnicas que possibilitem a sua completa avaliação, conforme descrito no ANEXO I deste Edital.</w:t>
      </w:r>
    </w:p>
    <w:p>
      <w:pPr>
        <w:pStyle w:val="Nivel2"/>
        <w:numPr>
          <w:ilvl w:val="0"/>
          <w:numId w:val="0"/>
        </w:numPr>
        <w:spacing w:lineRule="auto" w:line="360" w:before="0" w:after="0"/>
        <w:ind w:hanging="0" w:left="0"/>
        <w:rPr>
          <w:b/>
          <w:bCs/>
          <w:sz w:val="22"/>
          <w:szCs w:val="22"/>
          <w:u w:val="single"/>
        </w:rPr>
      </w:pPr>
      <w:r>
        <w:rPr>
          <w:sz w:val="22"/>
          <w:szCs w:val="22"/>
        </w:rPr>
        <w:t xml:space="preserve">e) Caso a proposta seja assinada digitalmente a mesma poderá ser enviada através da plataforma do pregão ou via e-mail: </w:t>
      </w:r>
      <w:hyperlink r:id="rId14">
        <w:r>
          <w:rPr>
            <w:rStyle w:val="Hyperlink"/>
            <w:sz w:val="22"/>
            <w:szCs w:val="22"/>
          </w:rPr>
          <w:t>licitacoes@licitacoes.itatiba.sp.gov.br</w:t>
        </w:r>
      </w:hyperlink>
      <w:r>
        <w:rPr>
          <w:sz w:val="22"/>
          <w:szCs w:val="22"/>
        </w:rPr>
        <w:t xml:space="preserve">. </w:t>
      </w:r>
    </w:p>
    <w:p>
      <w:pPr>
        <w:pStyle w:val="Nivel2"/>
        <w:numPr>
          <w:ilvl w:val="0"/>
          <w:numId w:val="0"/>
        </w:numPr>
        <w:spacing w:lineRule="auto" w:line="360" w:before="0" w:after="0"/>
        <w:ind w:hanging="0" w:left="0"/>
        <w:rPr>
          <w:sz w:val="22"/>
          <w:szCs w:val="22"/>
        </w:rPr>
      </w:pPr>
      <w:r>
        <w:rPr>
          <w:b/>
          <w:bCs/>
          <w:sz w:val="22"/>
          <w:szCs w:val="22"/>
          <w:u w:val="single"/>
        </w:rPr>
        <w:t>8.11.2 -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pPr>
        <w:pStyle w:val="Nivel2"/>
        <w:numPr>
          <w:ilvl w:val="0"/>
          <w:numId w:val="10"/>
        </w:numPr>
        <w:spacing w:lineRule="auto" w:line="360" w:before="0" w:after="0"/>
        <w:ind w:hanging="0" w:left="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pPr>
        <w:pStyle w:val="Nivel2"/>
        <w:numPr>
          <w:ilvl w:val="0"/>
          <w:numId w:val="10"/>
        </w:numPr>
        <w:spacing w:lineRule="auto" w:line="360" w:before="0" w:after="0"/>
        <w:ind w:hanging="0" w:left="0"/>
        <w:rPr>
          <w:sz w:val="22"/>
          <w:szCs w:val="22"/>
        </w:rPr>
      </w:pPr>
      <w:r>
        <w:rPr>
          <w:sz w:val="22"/>
          <w:szCs w:val="22"/>
        </w:rPr>
        <w:t>A empresa participante e seu representante legal são responsáveis pela autenticidade e veracidade dos documentos enviados eletronicamente.</w:t>
      </w:r>
    </w:p>
    <w:p>
      <w:pPr>
        <w:pStyle w:val="Nivel2"/>
        <w:numPr>
          <w:ilvl w:val="0"/>
          <w:numId w:val="10"/>
        </w:numPr>
        <w:spacing w:lineRule="auto" w:line="360" w:before="0" w:after="0"/>
        <w:ind w:hanging="0" w:left="0"/>
        <w:rPr>
          <w:sz w:val="22"/>
          <w:szCs w:val="22"/>
        </w:rPr>
      </w:pPr>
      <w:r>
        <w:rPr>
          <w:sz w:val="22"/>
          <w:szCs w:val="22"/>
        </w:rPr>
        <w:t>Caso os documentos sejam assinados e autenticados digitalmente NÃO há necessidade de encaminhar novamente de forma física.</w:t>
      </w:r>
    </w:p>
    <w:p>
      <w:pPr>
        <w:pStyle w:val="ListParagraph"/>
        <w:numPr>
          <w:ilvl w:val="1"/>
          <w:numId w:val="11"/>
        </w:numPr>
        <w:spacing w:lineRule="auto" w:line="360" w:before="0" w:after="0"/>
        <w:ind w:hanging="0" w:left="0"/>
        <w:jc w:val="both"/>
        <w:rPr>
          <w:i/>
          <w:i/>
        </w:rPr>
      </w:pPr>
      <w:r>
        <w:rPr>
          <w:rFonts w:cs="Arial" w:ascii="Arial" w:hAnsi="Arial"/>
          <w:color w:val="000000"/>
        </w:rPr>
        <w:t xml:space="preserve">-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pPr>
        <w:pStyle w:val="Nivel2"/>
        <w:numPr>
          <w:ilvl w:val="0"/>
          <w:numId w:val="0"/>
        </w:numPr>
        <w:spacing w:lineRule="auto" w:line="360" w:before="0" w:after="0"/>
        <w:ind w:hanging="0" w:left="0"/>
        <w:rPr>
          <w:i/>
          <w:i/>
          <w:sz w:val="22"/>
          <w:szCs w:val="22"/>
        </w:rPr>
      </w:pPr>
      <w:r>
        <w:rPr>
          <w:i/>
          <w:sz w:val="22"/>
          <w:szCs w:val="22"/>
        </w:rPr>
      </w:r>
    </w:p>
    <w:p>
      <w:pPr>
        <w:pStyle w:val="Nivel01"/>
        <w:spacing w:lineRule="auto" w:line="360" w:before="0" w:after="0"/>
        <w:ind w:hanging="0" w:left="0"/>
        <w:rPr>
          <w:sz w:val="22"/>
          <w:szCs w:val="22"/>
        </w:rPr>
      </w:pPr>
      <w:r>
        <w:rPr>
          <w:sz w:val="22"/>
          <w:szCs w:val="22"/>
        </w:rPr>
        <w:t>9 - DA ATA DE REGISTRO DE PREÇOS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hanging="0" w:left="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6"/>
        </w:numPr>
        <w:spacing w:lineRule="auto" w:line="360" w:before="0" w:after="0"/>
        <w:ind w:hanging="0" w:left="0"/>
        <w:rPr>
          <w:sz w:val="22"/>
          <w:szCs w:val="22"/>
        </w:rPr>
      </w:pPr>
      <w:r>
        <w:rPr>
          <w:sz w:val="22"/>
          <w:szCs w:val="22"/>
        </w:rPr>
        <w:t>O prazo de convocação poderá ser prorrogado uma vez, por igual período, mediante solicitação do licitante mais bem classificado ou do fornecedor convocado, desde que:</w:t>
      </w:r>
    </w:p>
    <w:p>
      <w:pPr>
        <w:pStyle w:val="Nivel2"/>
        <w:numPr>
          <w:ilvl w:val="0"/>
          <w:numId w:val="0"/>
        </w:numPr>
        <w:spacing w:lineRule="auto" w:line="360" w:before="0" w:after="0"/>
        <w:ind w:hanging="0" w:left="0"/>
        <w:rPr>
          <w:iCs/>
          <w:sz w:val="22"/>
          <w:szCs w:val="22"/>
        </w:rPr>
      </w:pPr>
      <w:r>
        <w:rPr>
          <w:iCs/>
          <w:sz w:val="22"/>
          <w:szCs w:val="22"/>
        </w:rPr>
        <w:t>(a) a solicitação seja devidamente justificada e apresentada dentro do prazo; e</w:t>
      </w:r>
    </w:p>
    <w:p>
      <w:pPr>
        <w:pStyle w:val="Nivel2"/>
        <w:numPr>
          <w:ilvl w:val="0"/>
          <w:numId w:val="0"/>
        </w:numPr>
        <w:spacing w:lineRule="auto" w:line="360" w:before="0" w:after="0"/>
        <w:ind w:hanging="0" w:left="0"/>
        <w:rPr>
          <w:iCs/>
          <w:sz w:val="22"/>
          <w:szCs w:val="22"/>
        </w:rPr>
      </w:pPr>
      <w:r>
        <w:rPr>
          <w:iCs/>
          <w:sz w:val="22"/>
          <w:szCs w:val="22"/>
        </w:rPr>
        <w:t>(b) a justificativa apresentada seja aceita pela Administração.</w:t>
      </w:r>
    </w:p>
    <w:p>
      <w:pPr>
        <w:pStyle w:val="Nivel2"/>
        <w:numPr>
          <w:ilvl w:val="1"/>
          <w:numId w:val="6"/>
        </w:numPr>
        <w:spacing w:lineRule="auto" w:line="360" w:before="0" w:after="0"/>
        <w:ind w:hanging="0" w:left="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6"/>
        </w:numPr>
        <w:spacing w:lineRule="auto" w:line="360" w:before="0" w:after="0"/>
        <w:ind w:hanging="0" w:left="0"/>
        <w:rPr>
          <w:sz w:val="22"/>
          <w:szCs w:val="22"/>
        </w:rPr>
      </w:pPr>
      <w:r>
        <w:rPr>
          <w:sz w:val="22"/>
          <w:szCs w:val="22"/>
        </w:rPr>
        <w:t>O preço registrado, com a indicação dos fornecedores, será divulgado no PNCP e disponibilizado durante a vigência da ata de registro de preços.</w:t>
      </w:r>
    </w:p>
    <w:p>
      <w:pPr>
        <w:pStyle w:val="Nivel2"/>
        <w:numPr>
          <w:ilvl w:val="1"/>
          <w:numId w:val="6"/>
        </w:numPr>
        <w:spacing w:lineRule="auto" w:line="360" w:before="0" w:after="0"/>
        <w:ind w:hanging="0" w:left="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6"/>
        </w:numPr>
        <w:spacing w:lineRule="auto" w:line="360" w:before="0" w:after="0"/>
        <w:ind w:hanging="0" w:left="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numPr>
          <w:ilvl w:val="0"/>
          <w:numId w:val="0"/>
        </w:numPr>
        <w:spacing w:lineRule="auto" w:line="360" w:before="0" w:after="0"/>
        <w:ind w:hanging="0" w:left="0"/>
        <w:rPr>
          <w:sz w:val="22"/>
          <w:szCs w:val="22"/>
        </w:rPr>
      </w:pPr>
      <w:r>
        <w:rPr>
          <w:sz w:val="22"/>
          <w:szCs w:val="22"/>
        </w:rPr>
      </w:r>
    </w:p>
    <w:p>
      <w:pPr>
        <w:pStyle w:val="Nivel01"/>
        <w:numPr>
          <w:ilvl w:val="0"/>
          <w:numId w:val="5"/>
        </w:numPr>
        <w:spacing w:lineRule="auto" w:line="360" w:before="0" w:after="0"/>
        <w:ind w:hanging="11" w:left="0"/>
        <w:rPr>
          <w:sz w:val="22"/>
          <w:szCs w:val="22"/>
        </w:rPr>
      </w:pPr>
      <w:r>
        <w:rPr>
          <w:sz w:val="22"/>
          <w:szCs w:val="22"/>
        </w:rPr>
        <w:t xml:space="preserve">- DA FORMAÇÃO DO CADASTRO DE RESERVA </w:t>
      </w:r>
    </w:p>
    <w:p>
      <w:pPr>
        <w:pStyle w:val="ListParagraph"/>
        <w:numPr>
          <w:ilvl w:val="0"/>
          <w:numId w:val="8"/>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0"/>
          <w:numId w:val="0"/>
        </w:numPr>
        <w:spacing w:lineRule="auto" w:line="360" w:before="0" w:after="0"/>
        <w:ind w:hanging="0" w:left="0"/>
        <w:rPr>
          <w:sz w:val="22"/>
          <w:szCs w:val="22"/>
        </w:rPr>
      </w:pPr>
      <w:r>
        <w:rPr>
          <w:sz w:val="22"/>
          <w:szCs w:val="22"/>
        </w:rPr>
        <w:t>10.1 - Após a homologação da licitação, será incluído na ata, na forma de anexo, o registro:</w:t>
      </w:r>
    </w:p>
    <w:p>
      <w:pPr>
        <w:pStyle w:val="Nivel3"/>
        <w:numPr>
          <w:ilvl w:val="2"/>
          <w:numId w:val="5"/>
        </w:numPr>
        <w:spacing w:lineRule="auto" w:line="360" w:before="0" w:after="0"/>
        <w:ind w:hanging="0" w:left="567"/>
        <w:rPr/>
      </w:pPr>
      <w:r>
        <w:rPr>
          <w:sz w:val="22"/>
          <w:szCs w:val="22"/>
        </w:rPr>
        <w:t xml:space="preserve">dos licitantes </w:t>
      </w:r>
      <w:bookmarkStart w:id="25" w:name="_Hlk132991372"/>
      <w:r>
        <w:rPr>
          <w:sz w:val="22"/>
          <w:szCs w:val="22"/>
        </w:rPr>
        <w:t xml:space="preserve">que </w:t>
      </w:r>
      <w:bookmarkStart w:id="26" w:name="_Hlk132989696"/>
      <w:r>
        <w:rPr>
          <w:sz w:val="22"/>
          <w:szCs w:val="22"/>
        </w:rPr>
        <w:t>aceitarem cotar o objeto com preço igual ao do adjudicatári</w:t>
      </w:r>
      <w:bookmarkEnd w:id="25"/>
      <w:r>
        <w:rPr>
          <w:sz w:val="22"/>
          <w:szCs w:val="22"/>
        </w:rPr>
        <w:t>o</w:t>
      </w:r>
      <w:bookmarkEnd w:id="26"/>
      <w:r>
        <w:rPr>
          <w:sz w:val="22"/>
          <w:szCs w:val="22"/>
        </w:rPr>
        <w:t xml:space="preserve">, observada a classificação na licitação; e </w:t>
      </w:r>
    </w:p>
    <w:p>
      <w:pPr>
        <w:pStyle w:val="Nivel3"/>
        <w:numPr>
          <w:ilvl w:val="2"/>
          <w:numId w:val="5"/>
        </w:numPr>
        <w:spacing w:lineRule="auto" w:line="360" w:before="0" w:after="0"/>
        <w:ind w:hanging="0" w:left="567"/>
        <w:rPr>
          <w:sz w:val="22"/>
          <w:szCs w:val="22"/>
        </w:rPr>
      </w:pPr>
      <w:r>
        <w:rPr>
          <w:sz w:val="22"/>
          <w:szCs w:val="22"/>
        </w:rPr>
        <w:t>dos licitantes que mantiverem sua proposta original</w:t>
      </w:r>
    </w:p>
    <w:p>
      <w:pPr>
        <w:pStyle w:val="Nivel2"/>
        <w:numPr>
          <w:ilvl w:val="1"/>
          <w:numId w:val="5"/>
        </w:numPr>
        <w:spacing w:lineRule="auto" w:line="360" w:before="0" w:after="0"/>
        <w:ind w:hanging="0" w:left="0"/>
        <w:rPr/>
      </w:pPr>
      <w:r>
        <w:rPr>
          <w:rFonts w:eastAsia="Arial"/>
          <w:sz w:val="22"/>
          <w:szCs w:val="22"/>
        </w:rPr>
        <w:t xml:space="preserve">          </w:t>
      </w:r>
      <w:r>
        <w:rPr>
          <w:sz w:val="22"/>
          <w:szCs w:val="22"/>
        </w:rPr>
        <w:t>Será respeitada, nas contratações, a ordem de classificação dos licitantes ou fornecedores registrados na ata.</w:t>
      </w:r>
    </w:p>
    <w:p>
      <w:pPr>
        <w:pStyle w:val="Nivel2"/>
        <w:numPr>
          <w:ilvl w:val="2"/>
          <w:numId w:val="5"/>
        </w:numPr>
        <w:spacing w:lineRule="auto" w:line="360" w:before="0" w:after="0"/>
        <w:ind w:hanging="0" w:left="567"/>
        <w:rPr>
          <w:sz w:val="22"/>
          <w:szCs w:val="22"/>
        </w:rPr>
      </w:pPr>
      <w:r>
        <w:rPr>
          <w:sz w:val="22"/>
          <w:szCs w:val="22"/>
        </w:rPr>
        <w:t>A apresentação de novas propostas na forma deste item não prejudicará o resultado do certame em relação ao licitante mais bem classificado.</w:t>
      </w:r>
    </w:p>
    <w:p>
      <w:pPr>
        <w:pStyle w:val="Nivel3"/>
        <w:numPr>
          <w:ilvl w:val="2"/>
          <w:numId w:val="5"/>
        </w:numPr>
        <w:spacing w:lineRule="auto" w:line="360" w:before="0" w:after="0"/>
        <w:ind w:hanging="0" w:left="567"/>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5"/>
        </w:numPr>
        <w:spacing w:lineRule="auto" w:line="360" w:before="0" w:after="0"/>
        <w:ind w:hanging="0" w:left="0"/>
        <w:rPr/>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pPr>
        <w:pStyle w:val="Nivel3"/>
        <w:tabs>
          <w:tab w:val="clear" w:pos="0"/>
        </w:tabs>
        <w:spacing w:lineRule="auto" w:line="360" w:before="0" w:after="0"/>
        <w:ind w:hanging="0" w:left="0"/>
        <w:rPr/>
      </w:pPr>
      <w:r>
        <w:rPr>
          <w:rFonts w:eastAsia="Arial"/>
          <w:sz w:val="22"/>
          <w:szCs w:val="22"/>
        </w:rPr>
        <w:t xml:space="preserve"> </w:t>
      </w:r>
      <w:r>
        <w:rPr>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pPr>
        <w:pStyle w:val="Nivel2"/>
        <w:numPr>
          <w:ilvl w:val="1"/>
          <w:numId w:val="5"/>
        </w:numPr>
        <w:spacing w:lineRule="auto" w:line="360" w:before="0" w:after="0"/>
        <w:ind w:hanging="0" w:left="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5"/>
        </w:numPr>
        <w:spacing w:lineRule="auto" w:line="360" w:before="0" w:after="0"/>
        <w:ind w:hanging="0" w:left="567"/>
        <w:rPr/>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5"/>
        </w:numPr>
        <w:spacing w:lineRule="auto" w:line="360" w:before="0" w:after="0"/>
        <w:ind w:hanging="0" w:left="567"/>
        <w:rPr/>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pPr>
        <w:pStyle w:val="Nivel2"/>
        <w:numPr>
          <w:ilvl w:val="0"/>
          <w:numId w:val="0"/>
        </w:numPr>
        <w:spacing w:lineRule="auto" w:line="360" w:before="0" w:after="0"/>
        <w:ind w:hanging="0" w:left="0"/>
        <w:rPr>
          <w:i/>
          <w:i/>
          <w:sz w:val="22"/>
          <w:szCs w:val="22"/>
        </w:rPr>
      </w:pPr>
      <w:r>
        <w:rPr>
          <w:i/>
          <w:sz w:val="22"/>
          <w:szCs w:val="22"/>
        </w:rPr>
      </w:r>
    </w:p>
    <w:p>
      <w:pPr>
        <w:pStyle w:val="Nivel01"/>
        <w:spacing w:lineRule="auto" w:line="360" w:before="0" w:after="0"/>
        <w:ind w:hanging="0" w:left="0"/>
        <w:rPr>
          <w:sz w:val="22"/>
          <w:szCs w:val="22"/>
        </w:rPr>
      </w:pPr>
      <w:r>
        <w:rPr>
          <w:sz w:val="22"/>
          <w:szCs w:val="22"/>
        </w:rPr>
        <w:t>11 - DOS RECURSOS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hanging="0" w:left="0"/>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Hyperlink"/>
          <w:sz w:val="22"/>
          <w:szCs w:val="22"/>
          <w:color w:val="000000"/>
        </w:rPr>
        <w:instrText xml:space="preserve"> HYPERLINK "http://www.planalto.gov.br/ccivil_03/_ato2019-2022/2021/lei/L14133.htm" \l "art165"</w:instrText>
      </w:r>
      <w:r>
        <w:rPr>
          <w:rStyle w:val="Hyperlink"/>
          <w:sz w:val="22"/>
          <w:szCs w:val="22"/>
          <w:color w:val="000000"/>
        </w:rPr>
        <w:fldChar w:fldCharType="separate"/>
      </w:r>
      <w:r>
        <w:rPr>
          <w:rStyle w:val="Hyperlink"/>
          <w:color w:val="000000"/>
          <w:sz w:val="22"/>
          <w:szCs w:val="22"/>
        </w:rPr>
        <w:t>art. 165 da Lei nº 14.133, de 2021</w:t>
      </w:r>
      <w:r>
        <w:rPr>
          <w:rStyle w:val="Hyperlink"/>
          <w:sz w:val="22"/>
          <w:szCs w:val="22"/>
          <w:color w:val="000000"/>
        </w:rPr>
        <w:fldChar w:fldCharType="end"/>
      </w:r>
      <w:r>
        <w:rPr>
          <w:sz w:val="22"/>
          <w:szCs w:val="22"/>
        </w:rPr>
        <w:t>.</w:t>
      </w:r>
    </w:p>
    <w:p>
      <w:pPr>
        <w:pStyle w:val="Nivel2"/>
        <w:numPr>
          <w:ilvl w:val="1"/>
          <w:numId w:val="5"/>
        </w:numPr>
        <w:spacing w:lineRule="auto" w:line="360" w:before="0" w:after="0"/>
        <w:ind w:hanging="0" w:left="0"/>
        <w:rPr>
          <w:sz w:val="22"/>
          <w:szCs w:val="22"/>
        </w:rPr>
      </w:pPr>
      <w:r>
        <w:rPr>
          <w:sz w:val="22"/>
          <w:szCs w:val="22"/>
        </w:rPr>
        <w:t>O prazo recursal é de 3 (três) dias úteis, contados da data de intimação ou de lavratura da ata.</w:t>
      </w:r>
    </w:p>
    <w:p>
      <w:pPr>
        <w:pStyle w:val="Nivel2"/>
        <w:numPr>
          <w:ilvl w:val="1"/>
          <w:numId w:val="5"/>
        </w:numPr>
        <w:spacing w:lineRule="auto" w:line="360" w:before="0" w:after="0"/>
        <w:ind w:hanging="0" w:left="0"/>
        <w:rPr>
          <w:sz w:val="22"/>
          <w:szCs w:val="22"/>
        </w:rPr>
      </w:pPr>
      <w:r>
        <w:rPr>
          <w:sz w:val="22"/>
          <w:szCs w:val="22"/>
        </w:rPr>
        <w:t>Quando o recurso apresentado impugnar o julgamento das propostas ou o ato de habilitação ou inabilitação do licitante:</w:t>
      </w:r>
    </w:p>
    <w:p>
      <w:pPr>
        <w:pStyle w:val="Nivel3"/>
        <w:numPr>
          <w:ilvl w:val="2"/>
          <w:numId w:val="5"/>
        </w:numPr>
        <w:spacing w:lineRule="auto" w:line="360" w:before="0" w:after="0"/>
        <w:ind w:hanging="0" w:left="567"/>
        <w:rPr>
          <w:sz w:val="22"/>
          <w:szCs w:val="22"/>
        </w:rPr>
      </w:pPr>
      <w:r>
        <w:rPr>
          <w:sz w:val="22"/>
          <w:szCs w:val="22"/>
        </w:rPr>
        <w:t>A intenção de recorrer deverá ser manifestada imediatamente, sob pena de preclusão;</w:t>
      </w:r>
    </w:p>
    <w:p>
      <w:pPr>
        <w:pStyle w:val="Nivel3"/>
        <w:numPr>
          <w:ilvl w:val="2"/>
          <w:numId w:val="5"/>
        </w:numPr>
        <w:spacing w:lineRule="auto" w:line="360" w:before="0" w:after="0"/>
        <w:ind w:hanging="0" w:left="567"/>
        <w:rPr>
          <w:sz w:val="22"/>
          <w:szCs w:val="22"/>
        </w:rPr>
      </w:pPr>
      <w:r>
        <w:rPr>
          <w:sz w:val="22"/>
          <w:szCs w:val="22"/>
        </w:rPr>
        <w:t>O prazo para a manifestação da intenção de recorrer será de 10 (dez) minutos;</w:t>
      </w:r>
    </w:p>
    <w:p>
      <w:pPr>
        <w:pStyle w:val="Nivel3"/>
        <w:numPr>
          <w:ilvl w:val="2"/>
          <w:numId w:val="5"/>
        </w:numPr>
        <w:spacing w:lineRule="auto" w:line="360" w:before="0" w:after="0"/>
        <w:ind w:hanging="0" w:left="567"/>
        <w:rPr>
          <w:sz w:val="22"/>
          <w:szCs w:val="22"/>
        </w:rPr>
      </w:pPr>
      <w:bookmarkStart w:id="27" w:name="_Hlk156913398"/>
      <w:bookmarkEnd w:id="27"/>
      <w:r>
        <w:rPr>
          <w:sz w:val="22"/>
          <w:szCs w:val="22"/>
        </w:rPr>
        <w:t>O prazo para apresentação das razões recursais será iniciado na data de intimação ou de lavratura da ata de habilitação ou inabilitação;</w:t>
      </w:r>
    </w:p>
    <w:p>
      <w:pPr>
        <w:pStyle w:val="Nivel2"/>
        <w:numPr>
          <w:ilvl w:val="1"/>
          <w:numId w:val="5"/>
        </w:numPr>
        <w:spacing w:lineRule="auto" w:line="360" w:before="0" w:after="0"/>
        <w:ind w:hanging="0" w:left="0"/>
        <w:rPr>
          <w:sz w:val="22"/>
          <w:szCs w:val="22"/>
        </w:rPr>
      </w:pPr>
      <w:r>
        <w:rPr>
          <w:sz w:val="22"/>
          <w:szCs w:val="22"/>
        </w:rPr>
        <w:t>Os recursos deverão ser encaminhados em campo próprio do sistema.</w:t>
      </w:r>
    </w:p>
    <w:p>
      <w:pPr>
        <w:pStyle w:val="Nivel2"/>
        <w:numPr>
          <w:ilvl w:val="1"/>
          <w:numId w:val="5"/>
        </w:numPr>
        <w:spacing w:lineRule="auto" w:line="360" w:before="0" w:after="0"/>
        <w:ind w:hanging="0" w:left="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5"/>
        </w:numPr>
        <w:spacing w:lineRule="auto" w:line="360" w:before="0" w:after="0"/>
        <w:ind w:hanging="0" w:left="0"/>
        <w:rPr>
          <w:sz w:val="22"/>
          <w:szCs w:val="22"/>
        </w:rPr>
      </w:pPr>
      <w:r>
        <w:rPr>
          <w:sz w:val="22"/>
          <w:szCs w:val="22"/>
        </w:rPr>
        <w:t xml:space="preserve">Os recursos interpostos fora do prazo não serão conhecidos. </w:t>
      </w:r>
    </w:p>
    <w:p>
      <w:pPr>
        <w:pStyle w:val="Nivel2"/>
        <w:numPr>
          <w:ilvl w:val="1"/>
          <w:numId w:val="5"/>
        </w:numPr>
        <w:spacing w:lineRule="auto" w:line="360" w:before="0" w:after="0"/>
        <w:ind w:hanging="0" w:left="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5"/>
        </w:numPr>
        <w:spacing w:lineRule="auto" w:line="360" w:before="0" w:after="0"/>
        <w:ind w:hanging="0" w:left="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5"/>
        </w:numPr>
        <w:spacing w:lineRule="auto" w:line="360" w:before="0" w:after="0"/>
        <w:ind w:hanging="0" w:left="0"/>
        <w:rPr>
          <w:sz w:val="22"/>
          <w:szCs w:val="22"/>
        </w:rPr>
      </w:pPr>
      <w:r>
        <w:rPr>
          <w:sz w:val="22"/>
          <w:szCs w:val="22"/>
        </w:rPr>
        <w:t xml:space="preserve">O acolhimento do recurso invalida tão somente os atos insuscetíveis de aproveitamento. </w:t>
      </w:r>
    </w:p>
    <w:p>
      <w:pPr>
        <w:pStyle w:val="Nivel2"/>
        <w:numPr>
          <w:ilvl w:val="1"/>
          <w:numId w:val="5"/>
        </w:numPr>
        <w:spacing w:lineRule="auto" w:line="360" w:before="0" w:after="0"/>
        <w:ind w:hanging="0" w:left="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12 - DAS INFRAÇÕES ADMINISTRATIVAS E SANÇÕES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hanging="600" w:left="600"/>
        <w:rPr>
          <w:sz w:val="22"/>
          <w:szCs w:val="22"/>
        </w:rPr>
      </w:pPr>
      <w:r>
        <w:rPr>
          <w:sz w:val="22"/>
          <w:szCs w:val="22"/>
        </w:rPr>
        <w:t xml:space="preserve">Comete infração administrativa, nos termos da lei, o licitante que, com dolo ou culpa: </w:t>
      </w:r>
    </w:p>
    <w:p>
      <w:pPr>
        <w:pStyle w:val="Nivel3"/>
        <w:numPr>
          <w:ilvl w:val="2"/>
          <w:numId w:val="5"/>
        </w:numPr>
        <w:spacing w:lineRule="auto" w:line="360" w:before="0" w:after="0"/>
        <w:ind w:hanging="0" w:left="567"/>
        <w:rPr>
          <w:sz w:val="22"/>
          <w:szCs w:val="22"/>
        </w:rPr>
      </w:pPr>
      <w:bookmarkStart w:id="28" w:name="_Ref114668085"/>
      <w:r>
        <w:rPr>
          <w:sz w:val="22"/>
          <w:szCs w:val="22"/>
        </w:rPr>
        <w:t>deixar de entregar a documentação exigida para o certame ou não entregar qualquer documento que tenha sido solicitado pelo/a pregoeiro/a durante o certame;</w:t>
      </w:r>
      <w:bookmarkEnd w:id="28"/>
    </w:p>
    <w:p>
      <w:pPr>
        <w:pStyle w:val="Nivel3"/>
        <w:numPr>
          <w:ilvl w:val="2"/>
          <w:numId w:val="5"/>
        </w:numPr>
        <w:spacing w:lineRule="auto" w:line="360" w:before="0" w:after="0"/>
        <w:ind w:hanging="0" w:left="567"/>
        <w:rPr>
          <w:sz w:val="22"/>
          <w:szCs w:val="22"/>
        </w:rPr>
      </w:pPr>
      <w:bookmarkStart w:id="29" w:name="_Ref114668108"/>
      <w:r>
        <w:rPr>
          <w:sz w:val="22"/>
          <w:szCs w:val="22"/>
        </w:rPr>
        <w:t>Salvo em decorrência de fato superveniente devidamente justificado, não mantiver a proposta em especial quando:</w:t>
      </w:r>
      <w:bookmarkEnd w:id="29"/>
    </w:p>
    <w:p>
      <w:pPr>
        <w:pStyle w:val="Nivel4"/>
        <w:numPr>
          <w:ilvl w:val="3"/>
          <w:numId w:val="5"/>
        </w:numPr>
        <w:spacing w:lineRule="auto" w:line="360" w:before="0" w:after="0"/>
        <w:ind w:hanging="0" w:left="1134"/>
        <w:rPr>
          <w:sz w:val="22"/>
          <w:szCs w:val="22"/>
        </w:rPr>
      </w:pPr>
      <w:r>
        <w:rPr>
          <w:sz w:val="22"/>
          <w:szCs w:val="22"/>
        </w:rPr>
        <w:t xml:space="preserve">não enviar a proposta adequada ao último lance ofertado ou após a negociação; </w:t>
      </w:r>
    </w:p>
    <w:p>
      <w:pPr>
        <w:pStyle w:val="Nivel4"/>
        <w:numPr>
          <w:ilvl w:val="3"/>
          <w:numId w:val="5"/>
        </w:numPr>
        <w:spacing w:lineRule="auto" w:line="360" w:before="0" w:after="0"/>
        <w:ind w:hanging="0" w:left="1134"/>
        <w:rPr>
          <w:sz w:val="22"/>
          <w:szCs w:val="22"/>
        </w:rPr>
      </w:pPr>
      <w:r>
        <w:rPr>
          <w:sz w:val="22"/>
          <w:szCs w:val="22"/>
        </w:rPr>
        <w:t xml:space="preserve">recusar-se a enviar o detalhamento da proposta quando exigível; </w:t>
      </w:r>
    </w:p>
    <w:p>
      <w:pPr>
        <w:pStyle w:val="Nivel4"/>
        <w:numPr>
          <w:ilvl w:val="3"/>
          <w:numId w:val="5"/>
        </w:numPr>
        <w:spacing w:lineRule="auto" w:line="360" w:before="0" w:after="0"/>
        <w:ind w:hanging="0" w:left="1134"/>
        <w:rPr>
          <w:sz w:val="22"/>
          <w:szCs w:val="22"/>
        </w:rPr>
      </w:pPr>
      <w:r>
        <w:rPr>
          <w:sz w:val="22"/>
          <w:szCs w:val="22"/>
        </w:rPr>
        <w:t xml:space="preserve">pedir para ser desclassificado quando encerrada a etapa competitiva; ou </w:t>
      </w:r>
    </w:p>
    <w:p>
      <w:pPr>
        <w:pStyle w:val="Nivel3"/>
        <w:numPr>
          <w:ilvl w:val="2"/>
          <w:numId w:val="5"/>
        </w:numPr>
        <w:spacing w:lineRule="auto" w:line="360" w:before="0" w:after="0"/>
        <w:ind w:hanging="0" w:left="1134"/>
        <w:rPr>
          <w:sz w:val="22"/>
          <w:szCs w:val="22"/>
        </w:rPr>
      </w:pPr>
      <w:bookmarkStart w:id="30" w:name="_Ref114668139"/>
      <w:r>
        <w:rPr>
          <w:sz w:val="22"/>
          <w:szCs w:val="22"/>
        </w:rPr>
        <w:t>não celebrar o contrato ou não entregar a documentação exigida para a contratação, quando convocado dentro do prazo de validade de sua proposta;</w:t>
      </w:r>
      <w:bookmarkEnd w:id="30"/>
    </w:p>
    <w:p>
      <w:pPr>
        <w:pStyle w:val="Nivel4"/>
        <w:numPr>
          <w:ilvl w:val="3"/>
          <w:numId w:val="5"/>
        </w:numPr>
        <w:spacing w:lineRule="auto" w:line="360" w:before="0" w:after="0"/>
        <w:ind w:hanging="0" w:left="1134"/>
        <w:rPr>
          <w:sz w:val="22"/>
          <w:szCs w:val="22"/>
        </w:rPr>
      </w:pPr>
      <w:r>
        <w:rPr>
          <w:sz w:val="22"/>
          <w:szCs w:val="22"/>
        </w:rPr>
        <w:t>recusar-se, sem justificativa, a assinar o contrato ou a ata de registro de preço, ou a aceitar ou retirar o instrumento equivalente no prazo estabelecido pela Administração;</w:t>
      </w:r>
    </w:p>
    <w:p>
      <w:pPr>
        <w:pStyle w:val="Nivel3"/>
        <w:numPr>
          <w:ilvl w:val="2"/>
          <w:numId w:val="5"/>
        </w:numPr>
        <w:spacing w:lineRule="auto" w:line="360" w:before="0" w:after="0"/>
        <w:ind w:hanging="0" w:left="1134"/>
        <w:rPr>
          <w:sz w:val="22"/>
          <w:szCs w:val="22"/>
        </w:rPr>
      </w:pPr>
      <w:bookmarkStart w:id="31" w:name="_Ref114668249"/>
      <w:r>
        <w:rPr>
          <w:sz w:val="22"/>
          <w:szCs w:val="22"/>
        </w:rPr>
        <w:t>apresentar declaração ou documentação falsa exigida para o certame ou prestar declaração falsa durante a licitação</w:t>
      </w:r>
      <w:bookmarkEnd w:id="31"/>
    </w:p>
    <w:p>
      <w:pPr>
        <w:pStyle w:val="Nivel3"/>
        <w:numPr>
          <w:ilvl w:val="2"/>
          <w:numId w:val="5"/>
        </w:numPr>
        <w:spacing w:lineRule="auto" w:line="360" w:before="0" w:after="0"/>
        <w:ind w:hanging="0" w:left="1134"/>
        <w:rPr>
          <w:sz w:val="22"/>
          <w:szCs w:val="22"/>
        </w:rPr>
      </w:pPr>
      <w:bookmarkStart w:id="32" w:name="_Ref114668245"/>
      <w:r>
        <w:rPr>
          <w:sz w:val="22"/>
          <w:szCs w:val="22"/>
        </w:rPr>
        <w:t>fraudar a licitação</w:t>
      </w:r>
      <w:bookmarkEnd w:id="32"/>
    </w:p>
    <w:p>
      <w:pPr>
        <w:pStyle w:val="Nivel3"/>
        <w:numPr>
          <w:ilvl w:val="2"/>
          <w:numId w:val="5"/>
        </w:numPr>
        <w:spacing w:lineRule="auto" w:line="360" w:before="0" w:after="0"/>
        <w:ind w:hanging="0" w:left="1134"/>
        <w:rPr>
          <w:sz w:val="22"/>
          <w:szCs w:val="22"/>
        </w:rPr>
      </w:pPr>
      <w:bookmarkStart w:id="33" w:name="_Ref114668247"/>
      <w:r>
        <w:rPr>
          <w:sz w:val="22"/>
          <w:szCs w:val="22"/>
        </w:rPr>
        <w:t>comportar-se de modo inidôneo ou cometer fraude de qualquer natureza, em especial quando:</w:t>
      </w:r>
      <w:bookmarkEnd w:id="33"/>
    </w:p>
    <w:p>
      <w:pPr>
        <w:pStyle w:val="Nivel4"/>
        <w:numPr>
          <w:ilvl w:val="3"/>
          <w:numId w:val="5"/>
        </w:numPr>
        <w:spacing w:lineRule="auto" w:line="360" w:before="0" w:after="0"/>
        <w:ind w:hanging="0" w:left="1134"/>
        <w:rPr>
          <w:sz w:val="22"/>
          <w:szCs w:val="22"/>
        </w:rPr>
      </w:pPr>
      <w:r>
        <w:rPr>
          <w:sz w:val="22"/>
          <w:szCs w:val="22"/>
        </w:rPr>
        <w:t xml:space="preserve">agir em conluio ou em desconformidade com a lei; </w:t>
      </w:r>
    </w:p>
    <w:p>
      <w:pPr>
        <w:pStyle w:val="Nivel4"/>
        <w:numPr>
          <w:ilvl w:val="3"/>
          <w:numId w:val="5"/>
        </w:numPr>
        <w:spacing w:lineRule="auto" w:line="360" w:before="0" w:after="0"/>
        <w:ind w:hanging="0" w:left="1134"/>
        <w:rPr>
          <w:sz w:val="22"/>
          <w:szCs w:val="22"/>
        </w:rPr>
      </w:pPr>
      <w:r>
        <w:rPr>
          <w:sz w:val="22"/>
          <w:szCs w:val="22"/>
        </w:rPr>
        <w:t xml:space="preserve">induzir deliberadamente a erro no julgamento; </w:t>
      </w:r>
    </w:p>
    <w:p>
      <w:pPr>
        <w:pStyle w:val="Nivel4"/>
        <w:numPr>
          <w:ilvl w:val="3"/>
          <w:numId w:val="5"/>
        </w:numPr>
        <w:spacing w:lineRule="auto" w:line="360" w:before="0" w:after="0"/>
        <w:ind w:hanging="0" w:left="1134"/>
        <w:rPr>
          <w:sz w:val="22"/>
          <w:szCs w:val="22"/>
        </w:rPr>
      </w:pPr>
      <w:r>
        <w:rPr>
          <w:sz w:val="22"/>
          <w:szCs w:val="22"/>
        </w:rPr>
        <w:t xml:space="preserve">apresentar amostra falsificada ou deteriorada; </w:t>
      </w:r>
    </w:p>
    <w:p>
      <w:pPr>
        <w:pStyle w:val="Nivel3"/>
        <w:numPr>
          <w:ilvl w:val="2"/>
          <w:numId w:val="5"/>
        </w:numPr>
        <w:spacing w:lineRule="auto" w:line="360" w:before="0" w:after="0"/>
        <w:ind w:hanging="0" w:left="1134"/>
        <w:rPr>
          <w:sz w:val="22"/>
          <w:szCs w:val="22"/>
        </w:rPr>
      </w:pPr>
      <w:bookmarkStart w:id="34" w:name="_Ref114668251"/>
      <w:r>
        <w:rPr>
          <w:sz w:val="22"/>
          <w:szCs w:val="22"/>
        </w:rPr>
        <w:t>praticar atos ilícitos com vistas a frustrar os objetivos da licitação</w:t>
      </w:r>
      <w:bookmarkEnd w:id="34"/>
    </w:p>
    <w:p>
      <w:pPr>
        <w:pStyle w:val="Nivel3"/>
        <w:numPr>
          <w:ilvl w:val="2"/>
          <w:numId w:val="5"/>
        </w:numPr>
        <w:spacing w:lineRule="auto" w:line="360" w:before="0" w:after="0"/>
        <w:ind w:hanging="0" w:left="1134"/>
        <w:rPr/>
      </w:pPr>
      <w:bookmarkStart w:id="35" w:name="_Ref114668252"/>
      <w:r>
        <w:rPr>
          <w:sz w:val="22"/>
          <w:szCs w:val="22"/>
        </w:rPr>
        <w:t xml:space="preserve">praticar ato lesivo previsto no </w:t>
      </w:r>
      <w:r>
        <w:fldChar w:fldCharType="begin"/>
      </w:r>
      <w:r>
        <w:rPr>
          <w:rStyle w:val="Hyperlink"/>
          <w:sz w:val="22"/>
          <w:szCs w:val="22"/>
          <w:color w:val="000000"/>
        </w:rPr>
        <w:instrText xml:space="preserve"> HYPERLINK "https://www.planalto.gov.br/ccivil_03/_ato2011-2014/2013/lei/l12846.htm" \l "art5"</w:instrText>
      </w:r>
      <w:r>
        <w:rPr>
          <w:rStyle w:val="Hyperlink"/>
          <w:sz w:val="22"/>
          <w:szCs w:val="22"/>
          <w:color w:val="000000"/>
        </w:rPr>
        <w:fldChar w:fldCharType="separate"/>
      </w:r>
      <w:r>
        <w:rPr>
          <w:rStyle w:val="Hyperlink"/>
          <w:color w:val="000000"/>
          <w:sz w:val="22"/>
          <w:szCs w:val="22"/>
        </w:rPr>
        <w:t>art. 5º da Lei n.º 12.846, de 2013</w:t>
      </w:r>
      <w:r>
        <w:rPr>
          <w:rStyle w:val="Hyperlink"/>
          <w:sz w:val="22"/>
          <w:szCs w:val="22"/>
          <w:color w:val="000000"/>
        </w:rPr>
        <w:fldChar w:fldCharType="end"/>
      </w:r>
      <w:r>
        <w:rPr>
          <w:sz w:val="22"/>
          <w:szCs w:val="22"/>
        </w:rPr>
        <w:t>.</w:t>
      </w:r>
      <w:bookmarkEnd w:id="35"/>
    </w:p>
    <w:p>
      <w:pPr>
        <w:pStyle w:val="Nivel2"/>
        <w:numPr>
          <w:ilvl w:val="1"/>
          <w:numId w:val="5"/>
        </w:numPr>
        <w:spacing w:lineRule="auto" w:line="360" w:before="0" w:after="0"/>
        <w:ind w:hanging="0" w:left="0"/>
        <w:rPr/>
      </w:pPr>
      <w:bookmarkStart w:id="36" w:name="_Hlk114652595"/>
      <w:bookmarkEnd w:id="36"/>
      <w:r>
        <w:rPr>
          <w:sz w:val="22"/>
          <w:szCs w:val="22"/>
        </w:rPr>
        <w:t xml:space="preserve">Com fulcro na </w:t>
      </w:r>
      <w:hyperlink r:id="rId15">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5"/>
        </w:numPr>
        <w:spacing w:lineRule="auto" w:line="360" w:before="0" w:after="0"/>
        <w:ind w:hanging="0" w:left="567"/>
        <w:rPr>
          <w:sz w:val="22"/>
          <w:szCs w:val="22"/>
        </w:rPr>
      </w:pPr>
      <w:r>
        <w:rPr>
          <w:sz w:val="22"/>
          <w:szCs w:val="22"/>
        </w:rPr>
        <w:t xml:space="preserve">advertência; </w:t>
      </w:r>
    </w:p>
    <w:p>
      <w:pPr>
        <w:pStyle w:val="Nivel3"/>
        <w:numPr>
          <w:ilvl w:val="2"/>
          <w:numId w:val="5"/>
        </w:numPr>
        <w:spacing w:lineRule="auto" w:line="360" w:before="0" w:after="0"/>
        <w:ind w:hanging="0" w:left="567"/>
        <w:rPr>
          <w:sz w:val="22"/>
          <w:szCs w:val="22"/>
        </w:rPr>
      </w:pPr>
      <w:r>
        <w:rPr>
          <w:sz w:val="22"/>
          <w:szCs w:val="22"/>
        </w:rPr>
        <w:t>multa;</w:t>
      </w:r>
    </w:p>
    <w:p>
      <w:pPr>
        <w:pStyle w:val="Nivel3"/>
        <w:numPr>
          <w:ilvl w:val="2"/>
          <w:numId w:val="5"/>
        </w:numPr>
        <w:spacing w:lineRule="auto" w:line="360" w:before="0" w:after="0"/>
        <w:ind w:hanging="0" w:left="567"/>
        <w:rPr>
          <w:sz w:val="22"/>
          <w:szCs w:val="22"/>
        </w:rPr>
      </w:pPr>
      <w:r>
        <w:rPr>
          <w:sz w:val="22"/>
          <w:szCs w:val="22"/>
        </w:rPr>
        <w:t>impedimento de licitar e contratar e</w:t>
      </w:r>
    </w:p>
    <w:p>
      <w:pPr>
        <w:pStyle w:val="Nivel3"/>
        <w:numPr>
          <w:ilvl w:val="2"/>
          <w:numId w:val="5"/>
        </w:numPr>
        <w:spacing w:lineRule="auto" w:line="360" w:before="0" w:after="0"/>
        <w:ind w:hanging="0" w:left="567"/>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5"/>
        </w:numPr>
        <w:spacing w:lineRule="auto" w:line="360" w:before="0" w:after="0"/>
        <w:ind w:hanging="0" w:left="0"/>
        <w:rPr>
          <w:sz w:val="22"/>
          <w:szCs w:val="22"/>
        </w:rPr>
      </w:pPr>
      <w:r>
        <w:rPr>
          <w:sz w:val="22"/>
          <w:szCs w:val="22"/>
        </w:rPr>
        <w:t>Na aplicação das sanções serão considerados:</w:t>
      </w:r>
    </w:p>
    <w:p>
      <w:pPr>
        <w:pStyle w:val="Nivel3"/>
        <w:numPr>
          <w:ilvl w:val="2"/>
          <w:numId w:val="5"/>
        </w:numPr>
        <w:spacing w:lineRule="auto" w:line="360" w:before="0" w:after="0"/>
        <w:ind w:hanging="0" w:left="567"/>
        <w:rPr>
          <w:sz w:val="22"/>
          <w:szCs w:val="22"/>
        </w:rPr>
      </w:pPr>
      <w:r>
        <w:rPr>
          <w:sz w:val="22"/>
          <w:szCs w:val="22"/>
        </w:rPr>
        <w:t>a natureza e a gravidade da infração cometida.</w:t>
      </w:r>
    </w:p>
    <w:p>
      <w:pPr>
        <w:pStyle w:val="Nivel3"/>
        <w:numPr>
          <w:ilvl w:val="2"/>
          <w:numId w:val="5"/>
        </w:numPr>
        <w:spacing w:lineRule="auto" w:line="360" w:before="0" w:after="0"/>
        <w:ind w:hanging="0" w:left="567"/>
        <w:rPr>
          <w:sz w:val="22"/>
          <w:szCs w:val="22"/>
        </w:rPr>
      </w:pPr>
      <w:r>
        <w:rPr>
          <w:sz w:val="22"/>
          <w:szCs w:val="22"/>
        </w:rPr>
        <w:t>as peculiaridades do caso concreto</w:t>
      </w:r>
    </w:p>
    <w:p>
      <w:pPr>
        <w:pStyle w:val="Nivel3"/>
        <w:numPr>
          <w:ilvl w:val="2"/>
          <w:numId w:val="5"/>
        </w:numPr>
        <w:spacing w:lineRule="auto" w:line="360" w:before="0" w:after="0"/>
        <w:ind w:hanging="0" w:left="567"/>
        <w:rPr>
          <w:sz w:val="22"/>
          <w:szCs w:val="22"/>
        </w:rPr>
      </w:pPr>
      <w:r>
        <w:rPr>
          <w:sz w:val="22"/>
          <w:szCs w:val="22"/>
        </w:rPr>
        <w:t>as circunstâncias agravantes ou atenuantes</w:t>
      </w:r>
    </w:p>
    <w:p>
      <w:pPr>
        <w:pStyle w:val="Nivel3"/>
        <w:numPr>
          <w:ilvl w:val="2"/>
          <w:numId w:val="5"/>
        </w:numPr>
        <w:spacing w:lineRule="auto" w:line="360" w:before="0" w:after="0"/>
        <w:ind w:hanging="0" w:left="567"/>
        <w:rPr>
          <w:sz w:val="22"/>
          <w:szCs w:val="22"/>
        </w:rPr>
      </w:pPr>
      <w:r>
        <w:rPr>
          <w:sz w:val="22"/>
          <w:szCs w:val="22"/>
        </w:rPr>
        <w:t>os danos que dela provierem para a Administração Pública</w:t>
      </w:r>
    </w:p>
    <w:p>
      <w:pPr>
        <w:pStyle w:val="Nivel3"/>
        <w:numPr>
          <w:ilvl w:val="2"/>
          <w:numId w:val="5"/>
        </w:numPr>
        <w:spacing w:lineRule="auto" w:line="360" w:before="0" w:after="0"/>
        <w:ind w:hanging="0" w:left="567"/>
        <w:rPr>
          <w:sz w:val="22"/>
          <w:szCs w:val="22"/>
        </w:rPr>
      </w:pPr>
      <w:r>
        <w:rPr>
          <w:sz w:val="22"/>
          <w:szCs w:val="22"/>
        </w:rPr>
        <w:t>a implantação ou o aperfeiçoamento de programa de integridade, conforme normas e orientações dos órgãos de controle.</w:t>
      </w:r>
    </w:p>
    <w:p>
      <w:pPr>
        <w:pStyle w:val="Nivel2"/>
        <w:numPr>
          <w:ilvl w:val="1"/>
          <w:numId w:val="5"/>
        </w:numPr>
        <w:spacing w:lineRule="auto" w:line="360" w:before="0" w:after="0"/>
        <w:ind w:hanging="0" w:left="0"/>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5"/>
        </w:numPr>
        <w:spacing w:lineRule="auto" w:line="360" w:before="0" w:after="0"/>
        <w:ind w:hanging="0" w:left="0"/>
        <w:rPr/>
      </w:pPr>
      <w:r>
        <w:rPr>
          <w:sz w:val="22"/>
          <w:szCs w:val="22"/>
        </w:rPr>
        <w:t xml:space="preserve">Para as infrações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pPr>
        <w:pStyle w:val="Nivel3"/>
        <w:numPr>
          <w:ilvl w:val="2"/>
          <w:numId w:val="5"/>
        </w:numPr>
        <w:spacing w:lineRule="auto" w:line="360" w:before="0" w:after="0"/>
        <w:ind w:hanging="0" w:left="0"/>
        <w:rPr/>
      </w:pPr>
      <w:bookmarkStart w:id="37" w:name="_Hlk113876035"/>
      <w:bookmarkEnd w:id="37"/>
      <w:r>
        <w:rPr>
          <w:sz w:val="22"/>
          <w:szCs w:val="22"/>
        </w:rPr>
        <w:t xml:space="preserve">Para as infrações previstas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pPr>
        <w:pStyle w:val="Nivel2"/>
        <w:numPr>
          <w:ilvl w:val="1"/>
          <w:numId w:val="5"/>
        </w:numPr>
        <w:spacing w:lineRule="auto" w:line="360" w:before="0" w:after="0"/>
        <w:ind w:hanging="0" w:left="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5"/>
        </w:numPr>
        <w:spacing w:lineRule="auto" w:line="360" w:before="0" w:after="0"/>
        <w:ind w:hanging="0" w:left="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5"/>
        </w:numPr>
        <w:spacing w:lineRule="auto" w:line="360" w:before="0" w:after="0"/>
        <w:ind w:hanging="0" w:left="0"/>
        <w:rPr/>
      </w:pPr>
      <w:bookmarkStart w:id="38" w:name="_Hlk159229867"/>
      <w:bookmarkEnd w:id="38"/>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5"/>
        </w:numPr>
        <w:spacing w:lineRule="auto" w:line="360" w:before="0" w:after="0"/>
        <w:ind w:hanging="0" w:left="0"/>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Hyperlink"/>
          <w:sz w:val="22"/>
          <w:szCs w:val="22"/>
          <w:color w:val="000000"/>
        </w:rPr>
        <w:instrText xml:space="preserve"> HYPERLINK "http://www.planalto.gov.br/ccivil_03/_ato2019-2022/2021/lei/L14133.htm" \l "art156%C2%A75"</w:instrText>
      </w:r>
      <w:r>
        <w:rPr>
          <w:rStyle w:val="Hyperlink"/>
          <w:sz w:val="22"/>
          <w:szCs w:val="22"/>
          <w:color w:val="000000"/>
        </w:rPr>
        <w:fldChar w:fldCharType="separate"/>
      </w:r>
      <w:r>
        <w:rPr>
          <w:rStyle w:val="Hyperlink"/>
          <w:color w:val="000000"/>
          <w:sz w:val="22"/>
          <w:szCs w:val="22"/>
        </w:rPr>
        <w:t>art. 156, §5º, da Lei n.º 14.133/2021</w:t>
      </w:r>
      <w:r>
        <w:rPr>
          <w:rStyle w:val="Hyperlink"/>
          <w:sz w:val="22"/>
          <w:szCs w:val="22"/>
          <w:color w:val="000000"/>
        </w:rPr>
        <w:fldChar w:fldCharType="end"/>
      </w:r>
      <w:r>
        <w:rPr>
          <w:sz w:val="22"/>
          <w:szCs w:val="22"/>
        </w:rPr>
        <w:t>.</w:t>
      </w:r>
    </w:p>
    <w:p>
      <w:pPr>
        <w:pStyle w:val="Nivel2"/>
        <w:numPr>
          <w:ilvl w:val="1"/>
          <w:numId w:val="5"/>
        </w:numPr>
        <w:spacing w:lineRule="auto" w:line="360" w:before="0" w:after="0"/>
        <w:ind w:hanging="0" w:left="0"/>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6">
        <w:r>
          <w:rPr>
            <w:rStyle w:val="Hyperlink"/>
            <w:color w:val="000000"/>
            <w:sz w:val="22"/>
            <w:szCs w:val="22"/>
          </w:rPr>
          <w:t>art. 45, §4º da IN SEGES/ME n.º 73, de 2022</w:t>
        </w:r>
      </w:hyperlink>
      <w:r>
        <w:rPr>
          <w:sz w:val="22"/>
          <w:szCs w:val="22"/>
        </w:rPr>
        <w:t xml:space="preserve">. </w:t>
      </w:r>
    </w:p>
    <w:p>
      <w:pPr>
        <w:pStyle w:val="Nivel2"/>
        <w:numPr>
          <w:ilvl w:val="1"/>
          <w:numId w:val="5"/>
        </w:numPr>
        <w:spacing w:lineRule="auto" w:line="360" w:before="0" w:after="0"/>
        <w:ind w:hanging="0" w:left="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5"/>
        </w:numPr>
        <w:spacing w:lineRule="auto" w:line="360" w:before="0" w:after="0"/>
        <w:ind w:hanging="0" w:left="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5"/>
        </w:numPr>
        <w:spacing w:lineRule="auto" w:line="360" w:before="0" w:after="0"/>
        <w:ind w:hanging="0" w:left="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5"/>
        </w:numPr>
        <w:spacing w:lineRule="auto" w:line="360" w:before="0" w:after="0"/>
        <w:ind w:hanging="0" w:left="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5"/>
        </w:numPr>
        <w:spacing w:lineRule="auto" w:line="360" w:before="0" w:after="0"/>
        <w:ind w:hanging="0" w:left="0"/>
        <w:rPr>
          <w:sz w:val="22"/>
          <w:szCs w:val="22"/>
        </w:rPr>
      </w:pPr>
      <w:r>
        <w:rPr>
          <w:sz w:val="22"/>
          <w:szCs w:val="22"/>
        </w:rPr>
        <w:t>A aplicação das sanções previstas neste edital não exclui, em hipótese alguma, a obrigação de reparação integral dos danos causados.</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13 - DA IMPUGNAÇÃO AO EDITAL E DO PEDIDO DE ESCLARECIMENTO</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hanging="0" w:left="0"/>
        <w:rPr/>
      </w:pPr>
      <w:r>
        <w:rPr>
          <w:sz w:val="22"/>
          <w:szCs w:val="22"/>
        </w:rPr>
        <w:t xml:space="preserve">Qualquer pessoa é parte legítima para impugnar este Edital por irregularidade na aplicação da </w:t>
      </w:r>
      <w:hyperlink r:id="rId17">
        <w:r>
          <w:rPr>
            <w:rStyle w:val="Hyperlink"/>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5"/>
        </w:numPr>
        <w:spacing w:lineRule="auto" w:line="360" w:before="0" w:after="0"/>
        <w:ind w:hanging="0" w:left="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5"/>
        </w:numPr>
        <w:spacing w:lineRule="auto" w:line="360" w:before="0" w:after="0"/>
        <w:ind w:hanging="0" w:left="0"/>
        <w:rPr>
          <w:sz w:val="22"/>
          <w:szCs w:val="22"/>
        </w:rPr>
      </w:pPr>
      <w:r>
        <w:rPr>
          <w:sz w:val="22"/>
          <w:szCs w:val="22"/>
        </w:rPr>
        <w:t xml:space="preserve">A impugnação e o pedido de esclarecimento poderão ser realizados por forma eletrônica, através do sistema da BBMnet ou e-mail; </w:t>
      </w:r>
      <w:hyperlink r:id="rId18">
        <w:r>
          <w:rPr>
            <w:rStyle w:val="Hyperlink"/>
            <w:sz w:val="22"/>
            <w:szCs w:val="22"/>
          </w:rPr>
          <w:t>licitacoes@licitacoes.itatiba.sp.gov.br</w:t>
        </w:r>
      </w:hyperlink>
      <w:r>
        <w:rPr>
          <w:sz w:val="22"/>
          <w:szCs w:val="22"/>
        </w:rPr>
        <w:t>.</w:t>
      </w:r>
    </w:p>
    <w:p>
      <w:pPr>
        <w:pStyle w:val="Nivel2"/>
        <w:numPr>
          <w:ilvl w:val="1"/>
          <w:numId w:val="5"/>
        </w:numPr>
        <w:spacing w:lineRule="auto" w:line="360" w:before="0" w:after="0"/>
        <w:ind w:hanging="0" w:left="0"/>
        <w:rPr>
          <w:sz w:val="22"/>
          <w:szCs w:val="22"/>
        </w:rPr>
      </w:pPr>
      <w:r>
        <w:rPr>
          <w:sz w:val="22"/>
          <w:szCs w:val="22"/>
        </w:rPr>
        <w:t>As impugnações e pedidos de esclarecimentos não suspendem os prazos previstos no certame.</w:t>
      </w:r>
    </w:p>
    <w:p>
      <w:pPr>
        <w:pStyle w:val="Nivel3"/>
        <w:numPr>
          <w:ilvl w:val="2"/>
          <w:numId w:val="5"/>
        </w:numPr>
        <w:spacing w:lineRule="auto" w:line="360" w:before="0" w:after="0"/>
        <w:ind w:hanging="0" w:left="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5"/>
        </w:numPr>
        <w:spacing w:lineRule="auto" w:line="360" w:before="0" w:after="0"/>
        <w:ind w:hanging="0" w:left="0"/>
        <w:rPr>
          <w:sz w:val="22"/>
          <w:szCs w:val="22"/>
        </w:rPr>
      </w:pPr>
      <w:r>
        <w:rPr>
          <w:sz w:val="22"/>
          <w:szCs w:val="22"/>
        </w:rPr>
        <w:t>Acolhida a impugnação, será definida e publicada nova data para a realização do certame.</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14 - DAS DISPOSIÇÕES GERAIS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hanging="600" w:left="600"/>
        <w:rPr>
          <w:sz w:val="22"/>
          <w:szCs w:val="22"/>
        </w:rPr>
      </w:pPr>
      <w:r>
        <w:rPr>
          <w:sz w:val="22"/>
          <w:szCs w:val="22"/>
        </w:rPr>
        <w:t>Será divulgada ata da sessão pública no sistema eletrônico.</w:t>
      </w:r>
    </w:p>
    <w:p>
      <w:pPr>
        <w:pStyle w:val="Nivel2"/>
        <w:numPr>
          <w:ilvl w:val="1"/>
          <w:numId w:val="5"/>
        </w:numPr>
        <w:spacing w:lineRule="auto" w:line="360" w:before="0" w:after="0"/>
        <w:ind w:hanging="0" w:left="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5"/>
        </w:numPr>
        <w:spacing w:lineRule="auto" w:line="360" w:before="0" w:after="0"/>
        <w:ind w:hanging="0" w:left="0"/>
        <w:rPr>
          <w:sz w:val="22"/>
          <w:szCs w:val="22"/>
        </w:rPr>
      </w:pPr>
      <w:r>
        <w:rPr>
          <w:sz w:val="22"/>
          <w:szCs w:val="22"/>
        </w:rPr>
        <w:t>Todas as referências de tempo no Edital, no aviso e durante a sessão pública observarão o horário de Brasília - DF.</w:t>
      </w:r>
    </w:p>
    <w:p>
      <w:pPr>
        <w:pStyle w:val="Nivel2"/>
        <w:numPr>
          <w:ilvl w:val="1"/>
          <w:numId w:val="5"/>
        </w:numPr>
        <w:spacing w:lineRule="auto" w:line="360" w:before="0" w:after="0"/>
        <w:ind w:hanging="0" w:left="0"/>
        <w:rPr>
          <w:sz w:val="22"/>
          <w:szCs w:val="22"/>
        </w:rPr>
      </w:pPr>
      <w:r>
        <w:rPr>
          <w:sz w:val="22"/>
          <w:szCs w:val="22"/>
        </w:rPr>
        <w:t>A homologação do resultado desta licitação não implicará direito à contratação.</w:t>
      </w:r>
    </w:p>
    <w:p>
      <w:pPr>
        <w:pStyle w:val="Nivel2"/>
        <w:numPr>
          <w:ilvl w:val="1"/>
          <w:numId w:val="5"/>
        </w:numPr>
        <w:spacing w:lineRule="auto" w:line="360" w:before="0" w:after="0"/>
        <w:ind w:hanging="0" w:left="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5"/>
        </w:numPr>
        <w:spacing w:lineRule="auto" w:line="360" w:before="0" w:after="0"/>
        <w:ind w:hanging="0" w:left="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5"/>
        </w:numPr>
        <w:spacing w:lineRule="auto" w:line="360" w:before="0" w:after="0"/>
        <w:ind w:hanging="0" w:left="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5"/>
        </w:numPr>
        <w:spacing w:lineRule="auto" w:line="360" w:before="0" w:after="0"/>
        <w:ind w:hanging="0" w:left="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5"/>
        </w:numPr>
        <w:spacing w:lineRule="auto" w:line="360" w:before="0" w:after="0"/>
        <w:ind w:hanging="0" w:left="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5"/>
        </w:numPr>
        <w:spacing w:lineRule="auto" w:line="360" w:before="0" w:after="0"/>
        <w:ind w:hanging="0" w:left="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5"/>
        </w:numPr>
        <w:spacing w:lineRule="auto" w:line="360" w:before="0" w:after="0"/>
        <w:ind w:hanging="0" w:left="0"/>
        <w:rPr>
          <w:sz w:val="22"/>
          <w:szCs w:val="22"/>
        </w:rPr>
      </w:pPr>
      <w:r>
        <w:rPr>
          <w:sz w:val="22"/>
          <w:szCs w:val="22"/>
        </w:rPr>
        <w:t>Integram este Edital, para todos os fins e efeitos, os seguintes anexos:</w:t>
      </w:r>
    </w:p>
    <w:p>
      <w:pPr>
        <w:pStyle w:val="Nivel3"/>
        <w:numPr>
          <w:ilvl w:val="2"/>
          <w:numId w:val="5"/>
        </w:numPr>
        <w:spacing w:lineRule="auto" w:line="360" w:before="0" w:after="0"/>
        <w:ind w:hanging="0" w:left="567"/>
        <w:rPr>
          <w:sz w:val="22"/>
          <w:szCs w:val="22"/>
        </w:rPr>
      </w:pPr>
      <w:r>
        <w:rPr>
          <w:sz w:val="22"/>
          <w:szCs w:val="22"/>
        </w:rPr>
        <w:t>ANEXO I - Termo de Referência</w:t>
      </w:r>
    </w:p>
    <w:p>
      <w:pPr>
        <w:pStyle w:val="Nivel3"/>
        <w:numPr>
          <w:ilvl w:val="2"/>
          <w:numId w:val="5"/>
        </w:numPr>
        <w:spacing w:lineRule="auto" w:line="360" w:before="0" w:after="0"/>
        <w:ind w:hanging="0" w:left="567" w:right="-54"/>
        <w:rPr>
          <w:sz w:val="22"/>
          <w:szCs w:val="22"/>
        </w:rPr>
      </w:pPr>
      <w:r>
        <w:rPr>
          <w:sz w:val="22"/>
          <w:szCs w:val="22"/>
        </w:rPr>
        <w:t>ANEXO II – Modelo de Procuração</w:t>
      </w:r>
    </w:p>
    <w:p>
      <w:pPr>
        <w:pStyle w:val="Nivel3"/>
        <w:numPr>
          <w:ilvl w:val="2"/>
          <w:numId w:val="5"/>
        </w:numPr>
        <w:spacing w:lineRule="auto" w:line="360" w:before="0" w:after="0"/>
        <w:ind w:hanging="0" w:left="567" w:right="-54"/>
        <w:rPr>
          <w:sz w:val="22"/>
          <w:szCs w:val="22"/>
        </w:rPr>
      </w:pPr>
      <w:r>
        <w:rPr>
          <w:sz w:val="22"/>
          <w:szCs w:val="22"/>
        </w:rPr>
        <w:t>ANEXO III – Declaração assegurando a inexistência de impedimento legal para licitar ou contratar com a Administração</w:t>
      </w:r>
    </w:p>
    <w:p>
      <w:pPr>
        <w:pStyle w:val="Nivel3"/>
        <w:numPr>
          <w:ilvl w:val="2"/>
          <w:numId w:val="5"/>
        </w:numPr>
        <w:spacing w:lineRule="auto" w:line="360" w:before="0" w:after="0"/>
        <w:ind w:hanging="0" w:left="567" w:right="-54"/>
        <w:rPr>
          <w:sz w:val="22"/>
          <w:szCs w:val="22"/>
        </w:rPr>
      </w:pPr>
      <w:r>
        <w:rPr>
          <w:sz w:val="22"/>
          <w:szCs w:val="22"/>
        </w:rPr>
        <w:t>ANEXO IV – Modelo de Declaração de qualificação microempresa ou empresa de pequeno porte</w:t>
      </w:r>
    </w:p>
    <w:p>
      <w:pPr>
        <w:pStyle w:val="Nivel3"/>
        <w:numPr>
          <w:ilvl w:val="2"/>
          <w:numId w:val="5"/>
        </w:numPr>
        <w:spacing w:lineRule="auto" w:line="360" w:before="0" w:after="0"/>
        <w:ind w:hanging="0" w:left="567"/>
        <w:rPr>
          <w:sz w:val="22"/>
          <w:szCs w:val="22"/>
        </w:rPr>
      </w:pPr>
      <w:r>
        <w:rPr>
          <w:sz w:val="22"/>
          <w:szCs w:val="22"/>
        </w:rPr>
        <w:t>ANEXO V – Modelo de Proposta</w:t>
      </w:r>
    </w:p>
    <w:p>
      <w:pPr>
        <w:pStyle w:val="Nivel3"/>
        <w:numPr>
          <w:ilvl w:val="2"/>
          <w:numId w:val="5"/>
        </w:numPr>
        <w:spacing w:lineRule="auto" w:line="360" w:before="0" w:after="0"/>
        <w:ind w:hanging="0" w:left="567"/>
        <w:rPr>
          <w:sz w:val="22"/>
          <w:szCs w:val="22"/>
        </w:rPr>
      </w:pPr>
      <w:r>
        <w:rPr>
          <w:sz w:val="22"/>
          <w:szCs w:val="22"/>
        </w:rPr>
        <w:t>ANEXO VI - Minuta de Ata de Registro de Preços</w:t>
      </w:r>
    </w:p>
    <w:p>
      <w:pPr>
        <w:pStyle w:val="Nivel3"/>
        <w:numPr>
          <w:ilvl w:val="2"/>
          <w:numId w:val="5"/>
        </w:numPr>
        <w:spacing w:lineRule="auto" w:line="360" w:before="0" w:after="0"/>
        <w:ind w:hanging="0" w:left="567"/>
        <w:rPr>
          <w:sz w:val="22"/>
          <w:szCs w:val="22"/>
        </w:rPr>
      </w:pPr>
      <w:r>
        <w:rPr>
          <w:sz w:val="22"/>
          <w:szCs w:val="22"/>
        </w:rPr>
        <w:t>ANEXO VII – Minuta de Autorização de Fornecimento.</w:t>
      </w:r>
    </w:p>
    <w:p>
      <w:pPr>
        <w:pStyle w:val="Nivel3"/>
        <w:tabs>
          <w:tab w:val="clear" w:pos="0"/>
        </w:tabs>
        <w:spacing w:lineRule="auto" w:line="360" w:before="0" w:after="0"/>
        <w:ind w:hanging="0" w:left="567"/>
        <w:rPr>
          <w:sz w:val="22"/>
          <w:szCs w:val="22"/>
        </w:rPr>
      </w:pPr>
      <w:r>
        <w:rPr>
          <w:sz w:val="22"/>
          <w:szCs w:val="22"/>
        </w:rPr>
      </w:r>
    </w:p>
    <w:p>
      <w:pPr>
        <w:pStyle w:val="Normal"/>
        <w:spacing w:lineRule="auto" w:line="360"/>
        <w:rPr/>
      </w:pPr>
      <w:r>
        <w:rPr>
          <w:rFonts w:eastAsia="MS Mincho;ＭＳ 明朝" w:cs="Arial" w:ascii="Arial" w:hAnsi="Arial"/>
          <w:sz w:val="22"/>
          <w:szCs w:val="22"/>
        </w:rPr>
        <w:t xml:space="preserve">Itatiba, </w:t>
      </w:r>
      <w:r>
        <w:rPr>
          <w:rFonts w:eastAsia="MS Mincho;ＭＳ 明朝" w:cs="Arial" w:ascii="Arial" w:hAnsi="Arial"/>
          <w:sz w:val="22"/>
          <w:szCs w:val="22"/>
        </w:rPr>
        <w:t>04</w:t>
      </w:r>
      <w:r>
        <w:rPr>
          <w:rFonts w:eastAsia="MS Mincho;ＭＳ 明朝" w:cs="Arial" w:ascii="Arial" w:hAnsi="Arial"/>
          <w:sz w:val="22"/>
          <w:szCs w:val="22"/>
        </w:rPr>
        <w:t xml:space="preserve"> de </w:t>
      </w:r>
      <w:r>
        <w:rPr>
          <w:rFonts w:eastAsia="MS Mincho;ＭＳ 明朝" w:cs="Arial" w:ascii="Arial" w:hAnsi="Arial"/>
          <w:sz w:val="22"/>
          <w:szCs w:val="22"/>
        </w:rPr>
        <w:t>junho</w:t>
      </w:r>
      <w:r>
        <w:rPr>
          <w:rFonts w:eastAsia="MS Mincho;ＭＳ 明朝" w:cs="Arial" w:ascii="Arial" w:hAnsi="Arial"/>
          <w:sz w:val="22"/>
          <w:szCs w:val="22"/>
        </w:rPr>
        <w:t xml:space="preserve"> de 2025.</w:t>
      </w:r>
    </w:p>
    <w:p>
      <w:pPr>
        <w:pStyle w:val="Normal"/>
        <w:jc w:val="center"/>
        <w:rPr>
          <w:rFonts w:ascii="Arial" w:hAnsi="Arial"/>
          <w:b/>
          <w:bCs/>
          <w:sz w:val="22"/>
          <w:szCs w:val="22"/>
        </w:rPr>
      </w:pPr>
      <w:r>
        <w:rPr>
          <w:rFonts w:ascii="Arial" w:hAnsi="Arial"/>
          <w:b/>
          <w:bCs/>
          <w:sz w:val="22"/>
          <w:szCs w:val="22"/>
        </w:rPr>
      </w:r>
      <w:bookmarkStart w:id="39" w:name="_Hlk82473550"/>
      <w:bookmarkStart w:id="40" w:name="_Hlk82473550"/>
      <w:bookmarkEnd w:id="40"/>
    </w:p>
    <w:p>
      <w:pPr>
        <w:pStyle w:val="Normal"/>
        <w:jc w:val="center"/>
        <w:rPr>
          <w:rFonts w:ascii="Arial" w:hAnsi="Arial"/>
          <w:b/>
          <w:bCs/>
          <w:sz w:val="22"/>
          <w:szCs w:val="22"/>
        </w:rPr>
      </w:pPr>
      <w:r>
        <w:rPr>
          <w:rFonts w:ascii="Arial" w:hAnsi="Arial"/>
          <w:b/>
          <w:bCs/>
          <w:sz w:val="22"/>
          <w:szCs w:val="22"/>
        </w:rPr>
      </w:r>
    </w:p>
    <w:p>
      <w:pPr>
        <w:pStyle w:val="Normal"/>
        <w:jc w:val="center"/>
        <w:rPr>
          <w:rFonts w:ascii="Arial" w:hAnsi="Arial"/>
          <w:b/>
          <w:bCs/>
          <w:sz w:val="22"/>
          <w:szCs w:val="22"/>
        </w:rPr>
      </w:pPr>
      <w:r>
        <w:rPr>
          <w:rFonts w:ascii="Arial" w:hAnsi="Arial"/>
          <w:b/>
          <w:bCs/>
          <w:sz w:val="22"/>
          <w:szCs w:val="22"/>
        </w:rPr>
      </w:r>
    </w:p>
    <w:p>
      <w:pPr>
        <w:pStyle w:val="Normal"/>
        <w:jc w:val="center"/>
        <w:rPr>
          <w:rFonts w:ascii="Arial" w:hAnsi="Arial"/>
          <w:b/>
          <w:bCs/>
          <w:sz w:val="22"/>
          <w:szCs w:val="22"/>
        </w:rPr>
      </w:pPr>
      <w:r>
        <w:rPr>
          <w:rFonts w:ascii="Arial" w:hAnsi="Arial"/>
          <w:b/>
          <w:bCs/>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t>CLAUDIA REGINA SWENSON</w:t>
      </w:r>
    </w:p>
    <w:p>
      <w:pPr>
        <w:pStyle w:val="Normal"/>
        <w:spacing w:lineRule="auto" w:line="360"/>
        <w:jc w:val="center"/>
        <w:rPr>
          <w:rFonts w:ascii="Arial" w:hAnsi="Arial" w:cs="Arial"/>
          <w:b/>
          <w:bCs/>
          <w:sz w:val="22"/>
          <w:szCs w:val="22"/>
        </w:rPr>
      </w:pPr>
      <w:r>
        <w:rPr>
          <w:rFonts w:cs="Arial" w:ascii="Arial" w:hAnsi="Arial"/>
          <w:b/>
          <w:bCs/>
          <w:sz w:val="22"/>
          <w:szCs w:val="22"/>
        </w:rPr>
        <w:t>Secretária Municipal de Saúde</w:t>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pPr>
      <w:r>
        <w:rPr>
          <w:rFonts w:cs="Arial" w:ascii="Arial" w:hAnsi="Arial"/>
          <w:b/>
          <w:bCs/>
          <w:sz w:val="22"/>
          <w:szCs w:val="22"/>
        </w:rPr>
        <w:t>PREFEITURA DO MUNICÍPIO DE ITATIBA</w:t>
      </w:r>
    </w:p>
    <w:p>
      <w:pPr>
        <w:pStyle w:val="Normal"/>
        <w:spacing w:lineRule="auto" w:line="360"/>
        <w:ind w:right="-57"/>
        <w:jc w:val="both"/>
        <w:rPr/>
      </w:pPr>
      <w:r>
        <w:rPr>
          <w:rFonts w:cs="Arial" w:ascii="Arial" w:hAnsi="Arial"/>
          <w:b/>
          <w:bCs/>
          <w:sz w:val="22"/>
          <w:szCs w:val="22"/>
        </w:rPr>
        <w:t xml:space="preserve">PREGÃO ELETRÔNICO </w:t>
      </w:r>
      <w:r>
        <w:rPr>
          <w:rFonts w:cs="Arial" w:ascii="Arial" w:hAnsi="Arial"/>
          <w:b/>
          <w:bCs/>
          <w:sz w:val="22"/>
          <w:szCs w:val="22"/>
        </w:rPr>
        <w:t>30</w:t>
      </w:r>
      <w:r>
        <w:rPr>
          <w:rFonts w:cs="Arial" w:ascii="Arial" w:hAnsi="Arial"/>
          <w:b/>
          <w:bCs/>
          <w:sz w:val="22"/>
          <w:szCs w:val="22"/>
        </w:rPr>
        <w:t>/2025</w:t>
      </w:r>
    </w:p>
    <w:p>
      <w:pPr>
        <w:pStyle w:val="Normal"/>
        <w:spacing w:lineRule="auto" w:line="360"/>
        <w:ind w:right="-57"/>
        <w:jc w:val="both"/>
        <w:rPr/>
      </w:pPr>
      <w:r>
        <w:rPr>
          <w:rFonts w:cs="Arial" w:ascii="Arial" w:hAnsi="Arial"/>
          <w:b/>
          <w:bCs/>
          <w:sz w:val="22"/>
          <w:szCs w:val="22"/>
        </w:rPr>
        <w:t xml:space="preserve">EDITAL Nº </w:t>
      </w:r>
      <w:r>
        <w:rPr>
          <w:rFonts w:cs="Arial" w:ascii="Arial" w:hAnsi="Arial"/>
          <w:b/>
          <w:bCs/>
          <w:sz w:val="22"/>
          <w:szCs w:val="22"/>
        </w:rPr>
        <w:t>39</w:t>
      </w:r>
      <w:r>
        <w:rPr>
          <w:rFonts w:cs="Arial" w:ascii="Arial" w:hAnsi="Arial"/>
          <w:b/>
          <w:bCs/>
          <w:sz w:val="22"/>
          <w:szCs w:val="22"/>
        </w:rPr>
        <w:t>/2025</w:t>
      </w:r>
    </w:p>
    <w:p>
      <w:pPr>
        <w:pStyle w:val="Normal"/>
        <w:spacing w:lineRule="auto" w:line="360"/>
        <w:ind w:right="-57"/>
        <w:jc w:val="both"/>
        <w:rPr/>
      </w:pPr>
      <w:r>
        <w:rPr>
          <w:rFonts w:cs="Arial" w:ascii="Arial" w:hAnsi="Arial"/>
          <w:b/>
          <w:bCs/>
          <w:sz w:val="22"/>
          <w:szCs w:val="22"/>
        </w:rPr>
        <w:t>Processo nº 3.614/2025</w:t>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t>TERMO DE REFERÊNCIA</w:t>
      </w:r>
    </w:p>
    <w:p>
      <w:pPr>
        <w:pStyle w:val="Normal"/>
        <w:spacing w:lineRule="auto" w:line="360"/>
        <w:ind w:right="-54"/>
        <w:rPr>
          <w:rFonts w:ascii="Arial" w:hAnsi="Arial" w:cs="Arial"/>
          <w:b/>
          <w:sz w:val="22"/>
          <w:szCs w:val="22"/>
          <w:u w:val="single"/>
        </w:rPr>
      </w:pPr>
      <w:r>
        <w:rPr>
          <w:rFonts w:cs="Arial" w:ascii="Arial" w:hAnsi="Arial"/>
          <w:b/>
          <w:sz w:val="22"/>
          <w:szCs w:val="22"/>
          <w:u w:val="single"/>
        </w:rPr>
      </w:r>
    </w:p>
    <w:p>
      <w:pPr>
        <w:pStyle w:val="Nivel01"/>
        <w:numPr>
          <w:ilvl w:val="0"/>
          <w:numId w:val="3"/>
        </w:numPr>
        <w:spacing w:lineRule="auto" w:line="360" w:before="0" w:after="0"/>
        <w:ind w:hanging="0" w:left="0"/>
        <w:rPr>
          <w:sz w:val="22"/>
          <w:szCs w:val="22"/>
        </w:rPr>
      </w:pPr>
      <w:r>
        <w:rPr>
          <w:sz w:val="22"/>
          <w:szCs w:val="22"/>
        </w:rPr>
        <w:t>- CONDIÇÕES GERAIS DA CONTRATAÇÃO</w:t>
      </w:r>
    </w:p>
    <w:p>
      <w:pPr>
        <w:pStyle w:val="Nivel2"/>
        <w:numPr>
          <w:ilvl w:val="0"/>
          <w:numId w:val="0"/>
        </w:numPr>
        <w:spacing w:lineRule="auto" w:line="360" w:before="120" w:after="288"/>
        <w:ind w:hanging="0" w:left="0"/>
        <w:rPr>
          <w:bCs/>
          <w:sz w:val="22"/>
          <w:szCs w:val="22"/>
        </w:rPr>
      </w:pPr>
      <w:r>
        <w:rPr>
          <w:b/>
          <w:sz w:val="22"/>
          <w:szCs w:val="22"/>
        </w:rPr>
        <w:t xml:space="preserve">1.1 - </w:t>
      </w:r>
      <w:r>
        <w:rPr>
          <w:bCs/>
          <w:sz w:val="22"/>
          <w:szCs w:val="22"/>
        </w:rPr>
        <w:t>Constitui objeto deste Termo de Referência o Registro de Preços com vistas à eventual aquisição de materiais para curativo, de acordo com as especificações, quantitativos máximos e condições mínimas abaixo apresentadas:</w:t>
      </w:r>
    </w:p>
    <w:p>
      <w:pPr>
        <w:pStyle w:val="Nivel01"/>
        <w:spacing w:lineRule="auto" w:line="276"/>
        <w:ind w:hanging="0" w:left="360"/>
        <w:jc w:val="center"/>
        <w:rPr>
          <w:sz w:val="22"/>
          <w:szCs w:val="22"/>
        </w:rPr>
      </w:pPr>
      <w:r>
        <w:rPr>
          <w:sz w:val="22"/>
          <w:szCs w:val="22"/>
        </w:rPr>
        <w:t>COTA PRINCIPAL - AMPLA PARTICIPAÇÃO</w:t>
      </w:r>
    </w:p>
    <w:p>
      <w:pPr>
        <w:pStyle w:val="Normal"/>
        <w:rPr/>
      </w:pPr>
      <w:r>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112"/>
        <w:gridCol w:w="992"/>
        <w:gridCol w:w="1133"/>
        <w:gridCol w:w="284"/>
        <w:gridCol w:w="1276"/>
        <w:gridCol w:w="1134"/>
      </w:tblGrid>
      <w:tr>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411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1.06.05.0488-7 - CURATIVO DE HIDROFIBRA COM ALGINATO DE CÁLCIO E PRATA LÔNICA - TAMANHO 10X10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67,19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15.117,75</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CURATIVO DE HIDROFIBRA COM ALGINATO DE CÁLCIO E PRATA LÔNICA - TAMANHO 10X10 CM</w:t>
            </w:r>
          </w:p>
          <w:p>
            <w:pPr>
              <w:pStyle w:val="Normal"/>
              <w:widowControl w:val="false"/>
              <w:pBdr/>
              <w:jc w:val="both"/>
              <w:rPr>
                <w:rFonts w:ascii="Arial" w:hAnsi="Arial" w:cs="Arial"/>
                <w:sz w:val="18"/>
                <w:szCs w:val="18"/>
              </w:rPr>
            </w:pPr>
            <w:r>
              <w:rPr>
                <w:rFonts w:cs="Arial" w:ascii="Arial" w:hAnsi="Arial"/>
                <w:sz w:val="18"/>
                <w:szCs w:val="18"/>
              </w:rPr>
              <w:t>Curativo de Hidrofibra com Alginato de Cálcio e Prata Iônica: Cobertura de Hidrofibra com alta capacidade de absorção, antimicrobiana, estéril, constituída por alginato de cálcio, carboximetilcelulose sódica (CMC) e por 0,6% de Prata Iônica. Sem adição de sódio. Com certificado de boas práticas de fabricação, embaladas individualmente contendo dados de identificação do produto, n. lote, validade e n. do registro de hidrofibra no Ministério da Saúde e Anvisa. Tamanho 10x10cm.</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PADRÃO DE QUALIDADE SIMILAR, OU SUPERIOR QUE O PRODUTO DA MARCA COLOPLAST</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1.06.05.0489-5 - HIDROGEL COM PHMB E PECTINA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TB</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74,50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1.117,50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HIDROGEL COM PHMB E PECTINA. Hidrogel de alta viscosidade composto minimamente por poliaminopropil biguanida (phmb), pectina e hidroxietilcelulose. Indicado principalmente para feridas contaminadas e crônicas. Tampa flip top. O produto deverá ter registro como produto médico para saúde, classe de risco IV, apresentando Boas Práticas de Fabricação. Bisnaga de 30g.</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PADRÃO DE QUALIDADE SIMILAR, OU SUPERIOR QUE O PRODUTO DA MARCA CURATEC OU HELIANTO</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1.06.05.0495-0 - BOTA DE UNNA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52,80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39.600,00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BOTA DE UNNA </w:t>
            </w:r>
          </w:p>
          <w:p>
            <w:pPr>
              <w:pStyle w:val="Normal"/>
              <w:widowControl w:val="false"/>
              <w:pBdr/>
              <w:jc w:val="both"/>
              <w:rPr>
                <w:rFonts w:ascii="Arial" w:hAnsi="Arial" w:cs="Arial"/>
                <w:sz w:val="18"/>
                <w:szCs w:val="18"/>
              </w:rPr>
            </w:pPr>
            <w:r>
              <w:rPr>
                <w:rFonts w:cs="Arial" w:ascii="Arial" w:hAnsi="Arial"/>
                <w:sz w:val="18"/>
                <w:szCs w:val="18"/>
              </w:rPr>
              <w:t>Bandagem inelástica impregnada com pasta contendo óxido de zinco,glicerol, óleo de rícino, água deionizada e goma acácia, embalada individualmente em envelope PET/PE , registro na ANVISA como correlato classe de risco III (produtos destinados a ser usados principalmente em feridas que tenham produzido ruptura da derme e que somente podem cicatrizar por segunda intenção). Tamanho: 10,2 cm x 9,14 m. Deverá possuir certificado de boas práticas de fabricação , registro na Anvisa e MS e serem  embaladas individualmente.</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PADRÃO DE QUALIDADE SIMILAR, OU SUPERIOR QUE O PRODUTO DA MARCA HELIANTO</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1.06.05.0496-8 - SOLUÇÃO DE PHMB 0,2%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157,73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7.097,85</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SOLUÇÃO DE PHMB 0,2%</w:t>
            </w:r>
          </w:p>
          <w:p>
            <w:pPr>
              <w:pStyle w:val="Normal"/>
              <w:widowControl w:val="false"/>
              <w:pBdr/>
              <w:jc w:val="both"/>
              <w:rPr>
                <w:rFonts w:ascii="Arial" w:hAnsi="Arial" w:cs="Arial"/>
                <w:sz w:val="18"/>
                <w:szCs w:val="18"/>
              </w:rPr>
            </w:pPr>
            <w:r>
              <w:rPr>
                <w:rFonts w:cs="Arial" w:ascii="Arial" w:hAnsi="Arial"/>
                <w:sz w:val="18"/>
                <w:szCs w:val="18"/>
              </w:rPr>
              <w:t xml:space="preserve">Solução composta de Água Purificada, Derivado Betaínico e Poliaminopropil Biguanida (PHMB) 0,2%. </w:t>
            </w:r>
          </w:p>
          <w:p>
            <w:pPr>
              <w:pStyle w:val="Normal"/>
              <w:widowControl w:val="false"/>
              <w:pBdr/>
              <w:jc w:val="both"/>
              <w:rPr>
                <w:rFonts w:ascii="Arial" w:hAnsi="Arial" w:cs="Arial"/>
                <w:sz w:val="18"/>
                <w:szCs w:val="18"/>
              </w:rPr>
            </w:pPr>
            <w:r>
              <w:rPr>
                <w:rFonts w:cs="Arial" w:ascii="Arial" w:hAnsi="Arial"/>
                <w:sz w:val="18"/>
                <w:szCs w:val="18"/>
              </w:rPr>
              <w:t>O produto deverá manter-se estável para o uso após aberto até a data de validade se utilizado conforme a orientação de uso. Frasco de 350ml. O produto deverá ter registro como produto médico para saúde, classe de risco IV, apresentando Boas Práticas de Fabricação.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PADRÃO DE QUALIDADE SIMILAR, OU SUPERIOR QUE O PRODUTO DA MARCA HELIANTO</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1.06.05.0497-6 - CURATIVO COM PRATA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88,33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19.874,25</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CURATIVO COM PRATA </w:t>
            </w:r>
          </w:p>
          <w:p>
            <w:pPr>
              <w:pStyle w:val="Normal"/>
              <w:widowControl w:val="false"/>
              <w:pBdr/>
              <w:jc w:val="both"/>
              <w:rPr>
                <w:rFonts w:ascii="Arial" w:hAnsi="Arial" w:cs="Arial"/>
                <w:sz w:val="18"/>
                <w:szCs w:val="18"/>
              </w:rPr>
            </w:pPr>
            <w:r>
              <w:rPr>
                <w:rFonts w:cs="Arial" w:ascii="Arial" w:hAnsi="Arial"/>
                <w:sz w:val="18"/>
                <w:szCs w:val="18"/>
              </w:rPr>
              <w:t xml:space="preserve">Espuma com prata sem adesivo: Cobertura de espuma de poliuretano tridimensional em placa, estéril, não adesivo, impregnada com 100% de íons de prata, com liberação sustentada. Sem adição de outras fibras.  Alta absorção, garantindo mínimo risco de vazamento ou maceração. Com certificado de boas práticas de fabricação, embaladas individualmente contendo dados de identificação do produto, n. lote, validade e n. do registro no Ministério da Saúde e Anvisa.  Tamanho 10x10 cm.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PADRÃO DE QUALIDADE SIMILAR, OU SUPERIOR QUE O PRODUTO DA MARCA COLOPLAST</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1.06.05.0498-4 - TERAPIA COMPRESSIVA TAMANHO 25X32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287,42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12.933,90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TERAPIA COMPRESSIVA TAMANHO 25X32 </w:t>
            </w:r>
          </w:p>
          <w:p>
            <w:pPr>
              <w:pStyle w:val="Normal"/>
              <w:widowControl w:val="false"/>
              <w:pBdr/>
              <w:jc w:val="both"/>
              <w:rPr>
                <w:rFonts w:ascii="Arial" w:hAnsi="Arial" w:cs="Arial"/>
                <w:sz w:val="18"/>
                <w:szCs w:val="18"/>
              </w:rPr>
            </w:pPr>
            <w:r>
              <w:rPr>
                <w:rFonts w:cs="Arial" w:ascii="Arial" w:hAnsi="Arial"/>
                <w:sz w:val="18"/>
                <w:szCs w:val="18"/>
              </w:rPr>
              <w:t>Sistema de Terapia Compressiva multicomponentes, para o tratamento de úlceras venosas e redução do edema causado por insuficiência venosa crônica, em pacientes com ITB\ gt :0,8. Composto por duas bandagens que fornecem a pressão terapêutica de 40 mmHg.  A primeira bandagem de estiramento curto, deverá fornecer compressão e proteção. Composta por: enchimento: viscose, poliéster; camada de malha: poliamida, elastano.  A segunda bandagem: bandagem coesiva de estiramento longo; deverá fornecer a compressão adicional necessária para atingir a pressão terapêutica e fixar as bandagens no lugar. Composição: algodão, poliéster, poliamida, elastano; material coesivo sem látex sintético. A bandagens devem possuir marcador de pressão elíptico que orientam a aplicação e estiramento. Tamanho: 25x 32 cm tornozelo. Deverá possuir certificado de boas práticas de fabricação, registro na Anvisa e MS e serem embaladas individualmente.</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PADRÃO DE QUALIDADE SIMILAR, OU SUPERIOR QUE O PRODUTO DA MARCA URGO</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1.06.05.0499-2 - TERAPIA COMPRESSIVA TAMANHO 18X25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263,55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11.859,75</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TERAPIA COMPRESSIVA TAMANHO 18X25</w:t>
            </w:r>
          </w:p>
          <w:p>
            <w:pPr>
              <w:pStyle w:val="Normal"/>
              <w:widowControl w:val="false"/>
              <w:pBdr/>
              <w:jc w:val="both"/>
              <w:rPr>
                <w:rFonts w:ascii="Arial" w:hAnsi="Arial" w:cs="Arial"/>
                <w:sz w:val="18"/>
                <w:szCs w:val="18"/>
              </w:rPr>
            </w:pPr>
            <w:r>
              <w:rPr>
                <w:rFonts w:cs="Arial" w:ascii="Arial" w:hAnsi="Arial"/>
                <w:sz w:val="18"/>
                <w:szCs w:val="18"/>
              </w:rPr>
              <w:t>Sistema de Terapia Compressiva multicomponentes, para o tratamento de úlceras venosas e redução do edema causado por insuficiência venosa crônica, em pacientes com ITB\ gt :0,8. Composto por duas bandagens que fornecem a pressão terapêutica de 40 mmHg.  A primeira bandagem  de estiramento curto, deverá fornecer compressão e proteção. Composta por: enchimento: viscose, poliéster; camada de malha: poliamida, elastano.  A segunda bandagem: bandagem  coesiva de estiramento longo;  deverá fornecer a compressão adicional necessária para atingir a pressão terapêutica e fixar as bandagens no lugar. Composição: algodão, poliéster, poliamida, elastano; material coesivo sem látex sintético. A bandagens devem possuir marcador de pressão elíptico que orientam a aplicação e estiramento. .Tamanho: 18x25 cm tornozelo. Deverá possuir certificado de boas práticas de fabricação, registro na Anvisa e MS e serem  embaladas individualmente.</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PADRÃO DE QUALIDADE SIMILAR, OU SUPERIOR QUE O PRODUTO DA MARCA URGO</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1.06.05.0500-0 - CREME DE BARREIRA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125,00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5.625,00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CREME DE BARREIRA</w:t>
            </w:r>
          </w:p>
          <w:p>
            <w:pPr>
              <w:pStyle w:val="Normal"/>
              <w:widowControl w:val="false"/>
              <w:pBdr/>
              <w:jc w:val="both"/>
              <w:rPr>
                <w:rFonts w:ascii="Arial" w:hAnsi="Arial" w:cs="Arial"/>
                <w:sz w:val="18"/>
                <w:szCs w:val="18"/>
              </w:rPr>
            </w:pPr>
            <w:r>
              <w:rPr>
                <w:rFonts w:cs="Arial" w:ascii="Arial" w:hAnsi="Arial"/>
                <w:sz w:val="18"/>
                <w:szCs w:val="18"/>
              </w:rPr>
              <w:t>Creme Barreira: Produto lipofílico (repele a água), proporcionando, proteção, maciez e restaurando o PH da pele. Ação mecânica de formação de barreira, impedindo o acesso da água no local protegido pelo mesmo. Composto de: óleo mineral, parafina líquida, petrolato, cera microcristalina, oleato de glicerol, álcool de lanolina, ácido cítrico, citrato de magnésio, ciclometicona, glicerina, metilparabeno, propilparabeno, propilenoglicol. Tubo de 60Ml</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PADRÃO DE QUALIDADE SIMILAR, OU SUPERIOR QUE O PRODUTO DA MARCA COLOPLAST</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1.06.05.0505-0 - BANDAGEM COESIVA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22,96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344,40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BANDAGEM COESIVA. Bandagem coesiva, conformável, com duplo estiramento, livre de látex de borracha natural, constituída de viscose e de poliamida. Adere na própria bandagem a cada volta, sem aderir a pele nem aos pêlos do paciente, dispensando a necessidade de fitas para sua fixação. Embalagem individual. Tamanho: 10cmX4m.</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NECESSÁRIO AMOSTRA</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1.06.05.0506-9 - CURATIVO DE FILME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80,99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647,92</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CURATIVO DE FILME. Curativo de filme transparente, resistente a rasgos, que fornece proteção à pele. Composto de filme de poliuretano com adesivo de poliacrilato e livre de látex, permite troca de calor e gás. Fino, flexível e não estéril. Tamanho: 10cmx10m.</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NECESSÁRIO AMOSTRA</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1.06.05.0507-7 - CURATIVO SUPER ABSORVENTE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24,31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364,65</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CURATIVO SUPER ABSORVENTE. Cobertura super absorvente, estéril, q, retendo e bloqueando o exsudato e bactérias (isento de antimicrobiano em suacomposição), contendo tripla camada, garantindo que este não seja devolvido ao leito da ferida, e camada barreira de proteção em polipropileno resistente a água e protegendo a lesão de contaminantes externos. Tamanho: 15x15cm.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NECESSÁRIO AMOSTRA</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1.06.05.0508-5 - HIDROGEL COM PHMB E PECTINA - 100 grs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204,33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7.764,54</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HIDROGEL COM PHMB E PECTINA - 100 grs. Hidrogel de alta viscosidade composto minimamente por poliaminopropil biguanida (phmb), pectina e hidroxietilcelulose. Indicado principalmente para feridas contaminadas e crônicas. Tampa flip top. O produto deverá ter registro como produto médico para saúde, classe de risco IV, apresentando Boas Práticas de Fabricação. Bisnaga de 100g.</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PADRÃO DE QUALIDADE SIMILAR, OU SUPERIOR QUE O PRODUTO DA MARCA HELIANTO</w:t>
            </w:r>
          </w:p>
          <w:p>
            <w:pPr>
              <w:pStyle w:val="Normal"/>
              <w:widowControl w:val="false"/>
              <w:pBdr/>
              <w:jc w:val="both"/>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ivel2"/>
        <w:numPr>
          <w:ilvl w:val="0"/>
          <w:numId w:val="0"/>
        </w:numPr>
        <w:spacing w:before="120" w:after="288"/>
        <w:ind w:hanging="360" w:left="360"/>
        <w:jc w:val="center"/>
        <w:rPr>
          <w:b/>
          <w:color w:val="auto"/>
          <w:sz w:val="24"/>
          <w:szCs w:val="24"/>
          <w:u w:val="single"/>
        </w:rPr>
      </w:pPr>
      <w:r>
        <w:rPr>
          <w:b/>
          <w:color w:val="auto"/>
          <w:sz w:val="24"/>
          <w:szCs w:val="24"/>
          <w:u w:val="single"/>
        </w:rPr>
      </w:r>
    </w:p>
    <w:p>
      <w:pPr>
        <w:pStyle w:val="Nivel2"/>
        <w:numPr>
          <w:ilvl w:val="0"/>
          <w:numId w:val="0"/>
        </w:numPr>
        <w:spacing w:before="120" w:after="288"/>
        <w:ind w:hanging="360" w:left="360"/>
        <w:jc w:val="center"/>
        <w:rPr>
          <w:b/>
          <w:color w:val="auto"/>
          <w:sz w:val="24"/>
          <w:szCs w:val="24"/>
          <w:u w:val="single"/>
        </w:rPr>
      </w:pPr>
      <w:r>
        <w:rPr>
          <w:b/>
          <w:color w:val="auto"/>
          <w:sz w:val="24"/>
          <w:szCs w:val="24"/>
          <w:u w:val="single"/>
        </w:rPr>
        <w:t>COTA RESERVADA – EXCLUSIVIDADE ME/EPP</w:t>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112"/>
        <w:gridCol w:w="992"/>
        <w:gridCol w:w="1133"/>
        <w:gridCol w:w="284"/>
        <w:gridCol w:w="1276"/>
        <w:gridCol w:w="1134"/>
      </w:tblGrid>
      <w:tr>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411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both"/>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1.06.05.0488-7 - CURATIVO DE HIDROFIBRA COM ALGINATO DE CÁLCIO E PRATA LÔNICA - TAMANHO 10X10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67,19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5.039,25</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CURATIVO DE HIDROFIBRA COM ALGINATO DE CÁLCIO E PRATA LÔNICA - TAMANHO 10X10 CM</w:t>
            </w:r>
          </w:p>
          <w:p>
            <w:pPr>
              <w:pStyle w:val="Normal"/>
              <w:widowControl w:val="false"/>
              <w:pBdr/>
              <w:jc w:val="both"/>
              <w:rPr>
                <w:rFonts w:ascii="Arial" w:hAnsi="Arial" w:cs="Arial"/>
                <w:sz w:val="18"/>
                <w:szCs w:val="18"/>
              </w:rPr>
            </w:pPr>
            <w:r>
              <w:rPr>
                <w:rFonts w:cs="Arial" w:ascii="Arial" w:hAnsi="Arial"/>
                <w:sz w:val="18"/>
                <w:szCs w:val="18"/>
              </w:rPr>
              <w:t>Curativo de Hidrofibra com Alginato de Cálcio e Prata Iônica: Cobertura de Hidrofibra com alta capacidade de absorção, antimicrobiana, estéril, constituída por alginato de cálcio, carboximetilcelulose sódica (CMC) e por 0,6% de Prata Iônica. Sem adição de sódio. Com certificado de boas práticas de fabricação, embaladas individualmente contendo dados de identificação do produto, n. lote, validade e n. do registro de hidrofibra no Ministério da Saúde e Anvisa. Tamanho 10x10cm.</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PADRÃO DE QUALIDADE SIMILAR, OU SUPERIOR QUE O PRODUTO DA MARCA COLOPLAST</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1.06.05.0489-5 - HIDROGEL COM PHMB E PECTINA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TB</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74,50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372,50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HIDROGEL COM PHMB E PECTINA</w:t>
            </w:r>
          </w:p>
          <w:p>
            <w:pPr>
              <w:pStyle w:val="Normal"/>
              <w:widowControl w:val="false"/>
              <w:pBdr/>
              <w:jc w:val="both"/>
              <w:rPr>
                <w:rFonts w:ascii="Arial" w:hAnsi="Arial" w:cs="Arial"/>
                <w:sz w:val="18"/>
                <w:szCs w:val="18"/>
              </w:rPr>
            </w:pPr>
            <w:r>
              <w:rPr>
                <w:rFonts w:cs="Arial" w:ascii="Arial" w:hAnsi="Arial"/>
                <w:sz w:val="18"/>
                <w:szCs w:val="18"/>
              </w:rPr>
              <w:t>Hidrogel de alta viscosidade composto minimamente por poliaminopropil biguanida (phmb), pectina e hidroxietilcelulose. Indicado principalmente para feridas contaminadas e crônicas. Tampa flip top. O produto deverá ter registro como produto médico para saúde, classe de risco IV, apresentando Boas Práticas de Fabricação. Bisnaga de 30g.</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PADRÃO DE QUALIDADE SIMILAR, OU SUPERIOR QUE O PRODUTO DA MARCA CURATEC OU HELIANTO</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1.06.05.0495-0 - BOTA DE UNNA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52,80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13.200,00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BOTA DE UNNA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Bandagem inelástica impregnada com pasta contendo óxido de zinco,glicerol, óleo de rícino, água deionizada e goma acácia, embalada individualmente em envelope PET/PE, registro na ANVISA como correlato classe de risco III (produtos destinados a ser usados principalmente em feridas que tenham produzido ruptura da derme e que somente podem cicatrizar por segunda intenção). Tamanho: 10,2 cm x 9,14 m. Deverá possuir certificado de boas práticas de fabricação, registro na Anvisa e MS e serem embaladas individualmente.</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PADRÃO DE QUALIDADE SIMILAR, OU SUPERIOR QUE O PRODUTO DA MARCA HELIANTO</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1.06.05.0496-8 - SOLUÇÃO DE PHMB 0,2%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157,73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2.365,95</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SOLUÇÃO DE PHMB 0,2%. Solução composta de Água Purificada, Derivado Betaínico e Poliaminopropil Biguanida (PHMB) 0,2%. O produto deverá manter-se estável para o uso após aberto até a data de validade se utilizado conforme a orientação de uso. Frasco de 350ml. O produto deverá ter registro como produto médico para saúde, classe de risco IV, apresentando Boas Práticas de Fabricação.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PADRÃO DE QUALIDADE SIMILAR, OU SUPERIOR QUE O PRODUTO DA MARCA HELIANTO</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1.06.05.0497-6 - CURATIVO COM PRATA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88,33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6.624,75</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CURATIVO COM PRATA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 xml:space="preserve">Espuma com prata sem adesivo: Cobertura de espuma de poliuretano tridimensional em placa, estéril, não adesivo, impregnada com 100% de íons de prata, com liberação sustentada. Sem adição de outras fibras.  Alta absorção, garantindo mínimo risco de vazamento ou maceração. Com certificado de boas práticas de fabricação, embaladas individualmente contendo dados de identificação do produto, n. lote, validade e n. do registro no Ministério da Saúde e Anvisa.  Tamanho 10x10 cm.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PADRÃO DE QUALIDADE SIMILAR, OU SUPERIOR QUE O PRODUTO DA MARCA COLOPLAST</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1.06.05.0498-4 - TERAPIA COMPRESSIVA TAMANHO 25X32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287,42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4.311,30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TERAPIA COMPRESSIVA TAMANHO 25X32 - Sistema de Terapia Compressiva multicomponentes, para o tratamento de úlceras venosas e redução do edema causado por insuficiência venosa crônica, em pacientes com ITB\ gt :0,8. Composto por duas bandagens que fornecem a pressão terapêutica de 40 mmHg.  A primeira bandagem de estiramento curto, deverá fornecer compressão e proteção. Composta por: enchimento: viscose, poliéster; amada de malha: poliamida, elastano.  A segunda bandagem: bandagem coesiva de estiramento longo; deverá fornecer a compressão adicional necessária para atingir a pressão terapêutica e fixar as bandagens no lugar. Composição: algodão, poliéster, poliamida, elastano; material coesivo sem látex sintético. A bandagens devem possuir marcador de pressão elíptico que orientam a aplicação e estiramento. Tamanho: 25x 32 cm tornozelo. Deverá possuir certificado de boas práticas de fabricação, registro na Anvisa e MS e serem embaladas individualmente.</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PADRÃO DE QUALIDADE SIMILAR, OU SUPERIOR QUE O PRODUTO DA MARCA URGO</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1.06.05.0499-2 - TERAPIA COMPRESSIVA TAMANHO 18X25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263,55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3.953,25</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TERAPIA COMPRESSIVA TAMANHO 18X25 - Sistema de Terapia Compressiva multicomponentes,  para o tratamento de úlceras venosas e redução do edema causado por insuficiência venosa crônica, em pacientes com ITB\ gt :0,8. Composto por duas bandagens que fornecem a pressão terapêutica de 40 mmHg.  A primeira bandagem de estiramento curto, deverá fornecer compressão e proteção. Composta por: enchimento: viscose, poliéster; camada de malha: poliamida, elastano.  A segunda bandagem: bandagem coesiva de estiramento longo; deverá fornecer a compressão adicional necessária para atingir a pressão terapêutica e fixar as bandagens no lugar. Composição: algodão, poliéster, poliamida, elastano; material coesivo sem látex sintético. A bandagens devem possuir marcador de pressão elíptico que orientam a aplicação e estiramento. Tamanho: 18x25 cm tornozelo. Deverá possuir certificado de boas práticas de fabricação, registro na Anvisa e MS e serem embaladas individualmente.</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PADRÃO DE QUALIDADE SIMILAR, OU SUPERIOR QUE O PRODUTO DA MARCA URGO</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1.06.05.0500-0 - CREME DE BARREIRA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125,00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1.875,00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CREME DE BARREIRA</w:t>
            </w:r>
          </w:p>
          <w:p>
            <w:pPr>
              <w:pStyle w:val="Normal"/>
              <w:widowControl w:val="false"/>
              <w:pBdr/>
              <w:jc w:val="both"/>
              <w:rPr>
                <w:rFonts w:ascii="Arial" w:hAnsi="Arial" w:cs="Arial"/>
                <w:sz w:val="18"/>
                <w:szCs w:val="18"/>
              </w:rPr>
            </w:pPr>
            <w:r>
              <w:rPr>
                <w:rFonts w:cs="Arial" w:ascii="Arial" w:hAnsi="Arial"/>
                <w:sz w:val="18"/>
                <w:szCs w:val="18"/>
              </w:rPr>
              <w:t>Creme Barreira: Produto lipofílico (repele a água), proporcionando, proteção, maciez e restaurando o PH da pele. Ação mecânica de formação de barreira, impedindo o acesso da água no local protegido pelo mesmo. Composto de: óleo mineral, parafina líquida, petrolato, cera microcristalina, oleato de glicerol, álcool de lanolina, ácido cítrico, citrato de magnésio, ciclometicona, glicerina, metilparabeno, propilparabeno, propilenoglicol. Tubo de 60mL.</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PADRÃO DE QUALIDADE SIMILAR, OU SUPERIOR QUE O PRODUTO DA MARCA COLOPLAST</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1.06.05.0505-0 - BANDAGEM COESIVA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22,96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114,80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BANDAGEM COESIVA</w:t>
            </w:r>
          </w:p>
          <w:p>
            <w:pPr>
              <w:pStyle w:val="Normal"/>
              <w:widowControl w:val="false"/>
              <w:pBdr/>
              <w:jc w:val="both"/>
              <w:rPr>
                <w:rFonts w:ascii="Arial" w:hAnsi="Arial" w:cs="Arial"/>
                <w:sz w:val="18"/>
                <w:szCs w:val="18"/>
              </w:rPr>
            </w:pPr>
            <w:r>
              <w:rPr>
                <w:rFonts w:cs="Arial" w:ascii="Arial" w:hAnsi="Arial"/>
                <w:sz w:val="18"/>
                <w:szCs w:val="18"/>
              </w:rPr>
              <w:t xml:space="preserve">Bandagem coesiva, conformável, com duplo estiramento, livre de látex de borracha natural, constituída de viscose e de poliamida. Adere na própria bandagem a cada volta, sem aderir a pele nem aos pêlos do paciente, dispensando a necessidade de fitas para sua fixação. Embalagem individual. Tamanho: 10cmX4m.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NECESSÁRIO AMOSTRA</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1.06.05.0506-9 - CURATIVO DE FILME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80,99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161,98</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CURATIVO DE FILME. Curativo de filme transparente, resistente a rasgos, que fornece proteção à pele. Composto de filme de poliuretano com adesivo de poliacrilato e livre de látex, permite troca de calor e gás. Fino, flexível e não estéril. Tamanho: 10cmx10m.</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NECESSÁRIO AMOSTRA</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1.06.05.0507-7 - CURATIVO SUPER ABSORVENTE</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24,31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121,55</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CURATIVO SUPER ABSORVENTE</w:t>
            </w:r>
          </w:p>
          <w:p>
            <w:pPr>
              <w:pStyle w:val="Normal"/>
              <w:widowControl w:val="false"/>
              <w:pBdr/>
              <w:jc w:val="both"/>
              <w:rPr>
                <w:rFonts w:ascii="Arial" w:hAnsi="Arial" w:cs="Arial"/>
                <w:sz w:val="18"/>
                <w:szCs w:val="18"/>
              </w:rPr>
            </w:pPr>
            <w:r>
              <w:rPr>
                <w:rFonts w:cs="Arial" w:ascii="Arial" w:hAnsi="Arial"/>
                <w:sz w:val="18"/>
                <w:szCs w:val="18"/>
              </w:rPr>
              <w:t>Cobertura super absorvente, estéril, q, retendo e bloqueando o exsudato e bactérias (isento de antimicrobiano em suacomposição), contendo tripla camada, garantindo que este não seja devolvido ao leito da ferida, e camada barreira de proteção em polipropileno resistente a água e protegendo a lesão de contaminantes externos. Tamanho: 15x15cm</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NECESSÁRIO AMOSTRA</w:t>
            </w:r>
          </w:p>
          <w:p>
            <w:pPr>
              <w:pStyle w:val="Normal"/>
              <w:widowControl w:val="false"/>
              <w:pBdr/>
              <w:jc w:val="both"/>
              <w:rPr>
                <w:rFonts w:ascii="Arial" w:hAnsi="Arial" w:cs="Arial"/>
                <w:sz w:val="18"/>
                <w:szCs w:val="18"/>
              </w:rPr>
            </w:pPr>
            <w:r>
              <w:rPr>
                <w:rFonts w:cs="Arial" w:ascii="Arial" w:hAnsi="Arial"/>
                <w:sz w:val="18"/>
                <w:szCs w:val="18"/>
              </w:rPr>
            </w:r>
          </w:p>
        </w:tc>
      </w:tr>
      <w:tr>
        <w:trPr/>
        <w:tc>
          <w:tcPr>
            <w:tcW w:w="561" w:type="dxa"/>
            <w:tcBorders>
              <w:top w:val="single" w:sz="8" w:space="0" w:color="000000"/>
              <w:left w:val="single" w:sz="4" w:space="0" w:color="000000"/>
              <w:bottom w:val="single" w:sz="4"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24</w:t>
            </w:r>
          </w:p>
        </w:tc>
        <w:tc>
          <w:tcPr>
            <w:tcW w:w="4112"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1.06.05.0508-5 - HIDROGEL COM PHMB E PECTINA - 100 grs</w:t>
            </w:r>
          </w:p>
        </w:tc>
        <w:tc>
          <w:tcPr>
            <w:tcW w:w="992"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284" w:type="dxa"/>
            <w:tcBorders>
              <w:top w:val="single" w:sz="8" w:space="0" w:color="000000"/>
              <w:bottom w:val="single" w:sz="4"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204,33</w:t>
            </w:r>
          </w:p>
        </w:tc>
        <w:tc>
          <w:tcPr>
            <w:tcW w:w="1134"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2.451,96</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HIDROGEL COM PHMB E PECTINA - 100 grs.</w:t>
            </w:r>
          </w:p>
          <w:p>
            <w:pPr>
              <w:pStyle w:val="Normal"/>
              <w:widowControl w:val="false"/>
              <w:pBdr/>
              <w:jc w:val="both"/>
              <w:rPr>
                <w:rFonts w:ascii="Arial" w:hAnsi="Arial" w:cs="Arial"/>
                <w:sz w:val="18"/>
                <w:szCs w:val="18"/>
              </w:rPr>
            </w:pPr>
            <w:r>
              <w:rPr>
                <w:rFonts w:cs="Arial" w:ascii="Arial" w:hAnsi="Arial"/>
                <w:sz w:val="18"/>
                <w:szCs w:val="18"/>
              </w:rPr>
              <w:t>Hidrogel de alta viscosidade composto minimamente por poliaminopropil biguanida (phmb), pectina e hidroxietilcelulose. Indicado principalmente para feridas contaminadas e crônicas. Tampa flip top. O produto deverá ter registro como produto médico para saúde, classe de risco IV, apresentando Boas Práticas de Fabricação. Bisnaga de 100g.</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b/>
                <w:bCs/>
                <w:color w:val="EE0000"/>
                <w:sz w:val="18"/>
                <w:szCs w:val="18"/>
              </w:rPr>
            </w:pPr>
            <w:r>
              <w:rPr>
                <w:rFonts w:cs="Arial" w:ascii="Arial" w:hAnsi="Arial"/>
                <w:b/>
                <w:bCs/>
                <w:color w:val="EE0000"/>
                <w:sz w:val="18"/>
                <w:szCs w:val="18"/>
              </w:rPr>
              <w:t>PADRÃO DE QUALIDADE SIMILAR, OU SUPERIOR QUE O PRODUTO DA MARCA HELIANTO</w:t>
            </w:r>
          </w:p>
          <w:p>
            <w:pPr>
              <w:pStyle w:val="Normal"/>
              <w:widowControl w:val="false"/>
              <w:pBdr/>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ivel2"/>
        <w:numPr>
          <w:ilvl w:val="0"/>
          <w:numId w:val="0"/>
        </w:numPr>
        <w:spacing w:lineRule="auto" w:line="360" w:before="0" w:after="0"/>
        <w:ind w:hanging="0" w:left="0"/>
        <w:jc w:val="left"/>
        <w:rPr>
          <w:b/>
          <w:color w:val="auto"/>
          <w:sz w:val="22"/>
          <w:szCs w:val="22"/>
        </w:rPr>
      </w:pPr>
      <w:r>
        <w:rPr>
          <w:b/>
          <w:color w:val="auto"/>
          <w:sz w:val="22"/>
          <w:szCs w:val="22"/>
        </w:rPr>
      </w:r>
    </w:p>
    <w:p>
      <w:pPr>
        <w:pStyle w:val="Nivel2"/>
        <w:numPr>
          <w:ilvl w:val="0"/>
          <w:numId w:val="0"/>
        </w:numPr>
        <w:spacing w:lineRule="auto" w:line="360" w:before="0" w:after="0"/>
        <w:ind w:hanging="0" w:left="0"/>
        <w:jc w:val="left"/>
        <w:rPr>
          <w:b/>
          <w:color w:val="auto"/>
          <w:sz w:val="22"/>
          <w:szCs w:val="22"/>
        </w:rPr>
      </w:pPr>
      <w:r>
        <w:rPr>
          <w:b/>
          <w:color w:val="auto"/>
          <w:sz w:val="22"/>
          <w:szCs w:val="22"/>
        </w:rPr>
        <w:t>1.2 – DAS DOCUMENTAÇÕES</w:t>
      </w:r>
    </w:p>
    <w:p>
      <w:pPr>
        <w:pStyle w:val="Nivel2"/>
        <w:numPr>
          <w:ilvl w:val="0"/>
          <w:numId w:val="0"/>
        </w:numPr>
        <w:spacing w:lineRule="auto" w:line="360" w:before="0" w:after="0"/>
        <w:ind w:hanging="0" w:left="0"/>
        <w:jc w:val="left"/>
        <w:rPr>
          <w:sz w:val="22"/>
          <w:szCs w:val="22"/>
        </w:rPr>
      </w:pPr>
      <w:r>
        <w:rPr>
          <w:sz w:val="22"/>
          <w:szCs w:val="22"/>
        </w:rPr>
        <w:t xml:space="preserve">1.2.1 - O licitante classificado em primeiro lugar, terá o prazo de até 05 (cinco) dias úteis, contados da sessão de processamento da licitação, para apresentar mediante protocolo na </w:t>
      </w:r>
      <w:r>
        <w:rPr>
          <w:sz w:val="22"/>
          <w:szCs w:val="22"/>
          <w:u w:val="single"/>
        </w:rPr>
        <w:t>Secretaria da Saúde, situada na Rua Marcos Dian, 365 – Jd de Lucca</w:t>
      </w:r>
      <w:r>
        <w:rPr>
          <w:sz w:val="22"/>
          <w:szCs w:val="22"/>
        </w:rPr>
        <w:t>, aos cuidados do pregoeiro, os seguintes documentos dos produtos ofertados:</w:t>
      </w:r>
    </w:p>
    <w:p>
      <w:pPr>
        <w:pStyle w:val="Nivel2"/>
        <w:numPr>
          <w:ilvl w:val="0"/>
          <w:numId w:val="0"/>
        </w:numPr>
        <w:spacing w:lineRule="auto" w:line="360" w:before="0" w:after="0"/>
        <w:ind w:firstLine="709" w:left="0"/>
        <w:rPr>
          <w:b/>
          <w:bCs/>
          <w:sz w:val="22"/>
          <w:szCs w:val="22"/>
        </w:rPr>
      </w:pPr>
      <w:r>
        <w:rPr>
          <w:b/>
          <w:bCs/>
          <w:sz w:val="22"/>
          <w:szCs w:val="22"/>
        </w:rPr>
        <w:t>a) Licença de funcionamento emitida pela Vigilância Sanitária do Estado ou Município;</w:t>
      </w:r>
    </w:p>
    <w:p>
      <w:pPr>
        <w:pStyle w:val="Nivel2"/>
        <w:numPr>
          <w:ilvl w:val="0"/>
          <w:numId w:val="0"/>
        </w:numPr>
        <w:spacing w:lineRule="auto" w:line="360" w:before="0" w:after="0"/>
        <w:ind w:firstLine="349" w:left="360"/>
        <w:rPr>
          <w:b/>
          <w:bCs/>
          <w:sz w:val="22"/>
          <w:szCs w:val="22"/>
        </w:rPr>
      </w:pPr>
      <w:r>
        <w:rPr>
          <w:b/>
          <w:bCs/>
          <w:sz w:val="22"/>
          <w:szCs w:val="22"/>
        </w:rPr>
        <w:t>b) Registro do Ministério da Saúde para os produtos ofertados ou Carta de Isenção;</w:t>
      </w:r>
    </w:p>
    <w:p>
      <w:pPr>
        <w:pStyle w:val="Nivel2"/>
        <w:numPr>
          <w:ilvl w:val="0"/>
          <w:numId w:val="0"/>
        </w:numPr>
        <w:spacing w:lineRule="auto" w:line="360" w:before="0" w:after="0"/>
        <w:ind w:hanging="0" w:left="709"/>
        <w:rPr>
          <w:sz w:val="22"/>
          <w:szCs w:val="22"/>
        </w:rPr>
      </w:pPr>
      <w:r>
        <w:rPr>
          <w:b/>
          <w:bCs/>
          <w:sz w:val="22"/>
          <w:szCs w:val="22"/>
        </w:rPr>
        <w:t xml:space="preserve">c) Amostras de todos os produtos ofertados. </w:t>
      </w:r>
      <w:r>
        <w:rPr>
          <w:sz w:val="22"/>
          <w:szCs w:val="22"/>
        </w:rPr>
        <w:t>As amostras deverão vir acompanhadas de declaração do fabricante ou da detentora do Registro junto ao Ministério da Saúde (ANVISA) subscrita por seu representante legal confirmando estar a proponente autorizada a comercializar o item.</w:t>
      </w:r>
    </w:p>
    <w:p>
      <w:pPr>
        <w:pStyle w:val="Normal"/>
        <w:shd w:val="clear" w:color="auto" w:fill="FFFFFF"/>
        <w:spacing w:lineRule="auto" w:line="360"/>
        <w:jc w:val="both"/>
        <w:rPr>
          <w:rFonts w:ascii="Arial" w:hAnsi="Arial" w:cs="Arial"/>
          <w:bCs/>
          <w:sz w:val="22"/>
          <w:szCs w:val="22"/>
        </w:rPr>
      </w:pPr>
      <w:r>
        <w:rPr>
          <w:rFonts w:cs="Arial" w:ascii="Arial" w:hAnsi="Arial"/>
          <w:bCs/>
          <w:sz w:val="22"/>
          <w:szCs w:val="22"/>
        </w:rPr>
        <w:t>1.3 - CASO A PROPONENTE APRESENTE EM SUA PROPOSTA O PRODUTO COM AS MARCAS DE REFERÊNCIA CITADA NA TABELA DO ANEXO I, ESTARÁ DISPENSADA DA APRESENTAÇÃO DAS AMOSTRAS, DEVERÁ APRESENTAR APENAS A LICENÇA DE FUNCIONAMENTO EMITIDA PELA VIGILÂNCIA SANITÁRIA DO ESTADO E OU MUNICÍPIO DA EMPRESA E O REGISTRO DO PRODUTO NA ANVISA</w:t>
      </w:r>
    </w:p>
    <w:p>
      <w:pPr>
        <w:pStyle w:val="Normal"/>
        <w:jc w:val="both"/>
        <w:rPr>
          <w:rFonts w:ascii="Arial" w:hAnsi="Arial" w:cs="Arial"/>
        </w:rPr>
      </w:pPr>
      <w:r>
        <w:rPr>
          <w:rFonts w:cs="Arial" w:ascii="Arial" w:hAnsi="Arial"/>
        </w:rPr>
      </w:r>
    </w:p>
    <w:p>
      <w:pPr>
        <w:pStyle w:val="Nivel01"/>
        <w:spacing w:lineRule="auto" w:line="360" w:before="0" w:after="0"/>
        <w:ind w:hanging="0" w:left="0"/>
        <w:rPr>
          <w:sz w:val="22"/>
          <w:szCs w:val="22"/>
        </w:rPr>
      </w:pPr>
      <w:r>
        <w:rPr>
          <w:sz w:val="22"/>
          <w:szCs w:val="22"/>
        </w:rPr>
        <w:t>2 – PRAZOS E CONDIÇÕES DE ENTREGA</w:t>
      </w:r>
    </w:p>
    <w:p>
      <w:pPr>
        <w:pStyle w:val="Corpodetexto21"/>
        <w:spacing w:lineRule="auto" w:line="360" w:before="0" w:after="0"/>
        <w:jc w:val="both"/>
        <w:rPr>
          <w:rFonts w:ascii="Arial" w:hAnsi="Arial" w:cs="Arial"/>
          <w:sz w:val="22"/>
          <w:szCs w:val="22"/>
        </w:rPr>
      </w:pPr>
      <w:r>
        <w:rPr>
          <w:rFonts w:cs="Arial" w:ascii="Arial" w:hAnsi="Arial"/>
          <w:sz w:val="22"/>
          <w:szCs w:val="22"/>
        </w:rPr>
        <w:t>2.1 - Os quantitativos totais expressos neste Anexo, são estimados e representa a previsão das Secretarias requisitantes, pelo prazo de 12 (doze) meses.</w:t>
      </w:r>
    </w:p>
    <w:p>
      <w:pPr>
        <w:pStyle w:val="Nvel2-Red"/>
        <w:tabs>
          <w:tab w:val="clear" w:pos="0"/>
        </w:tabs>
        <w:spacing w:lineRule="auto" w:line="360" w:before="0" w:after="0"/>
        <w:ind w:hanging="0" w:left="0"/>
        <w:rPr>
          <w:i w:val="false"/>
          <w:i w:val="false"/>
          <w:iCs w:val="false"/>
          <w:color w:val="auto"/>
          <w:sz w:val="22"/>
          <w:szCs w:val="22"/>
        </w:rPr>
      </w:pPr>
      <w:r>
        <w:rPr>
          <w:i w:val="false"/>
          <w:iCs w:val="false"/>
          <w:color w:val="auto"/>
          <w:sz w:val="22"/>
          <w:szCs w:val="22"/>
        </w:rPr>
        <w:t>2.2 - O prazo de entrega dos itens é de até 10 (dez) dias corridos após o recebimento da Autorização de Fornecimento, que será enviada via e-mail ou outro meio hábil.</w:t>
      </w:r>
    </w:p>
    <w:p>
      <w:pPr>
        <w:pStyle w:val="Nvel2-Red"/>
        <w:tabs>
          <w:tab w:val="clear" w:pos="0"/>
        </w:tabs>
        <w:spacing w:lineRule="auto" w:line="360" w:before="0" w:after="0"/>
        <w:ind w:hanging="0" w:left="0"/>
        <w:rPr>
          <w:i w:val="false"/>
          <w:i w:val="false"/>
          <w:iCs w:val="false"/>
          <w:color w:val="auto"/>
          <w:sz w:val="22"/>
          <w:szCs w:val="22"/>
        </w:rPr>
      </w:pPr>
      <w:r>
        <w:rPr>
          <w:i w:val="false"/>
          <w:iCs w:val="false"/>
          <w:color w:val="auto"/>
          <w:sz w:val="22"/>
          <w:szCs w:val="22"/>
        </w:rPr>
        <w:t>2.3 - As entregas deverão ser efetuadas na Secretaria de Saúde da Prefeitura do Município de Itatiba, situado na Rua Marcos Dian, 365 – Jardim de Lucca, Itatiba/SP, em dias úteis, horário comercial.</w:t>
      </w:r>
    </w:p>
    <w:p>
      <w:pPr>
        <w:pStyle w:val="Nvel2-Red"/>
        <w:tabs>
          <w:tab w:val="clear" w:pos="0"/>
        </w:tabs>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3 - CONTRATO</w:t>
      </w:r>
    </w:p>
    <w:p>
      <w:pPr>
        <w:pStyle w:val="Nivel2"/>
        <w:numPr>
          <w:ilvl w:val="0"/>
          <w:numId w:val="0"/>
        </w:numPr>
        <w:spacing w:lineRule="auto" w:line="360" w:before="0" w:after="0"/>
        <w:ind w:hanging="0" w:left="0"/>
        <w:rPr>
          <w:color w:val="auto"/>
          <w:sz w:val="22"/>
          <w:szCs w:val="22"/>
        </w:rPr>
      </w:pPr>
      <w:r>
        <w:rPr>
          <w:color w:val="auto"/>
          <w:sz w:val="22"/>
          <w:szCs w:val="22"/>
        </w:rPr>
        <w:t xml:space="preserve">3.1 - O contrato será simplificado e representado pela Autorização de Fornecimento, </w:t>
      </w:r>
      <w:r>
        <w:rPr>
          <w:rFonts w:eastAsia="Arial"/>
          <w:color w:val="auto"/>
          <w:sz w:val="22"/>
          <w:szCs w:val="22"/>
        </w:rPr>
        <w:t>de acordo com as cláusulas avençadas e as normas da Lei nº 14.133, de 2021, e cada parte responderá pelas consequências de sua inexecução total ou parcial.</w:t>
      </w:r>
    </w:p>
    <w:p>
      <w:pPr>
        <w:pStyle w:val="Nivel2"/>
        <w:numPr>
          <w:ilvl w:val="0"/>
          <w:numId w:val="0"/>
        </w:numPr>
        <w:spacing w:lineRule="auto" w:line="360" w:before="0" w:after="0"/>
        <w:ind w:hanging="0" w:left="0"/>
        <w:rPr>
          <w:color w:val="auto"/>
          <w:sz w:val="22"/>
          <w:szCs w:val="22"/>
          <w:highlight w:val="yellow"/>
        </w:rPr>
      </w:pPr>
      <w:r>
        <w:rPr>
          <w:color w:val="auto"/>
          <w:sz w:val="22"/>
          <w:szCs w:val="22"/>
          <w:highlight w:val="yellow"/>
        </w:rPr>
      </w:r>
    </w:p>
    <w:p>
      <w:pPr>
        <w:pStyle w:val="Nivel01"/>
        <w:spacing w:lineRule="auto" w:line="360" w:before="0" w:after="0"/>
        <w:ind w:hanging="0" w:left="0"/>
        <w:rPr>
          <w:sz w:val="22"/>
          <w:szCs w:val="22"/>
        </w:rPr>
      </w:pPr>
      <w:r>
        <w:rPr>
          <w:sz w:val="22"/>
          <w:szCs w:val="22"/>
        </w:rPr>
        <w:t>4 - CRITÉRIOS DE PAGAMENTO</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4.1 -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4.2 - Os pagamentos serão realizados mediante procedimento bancário, em conta do fornecedor contratado.</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4.3 -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4.1. </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4.4 - Quaisquer pagamentos não isentarão a Contratada das responsabilidades contratuais. </w:t>
      </w:r>
    </w:p>
    <w:p>
      <w:pPr>
        <w:pStyle w:val="Normal"/>
        <w:tabs>
          <w:tab w:val="clear" w:pos="709"/>
          <w:tab w:val="left" w:pos="1620" w:leader="none"/>
        </w:tabs>
        <w:spacing w:lineRule="auto" w:line="360"/>
        <w:jc w:val="both"/>
        <w:rPr>
          <w:rFonts w:ascii="Arial" w:hAnsi="Arial" w:eastAsia="MS Mincho" w:cs="Arial"/>
          <w:i/>
          <w:i/>
          <w:iCs/>
          <w:color w:val="000000"/>
          <w:kern w:val="0"/>
          <w:sz w:val="22"/>
          <w:szCs w:val="22"/>
          <w:lang w:eastAsia="en-US"/>
        </w:rPr>
      </w:pPr>
      <w:r>
        <w:rPr>
          <w:rFonts w:eastAsia="MS Mincho" w:cs="Arial" w:ascii="Arial" w:hAnsi="Arial"/>
          <w:i/>
          <w:iCs/>
          <w:color w:val="000000"/>
          <w:kern w:val="0"/>
          <w:sz w:val="22"/>
          <w:szCs w:val="22"/>
          <w:lang w:eastAsia="en-US"/>
        </w:rPr>
      </w:r>
    </w:p>
    <w:p>
      <w:pPr>
        <w:pStyle w:val="Normal"/>
        <w:spacing w:lineRule="auto" w:line="360"/>
        <w:jc w:val="both"/>
        <w:rPr/>
      </w:pPr>
      <w:r>
        <w:rPr>
          <w:rFonts w:eastAsia="Arial" w:cs="Arial" w:ascii="Arial" w:hAnsi="Arial"/>
          <w:b/>
          <w:color w:val="000000"/>
          <w:sz w:val="22"/>
          <w:szCs w:val="22"/>
        </w:rPr>
        <w:t>5 - OBRIGAÇÕES DA CONTRATANTE</w:t>
      </w:r>
    </w:p>
    <w:p>
      <w:pPr>
        <w:pStyle w:val="Normal"/>
        <w:spacing w:lineRule="auto" w:line="360"/>
        <w:jc w:val="both"/>
        <w:rPr/>
      </w:pPr>
      <w:r>
        <w:rPr>
          <w:rFonts w:eastAsia="Arial" w:cs="Arial" w:ascii="Arial" w:hAnsi="Arial"/>
          <w:color w:val="000000"/>
          <w:sz w:val="22"/>
          <w:szCs w:val="22"/>
        </w:rPr>
        <w:t>5.1 - São obrigações do Contratante:</w:t>
      </w:r>
    </w:p>
    <w:p>
      <w:pPr>
        <w:pStyle w:val="Normal"/>
        <w:spacing w:lineRule="auto" w:line="360"/>
        <w:jc w:val="both"/>
        <w:rPr/>
      </w:pPr>
      <w:r>
        <w:rPr>
          <w:rFonts w:eastAsia="Arial" w:cs="Arial" w:ascii="Arial" w:hAnsi="Arial"/>
          <w:color w:val="000000"/>
          <w:sz w:val="22"/>
          <w:szCs w:val="22"/>
        </w:rPr>
        <w:t>a) Exigir o cumprimento de todas as obrigações assumidas pelo Contratado, de acordo com o contrato e seus anexos;</w:t>
      </w:r>
    </w:p>
    <w:p>
      <w:pPr>
        <w:pStyle w:val="Normal"/>
        <w:spacing w:lineRule="auto" w:line="360"/>
        <w:jc w:val="both"/>
        <w:rPr/>
      </w:pPr>
      <w:r>
        <w:rPr>
          <w:rFonts w:eastAsia="Arial" w:cs="Arial" w:ascii="Arial" w:hAnsi="Arial"/>
          <w:color w:val="000000"/>
          <w:sz w:val="22"/>
          <w:szCs w:val="22"/>
        </w:rPr>
        <w:t>b) Receber o objeto no prazo e condições estabelecidas no Termo de Referência;</w:t>
      </w:r>
    </w:p>
    <w:p>
      <w:pPr>
        <w:pStyle w:val="Normal"/>
        <w:spacing w:lineRule="auto" w:line="360"/>
        <w:jc w:val="both"/>
        <w:rPr/>
      </w:pPr>
      <w:r>
        <w:rPr>
          <w:rFonts w:eastAsia="Arial" w:cs="Arial" w:ascii="Arial" w:hAnsi="Arial"/>
          <w:color w:val="000000"/>
          <w:sz w:val="22"/>
          <w:szCs w:val="22"/>
        </w:rPr>
        <w:t>c) Notificar o Contratado, por escrito, sobre vícios, defeitos ou incorreções verificadas no objeto fornecido, para que seja por ele substituído, reparado ou corrigido, no total ou em parte, às suas expensas;</w:t>
      </w:r>
    </w:p>
    <w:p>
      <w:pPr>
        <w:pStyle w:val="Normal"/>
        <w:spacing w:lineRule="auto" w:line="360"/>
        <w:jc w:val="both"/>
        <w:rPr/>
      </w:pPr>
      <w:r>
        <w:rPr>
          <w:rFonts w:eastAsia="Arial" w:cs="Arial" w:ascii="Arial" w:hAnsi="Arial"/>
          <w:color w:val="000000"/>
          <w:sz w:val="22"/>
          <w:szCs w:val="22"/>
        </w:rPr>
        <w:t>d) Acompanhar e fiscalizar a execução do contrato e o cumprimento das obrigações pelo Contratado;</w:t>
      </w:r>
    </w:p>
    <w:p>
      <w:pPr>
        <w:pStyle w:val="Normal"/>
        <w:spacing w:lineRule="auto" w:line="360"/>
        <w:jc w:val="both"/>
        <w:rPr/>
      </w:pPr>
      <w:r>
        <w:rPr>
          <w:rFonts w:eastAsia="Arial" w:cs="Arial" w:ascii="Arial" w:hAnsi="Arial"/>
          <w:color w:val="000000"/>
          <w:sz w:val="22"/>
          <w:szCs w:val="22"/>
        </w:rPr>
        <w:t xml:space="preserve">e) Comunicar a empresa para emissão de Nota Fiscal no que pertine à parcela incontroversa da execução do objeto, para efeito de liquidação e pagamento, quando houver controvérsia sobre a execução do objeto, quanto à dimensão, qualidade e quantidade, conforme o </w:t>
      </w:r>
      <w:r>
        <w:rPr>
          <w:rFonts w:eastAsia="Arial" w:cs="Arial" w:ascii="Arial" w:hAnsi="Arial"/>
          <w:color w:val="000000"/>
          <w:sz w:val="22"/>
          <w:szCs w:val="22"/>
          <w:u w:val="single"/>
        </w:rPr>
        <w:t>art. 143 da Lei nº 14.133, de 2021</w:t>
      </w:r>
      <w:r>
        <w:rPr>
          <w:rFonts w:eastAsia="Arial" w:cs="Arial" w:ascii="Arial" w:hAnsi="Arial"/>
          <w:color w:val="000000"/>
          <w:sz w:val="22"/>
          <w:szCs w:val="22"/>
        </w:rPr>
        <w:t>;</w:t>
      </w:r>
    </w:p>
    <w:p>
      <w:pPr>
        <w:pStyle w:val="Normal"/>
        <w:spacing w:lineRule="auto" w:line="360"/>
        <w:jc w:val="both"/>
        <w:rPr/>
      </w:pPr>
      <w:r>
        <w:rPr>
          <w:rFonts w:eastAsia="Arial" w:cs="Arial" w:ascii="Arial" w:hAnsi="Arial"/>
          <w:color w:val="000000"/>
          <w:sz w:val="22"/>
          <w:szCs w:val="22"/>
        </w:rPr>
        <w:t>f) Efetuar o pagamento ao Contratado do valor correspondente ao fornecimento do objeto, no prazo, forma e condições estabelecidos no presente Contrato;</w:t>
      </w:r>
    </w:p>
    <w:p>
      <w:pPr>
        <w:pStyle w:val="Normal"/>
        <w:spacing w:lineRule="auto" w:line="360"/>
        <w:jc w:val="both"/>
        <w:rPr/>
      </w:pPr>
      <w:r>
        <w:rPr>
          <w:rFonts w:eastAsia="Arial" w:cs="Arial" w:ascii="Arial" w:hAnsi="Arial"/>
          <w:color w:val="000000"/>
          <w:sz w:val="22"/>
          <w:szCs w:val="22"/>
        </w:rPr>
        <w:t xml:space="preserve">g) Aplicar ao Contratado as sanções previstas na lei e neste Contrato; </w:t>
      </w:r>
    </w:p>
    <w:p>
      <w:pPr>
        <w:pStyle w:val="Normal"/>
        <w:spacing w:lineRule="auto" w:line="360"/>
        <w:jc w:val="both"/>
        <w:rPr/>
      </w:pPr>
      <w:r>
        <w:rPr>
          <w:rFonts w:eastAsia="Arial" w:cs="Arial" w:ascii="Arial" w:hAnsi="Arial"/>
          <w:color w:val="000000"/>
          <w:sz w:val="22"/>
          <w:szCs w:val="22"/>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ormal"/>
        <w:spacing w:lineRule="auto" w:line="360"/>
        <w:jc w:val="both"/>
        <w:rPr/>
      </w:pPr>
      <w:r>
        <w:rPr>
          <w:rFonts w:eastAsia="Arial" w:cs="Arial" w:ascii="Arial" w:hAnsi="Arial"/>
          <w:color w:val="000000"/>
          <w:sz w:val="22"/>
          <w:szCs w:val="22"/>
        </w:rPr>
        <w:tab/>
        <w:t xml:space="preserve">- A Administração terá o prazo </w:t>
      </w:r>
      <w:r>
        <w:rPr>
          <w:rFonts w:cs="Arial" w:ascii="Arial" w:hAnsi="Arial"/>
          <w:sz w:val="22"/>
          <w:szCs w:val="22"/>
        </w:rPr>
        <w:t xml:space="preserve">de 05 (cinco) dias, a contar da data do protocolo do requerimento para decidir, admitida a prorrogação motivada, por igual período. </w:t>
      </w:r>
    </w:p>
    <w:p>
      <w:pPr>
        <w:pStyle w:val="Nivel2"/>
        <w:numPr>
          <w:ilvl w:val="0"/>
          <w:numId w:val="6"/>
        </w:numPr>
        <w:suppressAutoHyphens w:val="true"/>
        <w:spacing w:lineRule="auto" w:line="360" w:before="0" w:after="0"/>
        <w:ind w:hanging="0" w:left="0"/>
        <w:rPr/>
      </w:pPr>
      <w:r>
        <w:rPr>
          <w:sz w:val="22"/>
          <w:szCs w:val="22"/>
        </w:rPr>
        <w:t>Responder eventuais pedidos de reestabelecimento do equilíbrio econômico-financeiro feitos pelo contratado no prazo máximo de 30 (trinta) dias.</w:t>
      </w:r>
    </w:p>
    <w:p>
      <w:pPr>
        <w:pStyle w:val="Normal"/>
        <w:spacing w:lineRule="auto" w:line="360"/>
        <w:jc w:val="both"/>
        <w:rPr/>
      </w:pPr>
      <w:r>
        <w:rPr>
          <w:rFonts w:eastAsia="Arial" w:cs="Arial" w:ascii="Arial" w:hAnsi="Arial"/>
          <w:color w:val="000000"/>
          <w:sz w:val="22"/>
          <w:szCs w:val="22"/>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ListParagraph"/>
        <w:widowControl w:val="false"/>
        <w:tabs>
          <w:tab w:val="left" w:pos="0" w:leader="none"/>
          <w:tab w:val="left" w:pos="709" w:leader="none"/>
        </w:tabs>
        <w:spacing w:lineRule="auto" w:line="360"/>
        <w:ind w:left="0"/>
        <w:jc w:val="both"/>
        <w:rPr>
          <w:rFonts w:ascii="Arial" w:hAnsi="Arial" w:eastAsia="Arial" w:cs="Arial"/>
          <w:b/>
          <w:color w:val="000000"/>
        </w:rPr>
      </w:pPr>
      <w:r>
        <w:rPr>
          <w:rFonts w:eastAsia="Arial" w:cs="Arial" w:ascii="Arial" w:hAnsi="Arial"/>
          <w:b/>
          <w:color w:val="000000"/>
        </w:rPr>
      </w:r>
    </w:p>
    <w:p>
      <w:pPr>
        <w:pStyle w:val="ListParagraph"/>
        <w:widowControl w:val="false"/>
        <w:numPr>
          <w:ilvl w:val="0"/>
          <w:numId w:val="15"/>
        </w:numPr>
        <w:tabs>
          <w:tab w:val="left" w:pos="0" w:leader="none"/>
          <w:tab w:val="left" w:pos="709" w:leader="none"/>
        </w:tabs>
        <w:spacing w:lineRule="auto" w:line="360" w:before="0" w:after="0"/>
        <w:ind w:hanging="0" w:left="0"/>
        <w:jc w:val="both"/>
        <w:rPr/>
      </w:pPr>
      <w:r>
        <w:rPr>
          <w:rFonts w:eastAsia="Arial" w:cs="Arial" w:ascii="Arial" w:hAnsi="Arial"/>
          <w:b/>
          <w:color w:val="000000"/>
        </w:rPr>
        <w:t>- DAS OBRIGAÇÕES DA CONTRATADA</w:t>
      </w:r>
    </w:p>
    <w:p>
      <w:pPr>
        <w:pStyle w:val="ListParagraph"/>
        <w:spacing w:lineRule="auto" w:line="360"/>
        <w:ind w:left="0"/>
        <w:jc w:val="both"/>
        <w:rPr/>
      </w:pPr>
      <w:r>
        <w:rPr>
          <w:rFonts w:eastAsia="Arial" w:cs="Arial" w:ascii="Arial" w:hAnsi="Arial"/>
        </w:rPr>
        <w:t xml:space="preserve">a) - </w:t>
      </w:r>
      <w:r>
        <w:rPr>
          <w:rFonts w:eastAsia="Arial" w:cs="Arial" w:ascii="Arial" w:hAnsi="Arial"/>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ListParagraph"/>
        <w:spacing w:lineRule="auto" w:line="360"/>
        <w:ind w:left="0"/>
        <w:jc w:val="both"/>
        <w:rPr/>
      </w:pPr>
      <w:r>
        <w:rPr>
          <w:rFonts w:eastAsia="Arial" w:cs="Arial" w:ascii="Arial" w:hAnsi="Arial"/>
          <w:color w:val="000000"/>
        </w:rPr>
        <w:t>b) - Responsabilizar-se pelos vícios e danos decorrentes do objeto, de acordo com o Código de Defesa do Consumidor (</w:t>
      </w:r>
      <w:hyperlink r:id="rId19">
        <w:r>
          <w:rPr>
            <w:rStyle w:val="Hyperlink"/>
            <w:rFonts w:eastAsia="Arial" w:cs="Arial" w:ascii="Arial" w:hAnsi="Arial"/>
          </w:rPr>
          <w:t>Lei nº 8.078, de 1990</w:t>
        </w:r>
      </w:hyperlink>
      <w:r>
        <w:rPr>
          <w:rFonts w:eastAsia="Arial" w:cs="Arial" w:ascii="Arial" w:hAnsi="Arial"/>
          <w:color w:val="000000"/>
        </w:rPr>
        <w:t>);</w:t>
      </w:r>
    </w:p>
    <w:p>
      <w:pPr>
        <w:pStyle w:val="ListParagraph"/>
        <w:spacing w:lineRule="auto" w:line="360"/>
        <w:ind w:left="0"/>
        <w:jc w:val="both"/>
        <w:rPr/>
      </w:pPr>
      <w:r>
        <w:rPr>
          <w:rFonts w:eastAsia="Arial" w:cs="Arial" w:ascii="Arial" w:hAnsi="Arial"/>
          <w:color w:val="000000"/>
        </w:rPr>
        <w:t>c) - Comunicar ao contratante, no prazo máximo de 24 (vinte e quatro) horas que antecede a data da entrega, os motivos que impossibilitem o cumprimento do prazo previsto, com a devida comprovação;</w:t>
      </w:r>
    </w:p>
    <w:p>
      <w:pPr>
        <w:pStyle w:val="ListParagraph"/>
        <w:spacing w:lineRule="auto" w:line="360"/>
        <w:ind w:left="0"/>
        <w:jc w:val="both"/>
        <w:rPr/>
      </w:pPr>
      <w:r>
        <w:rPr>
          <w:rFonts w:eastAsia="Arial" w:cs="Arial" w:ascii="Arial" w:hAnsi="Arial"/>
          <w:color w:val="000000"/>
        </w:rPr>
        <w:t>d) - Atender às determinações regulares emitidas pelo fiscal ou gestor do contrato ou autoridade superior (</w:t>
      </w:r>
      <w:r>
        <w:rPr>
          <w:rFonts w:eastAsia="Arial" w:cs="Arial" w:ascii="Arial" w:hAnsi="Arial"/>
          <w:color w:val="0000FF"/>
          <w:u w:val="single"/>
        </w:rPr>
        <w:t>art. 137, II, da Lei n.º 14.133, de 2021</w:t>
      </w:r>
      <w:r>
        <w:rPr>
          <w:rFonts w:eastAsia="Arial" w:cs="Arial" w:ascii="Arial" w:hAnsi="Arial"/>
          <w:color w:val="000000"/>
        </w:rPr>
        <w:t>) e prestar todo esclarecimento ou informação por eles solicitados;</w:t>
      </w:r>
    </w:p>
    <w:p>
      <w:pPr>
        <w:pStyle w:val="ListParagraph"/>
        <w:spacing w:lineRule="auto" w:line="360"/>
        <w:ind w:left="0"/>
        <w:jc w:val="both"/>
        <w:rPr/>
      </w:pPr>
      <w:r>
        <w:rPr>
          <w:rFonts w:eastAsia="Arial" w:cs="Arial" w:ascii="Arial" w:hAnsi="Arial"/>
          <w:color w:val="000000"/>
        </w:rPr>
        <w:t>e)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ListParagraph"/>
        <w:spacing w:lineRule="auto" w:line="360"/>
        <w:ind w:left="0"/>
        <w:jc w:val="both"/>
        <w:rPr/>
      </w:pPr>
      <w:r>
        <w:rPr>
          <w:rFonts w:eastAsia="Arial" w:cs="Arial" w:ascii="Arial" w:hAnsi="Arial"/>
        </w:rPr>
        <w:t xml:space="preserve">f) - </w:t>
      </w:r>
      <w:r>
        <w:rPr>
          <w:rFonts w:eastAsia="Arial" w:cs="Arial" w:ascii="Arial" w:hAnsi="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ListParagraph"/>
        <w:spacing w:lineRule="auto" w:line="360"/>
        <w:ind w:left="0"/>
        <w:jc w:val="both"/>
        <w:rPr/>
      </w:pPr>
      <w:r>
        <w:rPr>
          <w:rFonts w:eastAsia="Arial" w:cs="Arial" w:ascii="Arial" w:hAnsi="Arial"/>
          <w:color w:val="000000"/>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pPr>
        <w:pStyle w:val="ListParagraph"/>
        <w:spacing w:lineRule="auto" w:line="360"/>
        <w:ind w:left="0"/>
        <w:jc w:val="both"/>
        <w:rPr/>
      </w:pPr>
      <w:r>
        <w:rPr>
          <w:rFonts w:eastAsia="Arial" w:cs="Arial" w:ascii="Arial" w:hAnsi="Arial"/>
          <w:color w:val="000000"/>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ListParagraph"/>
        <w:spacing w:lineRule="auto" w:line="360"/>
        <w:ind w:left="0"/>
        <w:jc w:val="both"/>
        <w:rPr/>
      </w:pPr>
      <w:r>
        <w:rPr>
          <w:rFonts w:eastAsia="Arial" w:cs="Arial" w:ascii="Arial" w:hAnsi="Arial"/>
          <w:color w:val="000000"/>
        </w:rPr>
        <w:t>i) - Comunicar ao Fiscal do contrato, no prazo de 24 (vinte e quatro) horas, qualquer ocorrência anormal ou acidente que se verifique no local da execução do objeto contratual.</w:t>
      </w:r>
    </w:p>
    <w:p>
      <w:pPr>
        <w:pStyle w:val="ListParagraph"/>
        <w:spacing w:lineRule="auto" w:line="360"/>
        <w:ind w:left="0"/>
        <w:jc w:val="both"/>
        <w:rPr/>
      </w:pPr>
      <w:r>
        <w:rPr>
          <w:rFonts w:eastAsia="Arial" w:cs="Arial" w:ascii="Arial" w:hAnsi="Arial"/>
          <w:color w:val="000000"/>
        </w:rPr>
        <w:t>j) - Paralisar, por determinação do contratante, qualquer atividade que não esteja sendo executada de acordo com a boa técnica ou que ponha em risco a segurança de pessoas ou bens de terceiros.</w:t>
      </w:r>
    </w:p>
    <w:p>
      <w:pPr>
        <w:pStyle w:val="ListParagraph"/>
        <w:spacing w:lineRule="auto" w:line="360"/>
        <w:ind w:left="0"/>
        <w:jc w:val="both"/>
        <w:rPr/>
      </w:pPr>
      <w:r>
        <w:rPr>
          <w:rFonts w:eastAsia="Arial" w:cs="Arial" w:ascii="Arial" w:hAnsi="Arial"/>
          <w:color w:val="000000"/>
        </w:rPr>
        <w:t xml:space="preserve">k) - Manter durante toda a vigência do contrato, em compatibilidade com as obrigações assumidas, todas as condições exigidas para habilitação na licitação; </w:t>
      </w:r>
    </w:p>
    <w:p>
      <w:pPr>
        <w:pStyle w:val="ListParagraph"/>
        <w:spacing w:lineRule="auto" w:line="360"/>
        <w:ind w:left="0"/>
        <w:jc w:val="both"/>
        <w:rPr/>
      </w:pPr>
      <w:r>
        <w:rPr>
          <w:rFonts w:eastAsia="Arial" w:cs="Arial" w:ascii="Arial" w:hAnsi="Arial"/>
          <w:color w:val="000000"/>
        </w:rPr>
        <w:t xml:space="preserve">l) - Guardar sigilo sobre todas as informações obtidas em decorrência do cumprimento do contrato; </w:t>
      </w:r>
    </w:p>
    <w:p>
      <w:pPr>
        <w:pStyle w:val="ListParagraph"/>
        <w:spacing w:lineRule="auto" w:line="360"/>
        <w:ind w:left="0"/>
        <w:jc w:val="both"/>
        <w:rPr/>
      </w:pPr>
      <w:r>
        <w:rPr>
          <w:rFonts w:eastAsia="Arial" w:cs="Arial" w:ascii="Arial" w:hAnsi="Arial"/>
          <w:color w:val="000000"/>
        </w:rPr>
        <w:t xml:space="preserve">m)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eastAsia="Arial" w:cs="Arial" w:ascii="Arial" w:hAnsi="Arial"/>
          <w:color w:val="0000FF"/>
          <w:u w:val="single"/>
        </w:rPr>
        <w:t>art. 124, II, d, da Lei nº 14.133, de 2021.</w:t>
      </w:r>
    </w:p>
    <w:p>
      <w:pPr>
        <w:pStyle w:val="ListParagraph"/>
        <w:spacing w:lineRule="auto" w:line="360"/>
        <w:ind w:left="0"/>
        <w:jc w:val="both"/>
        <w:rPr/>
      </w:pPr>
      <w:r>
        <w:rPr>
          <w:rFonts w:eastAsia="Arial" w:cs="Arial" w:ascii="Arial" w:hAnsi="Arial"/>
          <w:color w:val="000000"/>
        </w:rPr>
        <w:t>n) - Cumprir, além dos postulados legais vigentes de âmbito federal, estadual ou municipal, as normas de segurança do contratante;</w:t>
      </w:r>
    </w:p>
    <w:p>
      <w:pPr>
        <w:pStyle w:val="ListParagraph"/>
        <w:spacing w:lineRule="auto" w:line="360"/>
        <w:ind w:left="0"/>
        <w:jc w:val="both"/>
        <w:rPr/>
      </w:pPr>
      <w:r>
        <w:rPr>
          <w:rFonts w:eastAsia="Arial" w:cs="Arial" w:ascii="Arial" w:hAnsi="Arial"/>
          <w:color w:val="000000"/>
        </w:rPr>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pStyle w:val="ListParagraph"/>
        <w:spacing w:lineRule="auto" w:line="360"/>
        <w:ind w:left="0"/>
        <w:jc w:val="both"/>
        <w:rPr/>
      </w:pPr>
      <w:r>
        <w:rPr>
          <w:rFonts w:eastAsia="Arial" w:cs="Arial" w:ascii="Arial" w:hAnsi="Arial"/>
          <w:color w:val="000000"/>
        </w:rPr>
        <w:t>p) Orientar e treinar seus empregados sobre os deveres previstos na Lei nº 13.709, de 14 de agosto de 2018, adotando medidas eficazes para proteção de dados pessoais a que tenha acesso por força da execução deste contrato;</w:t>
      </w:r>
    </w:p>
    <w:p>
      <w:pPr>
        <w:pStyle w:val="ListParagraph"/>
        <w:spacing w:lineRule="auto" w:line="360"/>
        <w:ind w:left="0"/>
        <w:jc w:val="both"/>
        <w:rPr/>
      </w:pPr>
      <w:r>
        <w:rPr>
          <w:rFonts w:eastAsia="Arial" w:cs="Arial" w:ascii="Arial" w:hAnsi="Arial"/>
          <w:color w:val="000000"/>
        </w:rPr>
        <w:t>q) - 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ListParagraph"/>
        <w:spacing w:lineRule="auto" w:line="360"/>
        <w:ind w:left="0"/>
        <w:jc w:val="both"/>
        <w:rPr/>
      </w:pPr>
      <w:r>
        <w:rPr>
          <w:rFonts w:eastAsia="Arial" w:cs="Arial" w:ascii="Arial" w:hAnsi="Arial"/>
          <w:color w:val="000000"/>
        </w:rPr>
        <w:t>r) Submeter previamente, por escrito, ao contratante, para análise e aprovação, quaisquer mudanças nos métodos executivos que fujam às especificações do memorial descritivo ou instrumento congênere.</w:t>
      </w:r>
    </w:p>
    <w:p>
      <w:pPr>
        <w:pStyle w:val="ListParagraph"/>
        <w:spacing w:lineRule="auto" w:line="360"/>
        <w:ind w:left="0"/>
        <w:jc w:val="both"/>
        <w:rPr/>
      </w:pPr>
      <w:r>
        <w:rPr>
          <w:rFonts w:eastAsia="Arial" w:cs="Arial" w:ascii="Arial" w:hAnsi="Arial"/>
          <w:color w:val="000000"/>
        </w:rPr>
        <w:t>s) 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spacing w:lineRule="auto" w:line="360"/>
        <w:jc w:val="both"/>
        <w:rPr/>
      </w:pPr>
      <w:r>
        <w:rPr>
          <w:rFonts w:eastAsia="Arial" w:cs="Arial" w:ascii="Arial" w:hAnsi="Arial"/>
          <w:b/>
          <w:color w:val="000000"/>
          <w:sz w:val="22"/>
          <w:szCs w:val="22"/>
        </w:rPr>
        <w:t>7 - GARANTIA CONTRATUAL</w:t>
      </w:r>
    </w:p>
    <w:p>
      <w:pPr>
        <w:pStyle w:val="ListParagraph"/>
        <w:numPr>
          <w:ilvl w:val="1"/>
          <w:numId w:val="16"/>
        </w:numPr>
        <w:spacing w:lineRule="auto" w:line="360"/>
        <w:jc w:val="both"/>
        <w:rPr/>
      </w:pPr>
      <w:r>
        <w:rPr>
          <w:rFonts w:eastAsia="Arial" w:cs="Arial" w:ascii="Arial" w:hAnsi="Arial"/>
          <w:color w:val="000000"/>
        </w:rPr>
        <w:t>- Não haverá exigência de garantia contratual da execução.</w:t>
      </w:r>
    </w:p>
    <w:p>
      <w:pPr>
        <w:pStyle w:val="Header"/>
        <w:spacing w:lineRule="auto" w:line="360"/>
        <w:jc w:val="both"/>
        <w:rPr/>
      </w:pPr>
      <w:r>
        <w:rPr>
          <w:rFonts w:cs="Arial" w:ascii="Arial" w:hAnsi="Arial"/>
          <w:b/>
          <w:sz w:val="22"/>
          <w:szCs w:val="22"/>
        </w:rPr>
        <w:t>8 – SANÇÕES</w:t>
      </w:r>
    </w:p>
    <w:p>
      <w:pPr>
        <w:pStyle w:val="Nivel2"/>
        <w:numPr>
          <w:ilvl w:val="0"/>
          <w:numId w:val="0"/>
        </w:numPr>
        <w:spacing w:lineRule="auto" w:line="360" w:before="0" w:after="0"/>
        <w:ind w:hanging="0" w:left="0"/>
        <w:rPr/>
      </w:pPr>
      <w:r>
        <w:rPr>
          <w:sz w:val="22"/>
          <w:szCs w:val="22"/>
        </w:rPr>
        <w:t xml:space="preserve">8.1 - Comete infração administrativa, nos termos da </w:t>
      </w:r>
      <w:hyperlink r:id="rId20">
        <w:r>
          <w:rPr>
            <w:rStyle w:val="Hyperlink"/>
            <w:szCs w:val="22"/>
          </w:rPr>
          <w:t>Lei nº 14.133, de 2021</w:t>
        </w:r>
      </w:hyperlink>
      <w:r>
        <w:rPr>
          <w:sz w:val="22"/>
          <w:szCs w:val="22"/>
        </w:rPr>
        <w:t>, o contratado que:</w:t>
      </w:r>
    </w:p>
    <w:p>
      <w:pPr>
        <w:pStyle w:val="Normal"/>
        <w:numPr>
          <w:ilvl w:val="2"/>
          <w:numId w:val="12"/>
        </w:numPr>
        <w:spacing w:lineRule="auto" w:line="360"/>
        <w:ind w:hanging="0" w:left="0"/>
        <w:jc w:val="both"/>
        <w:rPr/>
      </w:pPr>
      <w:r>
        <w:rPr>
          <w:rFonts w:eastAsia="Arial" w:cs="Arial" w:ascii="Arial" w:hAnsi="Arial"/>
          <w:sz w:val="22"/>
          <w:szCs w:val="22"/>
        </w:rPr>
        <w:t>der causa à inexecução parcial do contrato;</w:t>
      </w:r>
    </w:p>
    <w:p>
      <w:pPr>
        <w:pStyle w:val="Normal"/>
        <w:numPr>
          <w:ilvl w:val="2"/>
          <w:numId w:val="12"/>
        </w:numPr>
        <w:spacing w:lineRule="auto" w:line="360"/>
        <w:ind w:hanging="0" w:left="0"/>
        <w:jc w:val="both"/>
        <w:rPr/>
      </w:pPr>
      <w:r>
        <w:rPr>
          <w:rFonts w:eastAsia="Arial" w:cs="Arial" w:ascii="Arial" w:hAnsi="Arial"/>
          <w:sz w:val="22"/>
          <w:szCs w:val="22"/>
        </w:rPr>
        <w:t>der causa à inexecução parcial do contrato que cause grave dano à Administração ou ao funcionamento dos serviços públicos ou ao interesse coletivo;</w:t>
      </w:r>
    </w:p>
    <w:p>
      <w:pPr>
        <w:pStyle w:val="Normal"/>
        <w:numPr>
          <w:ilvl w:val="2"/>
          <w:numId w:val="12"/>
        </w:numPr>
        <w:spacing w:lineRule="auto" w:line="360"/>
        <w:ind w:hanging="0" w:left="0"/>
        <w:jc w:val="both"/>
        <w:rPr/>
      </w:pPr>
      <w:r>
        <w:rPr>
          <w:rFonts w:eastAsia="Arial" w:cs="Arial" w:ascii="Arial" w:hAnsi="Arial"/>
          <w:sz w:val="22"/>
          <w:szCs w:val="22"/>
        </w:rPr>
        <w:t>der causa à inexecução total do contrato;</w:t>
      </w:r>
    </w:p>
    <w:p>
      <w:pPr>
        <w:pStyle w:val="Normal"/>
        <w:numPr>
          <w:ilvl w:val="2"/>
          <w:numId w:val="12"/>
        </w:numPr>
        <w:spacing w:lineRule="auto" w:line="360"/>
        <w:ind w:hanging="0" w:left="0"/>
        <w:jc w:val="both"/>
        <w:rPr/>
      </w:pPr>
      <w:r>
        <w:rPr>
          <w:rFonts w:eastAsia="Arial" w:cs="Arial" w:ascii="Arial" w:hAnsi="Arial"/>
          <w:sz w:val="22"/>
          <w:szCs w:val="22"/>
        </w:rPr>
        <w:t>ensejar o retardamento da execução ou da entrega do objeto da contratação sem motivo justificado;</w:t>
      </w:r>
    </w:p>
    <w:p>
      <w:pPr>
        <w:pStyle w:val="Normal"/>
        <w:numPr>
          <w:ilvl w:val="2"/>
          <w:numId w:val="12"/>
        </w:numPr>
        <w:spacing w:lineRule="auto" w:line="360"/>
        <w:ind w:hanging="0" w:left="0"/>
        <w:jc w:val="both"/>
        <w:rPr/>
      </w:pPr>
      <w:r>
        <w:rPr>
          <w:rFonts w:eastAsia="Arial" w:cs="Arial" w:ascii="Arial" w:hAnsi="Arial"/>
          <w:sz w:val="22"/>
          <w:szCs w:val="22"/>
        </w:rPr>
        <w:t>apresentar documentação falsa ou prestar declaração falsa durante a execução do contrato;</w:t>
      </w:r>
    </w:p>
    <w:p>
      <w:pPr>
        <w:pStyle w:val="Normal"/>
        <w:numPr>
          <w:ilvl w:val="2"/>
          <w:numId w:val="12"/>
        </w:numPr>
        <w:spacing w:lineRule="auto" w:line="360"/>
        <w:ind w:hanging="0" w:left="0"/>
        <w:jc w:val="both"/>
        <w:rPr/>
      </w:pPr>
      <w:r>
        <w:rPr>
          <w:rFonts w:eastAsia="Arial" w:cs="Arial" w:ascii="Arial" w:hAnsi="Arial"/>
          <w:sz w:val="22"/>
          <w:szCs w:val="22"/>
        </w:rPr>
        <w:t>praticar ato fraudulento na execução do contrato;</w:t>
      </w:r>
    </w:p>
    <w:p>
      <w:pPr>
        <w:pStyle w:val="Normal"/>
        <w:numPr>
          <w:ilvl w:val="2"/>
          <w:numId w:val="12"/>
        </w:numPr>
        <w:spacing w:lineRule="auto" w:line="360"/>
        <w:ind w:hanging="0" w:left="0"/>
        <w:jc w:val="both"/>
        <w:rPr/>
      </w:pPr>
      <w:r>
        <w:rPr>
          <w:rFonts w:eastAsia="Arial" w:cs="Arial" w:ascii="Arial" w:hAnsi="Arial"/>
          <w:sz w:val="22"/>
          <w:szCs w:val="22"/>
        </w:rPr>
        <w:t>comportar-se de modo inidôneo ou cometer fraude de qualquer natureza;</w:t>
      </w:r>
    </w:p>
    <w:p>
      <w:pPr>
        <w:pStyle w:val="Normal"/>
        <w:numPr>
          <w:ilvl w:val="2"/>
          <w:numId w:val="12"/>
        </w:numPr>
        <w:spacing w:lineRule="auto" w:line="360"/>
        <w:ind w:hanging="0" w:left="0"/>
        <w:jc w:val="both"/>
        <w:rPr/>
      </w:pPr>
      <w:r>
        <w:rPr>
          <w:rFonts w:eastAsia="Arial" w:cs="Arial" w:ascii="Arial" w:hAnsi="Arial"/>
          <w:sz w:val="22"/>
          <w:szCs w:val="22"/>
        </w:rPr>
        <w:t xml:space="preserve">praticar ato lesivo previsto no </w:t>
      </w:r>
      <w:r>
        <w:fldChar w:fldCharType="begin"/>
      </w:r>
      <w:r>
        <w:rPr>
          <w:rStyle w:val="Hyperlink"/>
          <w:sz w:val="22"/>
          <w:szCs w:val="22"/>
          <w:rFonts w:eastAsia="Arial" w:cs="Arial" w:ascii="Arial" w:hAnsi="Arial"/>
        </w:rPr>
        <w:instrText xml:space="preserve"> HYPERLINK "https://www.planalto.gov.br/ccivil_03/_ato2011-2014/2013/lei/l12846.htm" \l "art5"</w:instrText>
      </w:r>
      <w:r>
        <w:rPr>
          <w:rStyle w:val="Hyperlink"/>
          <w:sz w:val="22"/>
          <w:szCs w:val="22"/>
          <w:rFonts w:eastAsia="Arial" w:cs="Arial" w:ascii="Arial" w:hAnsi="Arial"/>
        </w:rPr>
        <w:fldChar w:fldCharType="separate"/>
      </w:r>
      <w:r>
        <w:rPr>
          <w:rStyle w:val="Hyperlink"/>
          <w:rFonts w:eastAsia="Arial" w:cs="Arial" w:ascii="Arial" w:hAnsi="Arial"/>
          <w:sz w:val="22"/>
          <w:szCs w:val="22"/>
        </w:rPr>
        <w:t>art. 5º da Lei nº 12.846, de 1º de agosto de 2013</w:t>
      </w:r>
      <w:r>
        <w:rPr>
          <w:rStyle w:val="Hyperlink"/>
          <w:sz w:val="22"/>
          <w:szCs w:val="22"/>
          <w:rFonts w:eastAsia="Arial" w:cs="Arial" w:ascii="Arial" w:hAnsi="Arial"/>
        </w:rPr>
        <w:fldChar w:fldCharType="end"/>
      </w:r>
      <w:r>
        <w:rPr>
          <w:rFonts w:eastAsia="Arial" w:cs="Arial" w:ascii="Arial" w:hAnsi="Arial"/>
          <w:sz w:val="22"/>
          <w:szCs w:val="22"/>
        </w:rPr>
        <w:t>.</w:t>
      </w:r>
    </w:p>
    <w:p>
      <w:pPr>
        <w:pStyle w:val="Nivel2"/>
        <w:numPr>
          <w:ilvl w:val="0"/>
          <w:numId w:val="0"/>
        </w:numPr>
        <w:spacing w:lineRule="auto" w:line="360" w:before="0" w:after="0"/>
        <w:ind w:hanging="0" w:left="0"/>
        <w:rPr/>
      </w:pPr>
      <w:r>
        <w:rPr>
          <w:sz w:val="22"/>
          <w:szCs w:val="22"/>
        </w:rPr>
        <w:t>Serão aplicadas ao contratado que incorrer nas infrações acima descritas as seguintes sanções:</w:t>
      </w:r>
    </w:p>
    <w:p>
      <w:pPr>
        <w:pStyle w:val="ListParagraph"/>
        <w:numPr>
          <w:ilvl w:val="0"/>
          <w:numId w:val="17"/>
        </w:numPr>
        <w:spacing w:lineRule="auto" w:line="360"/>
        <w:jc w:val="both"/>
        <w:rPr/>
      </w:pPr>
      <w:r>
        <w:rPr>
          <w:rFonts w:eastAsia="Arial" w:cs="Arial" w:ascii="Arial" w:hAnsi="Arial"/>
          <w:b/>
          <w:bCs/>
        </w:rPr>
        <w:t>Advertência</w:t>
      </w:r>
      <w:r>
        <w:rPr>
          <w:rFonts w:eastAsia="Arial" w:cs="Arial" w:ascii="Arial" w:hAnsi="Arial"/>
        </w:rPr>
        <w:t>, quando o contratado der causa à inexecução parcial do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"art156%C2%A72"</w:instrText>
      </w:r>
      <w:r>
        <w:rPr>
          <w:rStyle w:val="Hyperlink"/>
          <w:rFonts w:eastAsia="Arial" w:cs="Arial" w:ascii="Arial" w:hAnsi="Arial"/>
        </w:rPr>
        <w:fldChar w:fldCharType="separate"/>
      </w:r>
      <w:r>
        <w:rPr>
          <w:rStyle w:val="Hyperlink"/>
          <w:rFonts w:eastAsia="Arial" w:cs="Arial" w:ascii="Arial" w:hAnsi="Arial"/>
        </w:rPr>
        <w:t xml:space="preserve">art. 156, §2º, da </w:t>
      </w:r>
      <w:r>
        <w:rPr>
          <w:rStyle w:val="Hyperlink"/>
          <w:rFonts w:eastAsia="Arial" w:cs="Arial" w:ascii="Arial" w:hAnsi="Arial"/>
        </w:rPr>
        <w:fldChar w:fldCharType="end"/>
      </w:r>
      <w:bookmarkStart w:id="41" w:name="_Hlk114504069"/>
      <w:r>
        <w:rPr>
          <w:rStyle w:val="InternetLink"/>
          <w:rFonts w:eastAsia="Arial" w:cs="Arial" w:ascii="Arial" w:hAnsi="Arial"/>
        </w:rPr>
        <w:t>Lei nº 14.133, de 2021</w:t>
      </w:r>
      <w:bookmarkEnd w:id="41"/>
      <w:r>
        <w:rPr>
          <w:rFonts w:eastAsia="Arial" w:cs="Arial" w:ascii="Arial" w:hAnsi="Arial"/>
        </w:rPr>
        <w:t>);</w:t>
      </w:r>
    </w:p>
    <w:p>
      <w:pPr>
        <w:pStyle w:val="ListParagraph"/>
        <w:numPr>
          <w:ilvl w:val="0"/>
          <w:numId w:val="17"/>
        </w:numPr>
        <w:spacing w:lineRule="auto" w:line="360"/>
        <w:ind w:hanging="0" w:left="0"/>
        <w:jc w:val="both"/>
        <w:rPr/>
      </w:pPr>
      <w:r>
        <w:rPr>
          <w:rFonts w:eastAsia="Arial" w:cs="Arial" w:ascii="Arial" w:hAnsi="Arial"/>
          <w:b/>
          <w:bCs/>
        </w:rPr>
        <w:t>Impedimento de licitar e contratar</w:t>
      </w:r>
      <w:r>
        <w:rPr>
          <w:rFonts w:eastAsia="Arial" w:cs="Arial" w:ascii="Arial" w:hAnsi="Arial"/>
        </w:rPr>
        <w:t>, quando praticadas as condutas descritas nas alíneas “b”, “c” e “d” do subitem acima deste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"art156%C2%A74"</w:instrText>
      </w:r>
      <w:r>
        <w:rPr>
          <w:rStyle w:val="Hyperlink"/>
          <w:rFonts w:eastAsia="Arial" w:cs="Arial" w:ascii="Arial" w:hAnsi="Arial"/>
        </w:rPr>
        <w:fldChar w:fldCharType="separate"/>
      </w:r>
      <w:r>
        <w:rPr>
          <w:rStyle w:val="Hyperlink"/>
          <w:rFonts w:eastAsia="Arial" w:cs="Arial" w:ascii="Arial" w:hAnsi="Arial"/>
        </w:rPr>
        <w:t>art. 156, § 4º, da Lei nº 14.133, de 2021</w:t>
      </w:r>
      <w:r>
        <w:rPr>
          <w:rStyle w:val="Hyperlink"/>
          <w:rFonts w:eastAsia="Arial" w:cs="Arial" w:ascii="Arial" w:hAnsi="Arial"/>
        </w:rPr>
        <w:fldChar w:fldCharType="end"/>
      </w:r>
      <w:r>
        <w:rPr>
          <w:rFonts w:eastAsia="Arial" w:cs="Arial" w:ascii="Arial" w:hAnsi="Arial"/>
        </w:rPr>
        <w:t>);</w:t>
      </w:r>
    </w:p>
    <w:p>
      <w:pPr>
        <w:pStyle w:val="ListParagraph"/>
        <w:numPr>
          <w:ilvl w:val="0"/>
          <w:numId w:val="17"/>
        </w:numPr>
        <w:spacing w:lineRule="auto" w:line="360"/>
        <w:ind w:hanging="0" w:left="0"/>
        <w:jc w:val="both"/>
        <w:rPr/>
      </w:pPr>
      <w:r>
        <w:rPr>
          <w:rFonts w:eastAsia="Arial" w:cs="Arial" w:ascii="Arial" w:hAnsi="Arial"/>
          <w:b/>
          <w:bCs/>
        </w:rPr>
        <w:t>Declaração de inidoneidade para licitar e contratar</w:t>
      </w:r>
      <w:r>
        <w:rPr>
          <w:rFonts w:eastAsia="Arial" w:cs="Arial" w:ascii="Arial" w:hAnsi="Arial"/>
        </w:rPr>
        <w:t>, quando praticadas as condutas descritas nas alíneas “e”, “f”, “g” e “h” do subitem acima deste Contrato, bem como nas alíneas “b”, “c” e “d”, que justifiquem a imposição de penalidade mais grave (</w:t>
      </w:r>
      <w:r>
        <w:fldChar w:fldCharType="begin"/>
      </w:r>
      <w:r>
        <w:rPr>
          <w:rStyle w:val="Hyperlink"/>
          <w:rFonts w:eastAsia="Arial" w:cs="Arial" w:ascii="Arial" w:hAnsi="Arial"/>
        </w:rPr>
        <w:instrText xml:space="preserve"> HYPERLINK "http://www.planalto.gov.br/ccivil_03/_ato2019-2022/2021/lei/L14133.htm" \l "art156%C2%A75"</w:instrText>
      </w:r>
      <w:r>
        <w:rPr>
          <w:rStyle w:val="Hyperlink"/>
          <w:rFonts w:eastAsia="Arial" w:cs="Arial" w:ascii="Arial" w:hAnsi="Arial"/>
        </w:rPr>
        <w:fldChar w:fldCharType="separate"/>
      </w:r>
      <w:r>
        <w:rPr>
          <w:rStyle w:val="Hyperlink"/>
          <w:rFonts w:eastAsia="Arial" w:cs="Arial" w:ascii="Arial" w:hAnsi="Arial"/>
        </w:rPr>
        <w:t>art. 156, §5º, da Lei nº 14.133, de 2021</w:t>
      </w:r>
      <w:r>
        <w:rPr>
          <w:rStyle w:val="Hyperlink"/>
          <w:rFonts w:eastAsia="Arial" w:cs="Arial" w:ascii="Arial" w:hAnsi="Arial"/>
        </w:rPr>
        <w:fldChar w:fldCharType="end"/>
      </w:r>
      <w:r>
        <w:rPr>
          <w:rFonts w:eastAsia="Arial" w:cs="Arial" w:ascii="Arial" w:hAnsi="Arial"/>
        </w:rPr>
        <w:t>).</w:t>
      </w:r>
    </w:p>
    <w:p>
      <w:pPr>
        <w:pStyle w:val="ListParagraph"/>
        <w:numPr>
          <w:ilvl w:val="0"/>
          <w:numId w:val="17"/>
        </w:numPr>
        <w:spacing w:lineRule="auto" w:line="360"/>
        <w:ind w:hanging="0" w:left="0"/>
        <w:jc w:val="both"/>
        <w:rPr/>
      </w:pPr>
      <w:r>
        <w:rPr>
          <w:rFonts w:eastAsia="Arial" w:cs="Arial" w:ascii="Arial" w:hAnsi="Arial"/>
          <w:b/>
          <w:bCs/>
        </w:rPr>
        <w:t>Multa:</w:t>
      </w:r>
    </w:p>
    <w:p>
      <w:pPr>
        <w:pStyle w:val="Normal"/>
        <w:numPr>
          <w:ilvl w:val="0"/>
          <w:numId w:val="14"/>
        </w:numPr>
        <w:spacing w:lineRule="auto" w:line="360"/>
        <w:ind w:hanging="0" w:left="0"/>
        <w:jc w:val="both"/>
        <w:rPr/>
      </w:pPr>
      <w:r>
        <w:rPr>
          <w:rFonts w:eastAsia="Arial" w:cs="Arial" w:ascii="Arial" w:hAnsi="Arial"/>
          <w:sz w:val="22"/>
          <w:szCs w:val="22"/>
        </w:rPr>
        <w:t>moratória de 0,3% (três décimos por cento) por dia de atraso injustificado sobre o valor da parcela inadimplida, até o limite de 30 (trinta) dias;</w:t>
      </w:r>
    </w:p>
    <w:p>
      <w:pPr>
        <w:pStyle w:val="Normal"/>
        <w:numPr>
          <w:ilvl w:val="0"/>
          <w:numId w:val="14"/>
        </w:numPr>
        <w:spacing w:lineRule="auto" w:line="360"/>
        <w:ind w:hanging="0" w:left="0"/>
        <w:jc w:val="both"/>
        <w:rPr/>
      </w:pPr>
      <w:r>
        <w:rPr>
          <w:rFonts w:eastAsia="Arial" w:cs="Arial" w:ascii="Arial" w:hAnsi="Arial"/>
          <w:sz w:val="22"/>
          <w:szCs w:val="22"/>
        </w:rPr>
        <w:t>moratória de 10% (dez por cento) por dia de atraso injustificado sobre o valor total do contrato, até o máximo de 30% (trinta por cento), pela inobservância do prazo fixado para apresentação, suplementação ou reposição da garantia.</w:t>
      </w:r>
    </w:p>
    <w:p>
      <w:pPr>
        <w:pStyle w:val="Normal"/>
        <w:spacing w:lineRule="auto" w:line="360"/>
        <w:jc w:val="both"/>
        <w:rPr/>
      </w:pPr>
      <w:r>
        <w:rPr>
          <w:rFonts w:eastAsia="Arial" w:cs="Arial" w:ascii="Arial" w:hAnsi="Arial"/>
          <w:sz w:val="22"/>
          <w:szCs w:val="22"/>
        </w:rPr>
        <w:t xml:space="preserve"> </w:t>
      </w:r>
      <w:r>
        <w:rPr>
          <w:rFonts w:eastAsia="Arial" w:cs="Arial" w:ascii="Arial" w:hAnsi="Arial"/>
          <w:sz w:val="22"/>
          <w:szCs w:val="22"/>
        </w:rPr>
        <w:tab/>
        <w:t xml:space="preserve">- O atraso superior a vinte dias autoriza a Administração a promover a extinção do contrato por descumprimento ou cumprimento irregular de suas cláusulas, conforme dispõe o inciso I do art. 137 da Lei n. 14.133, de 2021. </w:t>
      </w:r>
    </w:p>
    <w:p>
      <w:pPr>
        <w:pStyle w:val="Normal"/>
        <w:spacing w:lineRule="auto" w:line="360"/>
        <w:jc w:val="both"/>
        <w:rPr/>
      </w:pPr>
      <w:r>
        <w:rPr>
          <w:rFonts w:eastAsia="Arial" w:cs="Arial" w:ascii="Arial" w:hAnsi="Arial"/>
          <w:sz w:val="22"/>
          <w:szCs w:val="22"/>
        </w:rPr>
        <w:t>3) compensatória de 30% (trinta  por cento) sobre o valor total do contrato, no caso de inexecução total do objeto.</w:t>
      </w:r>
    </w:p>
    <w:p>
      <w:pPr>
        <w:pStyle w:val="Nivel2"/>
        <w:numPr>
          <w:ilvl w:val="0"/>
          <w:numId w:val="0"/>
        </w:numPr>
        <w:suppressAutoHyphens w:val="true"/>
        <w:spacing w:lineRule="auto" w:line="360" w:before="0" w:after="0"/>
        <w:ind w:firstLine="709" w:left="0"/>
        <w:rPr/>
      </w:pPr>
      <w:r>
        <w:rPr>
          <w:sz w:val="22"/>
          <w:szCs w:val="22"/>
        </w:rPr>
        <w:t>A aplicação das sanções previstas neste Contrato não exclui, em hipótese alguma, a obrigação de reparação integral do dano causado ao Contratante (</w:t>
      </w:r>
      <w:r>
        <w:fldChar w:fldCharType="begin"/>
      </w:r>
      <w:r>
        <w:rPr>
          <w:rStyle w:val="Hyperlink"/>
          <w:sz w:val="22"/>
          <w:szCs w:val="22"/>
        </w:rPr>
        <w:instrText xml:space="preserve"> HYPERLINK "http://www.planalto.gov.br/ccivil_03/_ato2019-2022/2021/lei/L14133.htm" \l "art156%C2%A79"</w:instrText>
      </w:r>
      <w:r>
        <w:rPr>
          <w:rStyle w:val="Hyperlink"/>
          <w:sz w:val="22"/>
          <w:szCs w:val="22"/>
        </w:rPr>
        <w:fldChar w:fldCharType="separate"/>
      </w:r>
      <w:r>
        <w:rPr>
          <w:rStyle w:val="Hyperlink"/>
          <w:sz w:val="22"/>
          <w:szCs w:val="22"/>
        </w:rPr>
        <w:t>art. 156, §9º, da Lei nº 14.133, de 2021</w:t>
      </w:r>
      <w:r>
        <w:rPr>
          <w:rStyle w:val="Hyperlink"/>
          <w:sz w:val="22"/>
          <w:szCs w:val="22"/>
        </w:rPr>
        <w:fldChar w:fldCharType="end"/>
      </w:r>
      <w:r>
        <w:rPr>
          <w:sz w:val="22"/>
          <w:szCs w:val="22"/>
        </w:rPr>
        <w:t>)</w:t>
      </w:r>
    </w:p>
    <w:p>
      <w:pPr>
        <w:pStyle w:val="Nivel2"/>
        <w:numPr>
          <w:ilvl w:val="0"/>
          <w:numId w:val="0"/>
        </w:numPr>
        <w:suppressAutoHyphens w:val="true"/>
        <w:spacing w:lineRule="auto" w:line="360" w:before="0" w:after="0"/>
        <w:ind w:firstLine="709" w:left="0"/>
        <w:rPr/>
      </w:pPr>
      <w:r>
        <w:rPr>
          <w:sz w:val="22"/>
          <w:szCs w:val="22"/>
        </w:rPr>
        <w:t>Todas as sanções previstas neste Contrato poderão ser aplicadas cumulativamente com a multa (</w:t>
      </w:r>
      <w:r>
        <w:fldChar w:fldCharType="begin"/>
      </w:r>
      <w:r>
        <w:rPr>
          <w:rStyle w:val="Hyperlink"/>
          <w:sz w:val="22"/>
          <w:szCs w:val="22"/>
        </w:rPr>
        <w:instrText xml:space="preserve"> HYPERLINK "http://www.planalto.gov.br/ccivil_03/_ato2019-2022/2021/lei/L14133.htm" \l "art156%C2%A77"</w:instrText>
      </w:r>
      <w:r>
        <w:rPr>
          <w:rStyle w:val="Hyperlink"/>
          <w:sz w:val="22"/>
          <w:szCs w:val="22"/>
        </w:rPr>
        <w:fldChar w:fldCharType="separate"/>
      </w:r>
      <w:r>
        <w:rPr>
          <w:rStyle w:val="Hyperlink"/>
          <w:sz w:val="22"/>
          <w:szCs w:val="22"/>
        </w:rPr>
        <w:t>art. 156, §7º, da Lei nº 14.133, de 2021</w:t>
      </w:r>
      <w:r>
        <w:rPr>
          <w:rStyle w:val="Hyperlink"/>
          <w:sz w:val="22"/>
          <w:szCs w:val="22"/>
        </w:rPr>
        <w:fldChar w:fldCharType="end"/>
      </w:r>
      <w:r>
        <w:rPr>
          <w:sz w:val="22"/>
          <w:szCs w:val="22"/>
        </w:rPr>
        <w:t>).</w:t>
      </w:r>
    </w:p>
    <w:p>
      <w:pPr>
        <w:pStyle w:val="Nivel3"/>
        <w:tabs>
          <w:tab w:val="clear" w:pos="0"/>
        </w:tabs>
        <w:suppressAutoHyphens w:val="true"/>
        <w:spacing w:lineRule="auto" w:line="360" w:before="0" w:after="0"/>
        <w:ind w:firstLine="709" w:left="0"/>
        <w:rPr/>
      </w:pPr>
      <w:r>
        <w:rPr>
          <w:sz w:val="22"/>
          <w:szCs w:val="22"/>
        </w:rPr>
        <w:t>Antes da aplicação da multa será facultada a defesa do interessado no prazo de 15 (quinze) dias úteis, contado da data de sua intimação (</w:t>
      </w:r>
      <w:r>
        <w:fldChar w:fldCharType="begin"/>
      </w:r>
      <w:r>
        <w:rPr>
          <w:rStyle w:val="Hyperlink"/>
          <w:sz w:val="22"/>
          <w:szCs w:val="22"/>
        </w:rPr>
        <w:instrText xml:space="preserve"> HYPERLINK "http://www.planalto.gov.br/ccivil_03/_ato2019-2022/2021/lei/L14133.htm" \l "art157"</w:instrText>
      </w:r>
      <w:r>
        <w:rPr>
          <w:rStyle w:val="Hyperlink"/>
          <w:sz w:val="22"/>
          <w:szCs w:val="22"/>
        </w:rPr>
        <w:fldChar w:fldCharType="separate"/>
      </w:r>
      <w:r>
        <w:rPr>
          <w:rStyle w:val="Hyperlink"/>
          <w:sz w:val="22"/>
          <w:szCs w:val="22"/>
        </w:rPr>
        <w:t>art. 157, da Lei nº 14.133, de 2021</w:t>
      </w:r>
      <w:r>
        <w:rPr>
          <w:rStyle w:val="Hyperlink"/>
          <w:sz w:val="22"/>
          <w:szCs w:val="22"/>
        </w:rPr>
        <w:fldChar w:fldCharType="end"/>
      </w:r>
      <w:r>
        <w:rPr>
          <w:sz w:val="22"/>
          <w:szCs w:val="22"/>
        </w:rPr>
        <w:t>)</w:t>
      </w:r>
    </w:p>
    <w:p>
      <w:pPr>
        <w:pStyle w:val="Nivel3"/>
        <w:tabs>
          <w:tab w:val="clear" w:pos="0"/>
        </w:tabs>
        <w:suppressAutoHyphens w:val="true"/>
        <w:spacing w:lineRule="auto" w:line="360" w:before="0" w:after="0"/>
        <w:ind w:firstLine="709" w:left="0"/>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Hyperlink"/>
          <w:sz w:val="22"/>
          <w:szCs w:val="22"/>
        </w:rPr>
        <w:instrText xml:space="preserve"> HYPERLINK "http://www.planalto.gov.br/ccivil_03/_ato2019-2022/2021/lei/L14133.htm" \l "art156%C2%A78"</w:instrText>
      </w:r>
      <w:r>
        <w:rPr>
          <w:rStyle w:val="Hyperlink"/>
          <w:sz w:val="22"/>
          <w:szCs w:val="22"/>
        </w:rPr>
        <w:fldChar w:fldCharType="separate"/>
      </w:r>
      <w:r>
        <w:rPr>
          <w:rStyle w:val="Hyperlink"/>
          <w:sz w:val="22"/>
          <w:szCs w:val="22"/>
        </w:rPr>
        <w:t>art. 156, §8º, da Lei nº 14.133, de 2021</w:t>
      </w:r>
      <w:r>
        <w:rPr>
          <w:rStyle w:val="Hyperlink"/>
          <w:sz w:val="22"/>
          <w:szCs w:val="22"/>
        </w:rPr>
        <w:fldChar w:fldCharType="end"/>
      </w:r>
      <w:r>
        <w:rPr>
          <w:sz w:val="22"/>
          <w:szCs w:val="22"/>
        </w:rPr>
        <w:t>).</w:t>
      </w:r>
    </w:p>
    <w:p>
      <w:pPr>
        <w:pStyle w:val="Nivel3"/>
        <w:tabs>
          <w:tab w:val="clear" w:pos="0"/>
        </w:tabs>
        <w:suppressAutoHyphens w:val="true"/>
        <w:spacing w:lineRule="auto" w:line="360" w:before="0" w:after="0"/>
        <w:ind w:firstLine="709" w:left="0"/>
        <w:rPr/>
      </w:pPr>
      <w:r>
        <w:rPr>
          <w:sz w:val="22"/>
          <w:szCs w:val="22"/>
        </w:rPr>
        <w:t>Previamente ao encaminhamento à cobrança judicial, a multa poderá ser recolhida administrativamente no prazo máximo de 30 (trinta) dias, a contar da data do recebimento da comunicação enviada pela autoridade competente.</w:t>
      </w:r>
      <w:bookmarkStart w:id="42" w:name="_Hlk78351618"/>
      <w:bookmarkEnd w:id="42"/>
    </w:p>
    <w:p>
      <w:pPr>
        <w:pStyle w:val="Nivel2"/>
        <w:numPr>
          <w:ilvl w:val="0"/>
          <w:numId w:val="0"/>
        </w:numPr>
        <w:suppressAutoHyphens w:val="true"/>
        <w:spacing w:lineRule="auto" w:line="360" w:before="0" w:after="0"/>
        <w:ind w:firstLine="709" w:left="0"/>
        <w:rPr/>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r>
        <w:fldChar w:fldCharType="begin"/>
      </w:r>
      <w:r>
        <w:rPr>
          <w:rStyle w:val="Hyperlink"/>
          <w:sz w:val="22"/>
          <w:szCs w:val="22"/>
        </w:rPr>
        <w:instrText xml:space="preserve"> HYPERLINK "http://www.planalto.gov.br/ccivil_03/_ato2019-2022/2021/lei/L14133.htm" \l "art158"</w:instrText>
      </w:r>
      <w:r>
        <w:rPr>
          <w:rStyle w:val="Hyperlink"/>
          <w:sz w:val="22"/>
          <w:szCs w:val="22"/>
        </w:rPr>
        <w:fldChar w:fldCharType="separate"/>
      </w:r>
      <w:r>
        <w:rPr>
          <w:rStyle w:val="Hyperlink"/>
          <w:sz w:val="22"/>
          <w:szCs w:val="22"/>
        </w:rPr>
        <w:t>art. 158 da Lei nº 14.133, de 2021</w:t>
      </w:r>
      <w:r>
        <w:rPr>
          <w:rStyle w:val="Hyperlink"/>
          <w:sz w:val="22"/>
          <w:szCs w:val="22"/>
        </w:rPr>
        <w:fldChar w:fldCharType="end"/>
      </w:r>
      <w:r>
        <w:rPr>
          <w:sz w:val="22"/>
          <w:szCs w:val="22"/>
        </w:rPr>
        <w:t>, para as penalidades de impedimento de licitar e contratar e de declaração de inidoneidade para licitar ou contratar.</w:t>
      </w:r>
    </w:p>
    <w:p>
      <w:pPr>
        <w:pStyle w:val="Nivel2"/>
        <w:numPr>
          <w:ilvl w:val="0"/>
          <w:numId w:val="0"/>
        </w:numPr>
        <w:spacing w:lineRule="auto" w:line="360" w:before="0" w:after="0"/>
        <w:ind w:hanging="0" w:left="0"/>
        <w:rPr/>
      </w:pPr>
      <w:r>
        <w:rPr>
          <w:sz w:val="22"/>
          <w:szCs w:val="22"/>
        </w:rPr>
        <w:t>Na aplicação das sanções serão considerados (</w:t>
      </w:r>
      <w:r>
        <w:fldChar w:fldCharType="begin"/>
      </w:r>
      <w:r>
        <w:rPr>
          <w:rStyle w:val="Hyperlink"/>
          <w:sz w:val="22"/>
          <w:szCs w:val="22"/>
        </w:rPr>
        <w:instrText xml:space="preserve"> HYPERLINK "http://www.planalto.gov.br/ccivil_03/_ato2019-2022/2021/lei/L14133.htm" \l "art156%C2%A71"</w:instrText>
      </w:r>
      <w:r>
        <w:rPr>
          <w:rStyle w:val="Hyperlink"/>
          <w:sz w:val="22"/>
          <w:szCs w:val="22"/>
        </w:rPr>
        <w:fldChar w:fldCharType="separate"/>
      </w:r>
      <w:r>
        <w:rPr>
          <w:rStyle w:val="Hyperlink"/>
          <w:sz w:val="22"/>
          <w:szCs w:val="22"/>
        </w:rPr>
        <w:t>art. 156, §1º, da Lei nº 14.133, de 2021</w:t>
      </w:r>
      <w:r>
        <w:rPr>
          <w:rStyle w:val="Hyperlink"/>
          <w:sz w:val="22"/>
          <w:szCs w:val="22"/>
        </w:rPr>
        <w:fldChar w:fldCharType="end"/>
      </w:r>
      <w:r>
        <w:rPr>
          <w:sz w:val="22"/>
          <w:szCs w:val="22"/>
        </w:rPr>
        <w:t>):</w:t>
      </w:r>
    </w:p>
    <w:p>
      <w:pPr>
        <w:pStyle w:val="Normal"/>
        <w:numPr>
          <w:ilvl w:val="0"/>
          <w:numId w:val="13"/>
        </w:numPr>
        <w:spacing w:lineRule="auto" w:line="360"/>
        <w:ind w:hanging="0" w:left="0"/>
        <w:jc w:val="both"/>
        <w:rPr/>
      </w:pPr>
      <w:r>
        <w:rPr>
          <w:rFonts w:eastAsia="Arial" w:cs="Arial" w:ascii="Arial" w:hAnsi="Arial"/>
          <w:sz w:val="22"/>
          <w:szCs w:val="22"/>
        </w:rPr>
        <w:t>a natureza e a gravidade da infração cometida;</w:t>
      </w:r>
    </w:p>
    <w:p>
      <w:pPr>
        <w:pStyle w:val="Normal"/>
        <w:numPr>
          <w:ilvl w:val="0"/>
          <w:numId w:val="13"/>
        </w:numPr>
        <w:spacing w:lineRule="auto" w:line="360"/>
        <w:ind w:hanging="0" w:left="0"/>
        <w:jc w:val="both"/>
        <w:rPr/>
      </w:pPr>
      <w:r>
        <w:rPr>
          <w:rFonts w:eastAsia="Arial" w:cs="Arial" w:ascii="Arial" w:hAnsi="Arial"/>
          <w:sz w:val="22"/>
          <w:szCs w:val="22"/>
        </w:rPr>
        <w:t>as peculiaridades do caso concreto;</w:t>
      </w:r>
    </w:p>
    <w:p>
      <w:pPr>
        <w:pStyle w:val="Normal"/>
        <w:numPr>
          <w:ilvl w:val="0"/>
          <w:numId w:val="13"/>
        </w:numPr>
        <w:spacing w:lineRule="auto" w:line="360"/>
        <w:ind w:hanging="0" w:left="0"/>
        <w:jc w:val="both"/>
        <w:rPr/>
      </w:pPr>
      <w:r>
        <w:rPr>
          <w:rFonts w:eastAsia="Arial" w:cs="Arial" w:ascii="Arial" w:hAnsi="Arial"/>
          <w:sz w:val="22"/>
          <w:szCs w:val="22"/>
        </w:rPr>
        <w:t>as circunstâncias agravantes ou atenuantes;</w:t>
      </w:r>
    </w:p>
    <w:p>
      <w:pPr>
        <w:pStyle w:val="Normal"/>
        <w:numPr>
          <w:ilvl w:val="0"/>
          <w:numId w:val="13"/>
        </w:numPr>
        <w:spacing w:lineRule="auto" w:line="360"/>
        <w:ind w:hanging="0" w:left="0"/>
        <w:jc w:val="both"/>
        <w:rPr/>
      </w:pPr>
      <w:r>
        <w:rPr>
          <w:rFonts w:eastAsia="Arial" w:cs="Arial" w:ascii="Arial" w:hAnsi="Arial"/>
          <w:sz w:val="22"/>
          <w:szCs w:val="22"/>
        </w:rPr>
        <w:t>os danos que dela provierem para o Contratante;</w:t>
      </w:r>
    </w:p>
    <w:p>
      <w:pPr>
        <w:pStyle w:val="Normal"/>
        <w:numPr>
          <w:ilvl w:val="0"/>
          <w:numId w:val="13"/>
        </w:numPr>
        <w:spacing w:lineRule="auto" w:line="360"/>
        <w:ind w:hanging="0" w:left="0"/>
        <w:jc w:val="both"/>
        <w:rPr/>
      </w:pPr>
      <w:r>
        <w:rPr>
          <w:rFonts w:eastAsia="Arial" w:cs="Arial" w:ascii="Arial" w:hAnsi="Arial"/>
          <w:sz w:val="22"/>
          <w:szCs w:val="22"/>
        </w:rPr>
        <w:t>a implantação ou o aperfeiçoamento de programa de integridade, conforme normas e orientações dos órgãos de controle.</w:t>
      </w:r>
    </w:p>
    <w:p>
      <w:pPr>
        <w:pStyle w:val="Nivel2"/>
        <w:numPr>
          <w:ilvl w:val="0"/>
          <w:numId w:val="0"/>
        </w:numPr>
        <w:suppressAutoHyphens w:val="true"/>
        <w:spacing w:lineRule="auto" w:line="360" w:before="0" w:after="0"/>
        <w:ind w:firstLine="709" w:left="0"/>
        <w:rPr/>
      </w:pPr>
      <w:r>
        <w:rPr>
          <w:sz w:val="22"/>
          <w:szCs w:val="22"/>
        </w:rPr>
        <w:t xml:space="preserve">Os atos previstos como infrações administrativas na </w:t>
      </w:r>
      <w:hyperlink r:id="rId21">
        <w:r>
          <w:rPr>
            <w:rStyle w:val="Hyperlink"/>
            <w:sz w:val="22"/>
            <w:szCs w:val="22"/>
          </w:rPr>
          <w:t>Lei nº 14.133, de 2021</w:t>
        </w:r>
      </w:hyperlink>
      <w:r>
        <w:rPr>
          <w:sz w:val="22"/>
          <w:szCs w:val="22"/>
        </w:rPr>
        <w:t xml:space="preserve">, ou em outras leis de licitações e contratos da Administração Pública que também sejam tipificados como atos lesivos na </w:t>
      </w:r>
      <w:hyperlink r:id="rId22">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23">
        <w:r>
          <w:rPr>
            <w:rStyle w:val="Hyperlink"/>
            <w:sz w:val="22"/>
            <w:szCs w:val="22"/>
          </w:rPr>
          <w:t>art. 159</w:t>
        </w:r>
      </w:hyperlink>
      <w:r>
        <w:rPr>
          <w:sz w:val="22"/>
          <w:szCs w:val="22"/>
        </w:rPr>
        <w:t>).</w:t>
      </w:r>
    </w:p>
    <w:p>
      <w:pPr>
        <w:pStyle w:val="Nivel2"/>
        <w:numPr>
          <w:ilvl w:val="0"/>
          <w:numId w:val="0"/>
        </w:numPr>
        <w:suppressAutoHyphens w:val="true"/>
        <w:spacing w:lineRule="auto" w:line="360" w:before="0" w:after="0"/>
        <w:ind w:firstLine="709" w:left="0"/>
        <w:rPr/>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Hyperlink"/>
          <w:szCs w:val="22"/>
        </w:rPr>
        <w:instrText xml:space="preserve"> HYPERLINK "http://www.planalto.gov.br/ccivil_03/_ato2019-2022/2021/lei/L14133.htm" \l "art160"</w:instrText>
      </w:r>
      <w:r>
        <w:rPr>
          <w:rStyle w:val="Hyperlink"/>
          <w:szCs w:val="22"/>
        </w:rPr>
        <w:fldChar w:fldCharType="separate"/>
      </w:r>
      <w:r>
        <w:rPr>
          <w:rStyle w:val="Hyperlink"/>
          <w:szCs w:val="22"/>
        </w:rPr>
        <w:t>art. 160, da Lei nº 14.133, de 2021</w:t>
      </w:r>
      <w:r>
        <w:rPr>
          <w:rStyle w:val="Hyperlink"/>
          <w:szCs w:val="22"/>
        </w:rPr>
        <w:fldChar w:fldCharType="end"/>
      </w:r>
      <w:r>
        <w:rPr>
          <w:sz w:val="22"/>
          <w:szCs w:val="22"/>
        </w:rPr>
        <w:t>).</w:t>
      </w:r>
    </w:p>
    <w:p>
      <w:pPr>
        <w:pStyle w:val="Nivel2"/>
        <w:numPr>
          <w:ilvl w:val="0"/>
          <w:numId w:val="0"/>
        </w:numPr>
        <w:suppressAutoHyphens w:val="true"/>
        <w:spacing w:lineRule="auto" w:line="360" w:before="0" w:after="0"/>
        <w:ind w:firstLine="709" w:left="0"/>
        <w:rPr/>
      </w:pPr>
      <w:r>
        <w:rPr>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Hyperlink"/>
          <w:szCs w:val="22"/>
        </w:rPr>
        <w:instrText xml:space="preserve"> HYPERLINK "http://www.planalto.gov.br/ccivil_03/_ato2019-2022/2021/lei/L14133.htm" \l "art161"</w:instrText>
      </w:r>
      <w:r>
        <w:rPr>
          <w:rStyle w:val="Hyperlink"/>
          <w:szCs w:val="22"/>
        </w:rPr>
        <w:fldChar w:fldCharType="separate"/>
      </w:r>
      <w:r>
        <w:rPr>
          <w:rStyle w:val="Hyperlink"/>
          <w:szCs w:val="22"/>
        </w:rPr>
        <w:t>Art. 161, da Lei nº 14.133, de 2021</w:t>
      </w:r>
      <w:r>
        <w:rPr>
          <w:rStyle w:val="Hyperlink"/>
          <w:szCs w:val="22"/>
        </w:rPr>
        <w:fldChar w:fldCharType="end"/>
      </w:r>
      <w:r>
        <w:rPr>
          <w:sz w:val="22"/>
          <w:szCs w:val="22"/>
        </w:rPr>
        <w:t>).</w:t>
      </w:r>
    </w:p>
    <w:p>
      <w:pPr>
        <w:pStyle w:val="Nivel2"/>
        <w:numPr>
          <w:ilvl w:val="0"/>
          <w:numId w:val="0"/>
        </w:numPr>
        <w:suppressAutoHyphens w:val="true"/>
        <w:spacing w:lineRule="auto" w:line="360" w:before="0" w:after="0"/>
        <w:ind w:firstLine="709" w:left="0"/>
        <w:rPr/>
      </w:pPr>
      <w:r>
        <w:rPr>
          <w:sz w:val="22"/>
          <w:szCs w:val="22"/>
        </w:rPr>
        <w:t xml:space="preserve">As sanções de impedimento de licitar e contratar e declaração de inidoneidade para licitar ou contratar são passíveis de reabilitação na forma do </w:t>
      </w:r>
      <w:r>
        <w:fldChar w:fldCharType="begin"/>
      </w:r>
      <w:r>
        <w:rPr>
          <w:rStyle w:val="Hyperlink"/>
          <w:szCs w:val="22"/>
        </w:rPr>
        <w:instrText xml:space="preserve"> HYPERLINK "http://www.planalto.gov.br/ccivil_03/_ato2019-2022/2021/lei/L14133.htm" \l "163"</w:instrText>
      </w:r>
      <w:r>
        <w:rPr>
          <w:rStyle w:val="Hyperlink"/>
          <w:szCs w:val="22"/>
        </w:rPr>
        <w:fldChar w:fldCharType="separate"/>
      </w:r>
      <w:r>
        <w:rPr>
          <w:rStyle w:val="Hyperlink"/>
          <w:szCs w:val="22"/>
        </w:rPr>
        <w:t>art. 163 da Lei nº 14.133/21</w:t>
      </w:r>
      <w:r>
        <w:rPr>
          <w:rStyle w:val="Hyperlink"/>
          <w:szCs w:val="22"/>
        </w:rPr>
        <w:fldChar w:fldCharType="end"/>
      </w:r>
      <w:r>
        <w:rPr>
          <w:sz w:val="22"/>
          <w:szCs w:val="22"/>
        </w:rPr>
        <w:t>.</w:t>
      </w:r>
    </w:p>
    <w:p>
      <w:pPr>
        <w:pStyle w:val="Nivel2"/>
        <w:numPr>
          <w:ilvl w:val="0"/>
          <w:numId w:val="0"/>
        </w:numPr>
        <w:suppressAutoHyphens w:val="true"/>
        <w:spacing w:lineRule="auto" w:line="360" w:before="0" w:after="0"/>
        <w:ind w:firstLine="709" w:left="0"/>
        <w:rPr/>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4">
        <w:r>
          <w:rPr>
            <w:rStyle w:val="Hyperlink"/>
            <w:szCs w:val="22"/>
          </w:rPr>
          <w:t>Normativa SEGES/ME nº 26, de 13 de abril de 2022</w:t>
        </w:r>
      </w:hyperlink>
      <w:r>
        <w:rPr>
          <w:sz w:val="22"/>
          <w:szCs w:val="22"/>
        </w:rPr>
        <w:t xml:space="preserve">. </w:t>
      </w:r>
    </w:p>
    <w:p>
      <w:pPr>
        <w:pStyle w:val="Normal"/>
        <w:spacing w:lineRule="auto" w:line="360"/>
        <w:jc w:val="both"/>
        <w:rPr>
          <w:rFonts w:ascii="Arial" w:hAnsi="Arial" w:eastAsia="Calibri" w:cs="Arial"/>
          <w:sz w:val="22"/>
          <w:szCs w:val="22"/>
        </w:rPr>
      </w:pPr>
      <w:r>
        <w:rPr>
          <w:rFonts w:eastAsia="Calibri" w:cs="Arial" w:ascii="Arial" w:hAnsi="Arial"/>
          <w:sz w:val="22"/>
          <w:szCs w:val="22"/>
        </w:rPr>
      </w:r>
    </w:p>
    <w:p>
      <w:pPr>
        <w:pStyle w:val="Header"/>
        <w:spacing w:lineRule="auto" w:line="360"/>
        <w:jc w:val="both"/>
        <w:rPr>
          <w:rFonts w:ascii="Arial" w:hAnsi="Arial" w:cs="Arial"/>
          <w:b/>
          <w:sz w:val="22"/>
          <w:szCs w:val="22"/>
        </w:rPr>
      </w:pPr>
      <w:r>
        <w:rPr>
          <w:rFonts w:cs="Arial" w:ascii="Arial" w:hAnsi="Arial"/>
          <w:b/>
          <w:sz w:val="22"/>
          <w:szCs w:val="22"/>
        </w:rPr>
        <w:t>9 - PENALIDADES</w:t>
      </w:r>
    </w:p>
    <w:p>
      <w:pPr>
        <w:pStyle w:val="Header"/>
        <w:spacing w:lineRule="auto" w:line="360"/>
        <w:jc w:val="both"/>
        <w:rPr>
          <w:rFonts w:ascii="Arial" w:hAnsi="Arial" w:cs="Arial"/>
          <w:b/>
          <w:bCs/>
          <w:sz w:val="22"/>
          <w:szCs w:val="22"/>
        </w:rPr>
      </w:pPr>
      <w:r>
        <w:rPr>
          <w:rFonts w:cs="Arial" w:ascii="Arial" w:hAnsi="Arial"/>
          <w:sz w:val="22"/>
          <w:szCs w:val="22"/>
        </w:rPr>
        <w:t>9.1 - Pela inexecução total ou parcial dos serviços objeto deste Termo de Referência, a Administração poderá aplicar, ao Contratado, as penalidades previstas no instrumento editalício e contratual, além daquelas penalidades previstas em lei.</w:t>
      </w:r>
    </w:p>
    <w:p>
      <w:pPr>
        <w:pStyle w:val="Normal"/>
        <w:tabs>
          <w:tab w:val="clear" w:pos="709"/>
          <w:tab w:val="left" w:pos="3857" w:leader="none"/>
        </w:tabs>
        <w:spacing w:lineRule="auto" w:line="360"/>
        <w:ind w:right="-54"/>
        <w:jc w:val="both"/>
        <w:rPr>
          <w:rFonts w:ascii="Arial" w:hAnsi="Arial" w:cs="Arial"/>
          <w:b/>
          <w:bCs/>
          <w:sz w:val="22"/>
          <w:szCs w:val="22"/>
        </w:rPr>
      </w:pPr>
      <w:bookmarkStart w:id="43" w:name="_Hlk82471863"/>
      <w:bookmarkEnd w:id="43"/>
      <w:r>
        <w:rPr>
          <w:rFonts w:cs="Arial" w:ascii="Arial" w:hAnsi="Arial"/>
          <w:b/>
          <w:bCs/>
          <w:sz w:val="22"/>
          <w:szCs w:val="22"/>
        </w:rPr>
        <w:t xml:space="preserve">ANEXO II </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pPr>
      <w:r>
        <w:rPr>
          <w:rFonts w:cs="Arial" w:ascii="Arial" w:hAnsi="Arial"/>
          <w:b/>
          <w:bCs/>
          <w:sz w:val="22"/>
          <w:szCs w:val="22"/>
        </w:rPr>
        <w:t>PREFEITURA DO MUNICÍPIO DE ITATIBA</w:t>
      </w:r>
    </w:p>
    <w:p>
      <w:pPr>
        <w:pStyle w:val="Normal"/>
        <w:spacing w:lineRule="auto" w:line="360"/>
        <w:ind w:right="-57"/>
        <w:jc w:val="both"/>
        <w:rPr/>
      </w:pPr>
      <w:r>
        <w:rPr>
          <w:rFonts w:cs="Arial" w:ascii="Arial" w:hAnsi="Arial"/>
          <w:b/>
          <w:bCs/>
          <w:sz w:val="22"/>
          <w:szCs w:val="22"/>
        </w:rPr>
        <w:t xml:space="preserve">PREGÃO ELETRÔNICO </w:t>
      </w:r>
      <w:r>
        <w:rPr>
          <w:rFonts w:cs="Arial" w:ascii="Arial" w:hAnsi="Arial"/>
          <w:b/>
          <w:bCs/>
          <w:sz w:val="22"/>
          <w:szCs w:val="22"/>
        </w:rPr>
        <w:t>30</w:t>
      </w:r>
      <w:r>
        <w:rPr>
          <w:rFonts w:cs="Arial" w:ascii="Arial" w:hAnsi="Arial"/>
          <w:b/>
          <w:bCs/>
          <w:sz w:val="22"/>
          <w:szCs w:val="22"/>
        </w:rPr>
        <w:t>/2025</w:t>
      </w:r>
    </w:p>
    <w:p>
      <w:pPr>
        <w:pStyle w:val="Normal"/>
        <w:spacing w:lineRule="auto" w:line="360"/>
        <w:ind w:right="-57"/>
        <w:jc w:val="both"/>
        <w:rPr/>
      </w:pPr>
      <w:r>
        <w:rPr>
          <w:rFonts w:cs="Arial" w:ascii="Arial" w:hAnsi="Arial"/>
          <w:b/>
          <w:bCs/>
          <w:sz w:val="22"/>
          <w:szCs w:val="22"/>
        </w:rPr>
        <w:t xml:space="preserve">EDITAL Nº </w:t>
      </w:r>
      <w:r>
        <w:rPr>
          <w:rFonts w:cs="Arial" w:ascii="Arial" w:hAnsi="Arial"/>
          <w:b/>
          <w:bCs/>
          <w:sz w:val="22"/>
          <w:szCs w:val="22"/>
        </w:rPr>
        <w:t>39</w:t>
      </w:r>
      <w:r>
        <w:rPr>
          <w:rFonts w:cs="Arial" w:ascii="Arial" w:hAnsi="Arial"/>
          <w:b/>
          <w:bCs/>
          <w:sz w:val="22"/>
          <w:szCs w:val="22"/>
        </w:rPr>
        <w:t>/2025</w:t>
      </w:r>
    </w:p>
    <w:p>
      <w:pPr>
        <w:pStyle w:val="Normal"/>
        <w:spacing w:lineRule="auto" w:line="360"/>
        <w:ind w:right="-57"/>
        <w:jc w:val="both"/>
        <w:rPr/>
      </w:pPr>
      <w:r>
        <w:rPr>
          <w:rFonts w:cs="Arial" w:ascii="Arial" w:hAnsi="Arial"/>
          <w:b/>
          <w:bCs/>
          <w:sz w:val="22"/>
          <w:szCs w:val="22"/>
        </w:rPr>
        <w:t>Processo nº 3.614/2025</w:t>
      </w:r>
    </w:p>
    <w:p>
      <w:pPr>
        <w:pStyle w:val="Normal"/>
        <w:tabs>
          <w:tab w:val="clear" w:pos="709"/>
          <w:tab w:val="left" w:pos="1978" w:leader="none"/>
        </w:tabs>
        <w:spacing w:lineRule="auto" w:line="360"/>
        <w:ind w:right="-54"/>
        <w:jc w:val="both"/>
        <w:rPr>
          <w:rFonts w:ascii="Arial" w:hAnsi="Arial" w:cs="Arial"/>
          <w:sz w:val="22"/>
          <w:szCs w:val="22"/>
          <w:u w:val="single"/>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7"/>
        <w:jc w:val="both"/>
        <w:rPr/>
      </w:pPr>
      <w:r>
        <w:rPr/>
      </w:r>
    </w:p>
    <w:p>
      <w:pPr>
        <w:pStyle w:val="Normal"/>
        <w:spacing w:lineRule="auto" w:line="360"/>
        <w:ind w:right="-57"/>
        <w:jc w:val="both"/>
        <w:rPr/>
      </w:pPr>
      <w:r>
        <w:rPr/>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t>ANEXO III</w:t>
      </w:r>
    </w:p>
    <w:p>
      <w:pPr>
        <w:pStyle w:val="Normal"/>
        <w:spacing w:lineRule="auto" w:line="360"/>
        <w:ind w:right="-54"/>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30</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39</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3.614/2025</w:t>
      </w:r>
    </w:p>
    <w:p>
      <w:pPr>
        <w:pStyle w:val="Normal"/>
        <w:tabs>
          <w:tab w:val="clear" w:pos="709"/>
          <w:tab w:val="left" w:pos="1978" w:leader="none"/>
        </w:tabs>
        <w:spacing w:lineRule="auto" w:line="360"/>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both"/>
        <w:rPr/>
      </w:pPr>
      <w:r>
        <w:rPr>
          <w:rFonts w:eastAsia="Arial" w:cs="Arial" w:ascii="Arial" w:hAnsi="Arial"/>
          <w:sz w:val="22"/>
          <w:szCs w:val="22"/>
        </w:rPr>
        <w:t xml:space="preserve">                                               </w:t>
      </w:r>
      <w:r>
        <w:rPr>
          <w:rFonts w:cs="Arial" w:ascii="Arial" w:hAnsi="Arial"/>
          <w:sz w:val="22"/>
          <w:szCs w:val="22"/>
        </w:rPr>
        <w:t xml:space="preserve">Eu, ............(nome)..........., CPF: ____________representante legal da firma ..........................., CNPJ__________ interessada em participar no Processo Licitatório (Pregão nº </w:t>
      </w:r>
      <w:r>
        <w:rPr>
          <w:rFonts w:cs="Arial" w:ascii="Arial" w:hAnsi="Arial"/>
          <w:sz w:val="22"/>
          <w:szCs w:val="22"/>
        </w:rPr>
        <w:t>30</w:t>
      </w:r>
      <w:r>
        <w:rPr>
          <w:rFonts w:cs="Arial" w:ascii="Arial" w:hAnsi="Arial"/>
          <w:sz w:val="22"/>
          <w:szCs w:val="22"/>
        </w:rPr>
        <w:t>/2025),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2025.</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30</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39</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3.614/2025</w:t>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jc w:val="center"/>
        <w:rPr>
          <w:rFonts w:ascii="Arial" w:hAnsi="Arial" w:cs="Arial"/>
          <w:sz w:val="22"/>
          <w:szCs w:val="22"/>
        </w:rPr>
      </w:pPr>
      <w:r>
        <w:rPr>
          <w:rFonts w:cs="Arial" w:ascii="Arial" w:hAnsi="Arial"/>
          <w:sz w:val="22"/>
          <w:szCs w:val="22"/>
        </w:rPr>
        <w:t>OU</w:t>
      </w:r>
    </w:p>
    <w:p>
      <w:pPr>
        <w:pStyle w:val="Normal"/>
        <w:spacing w:lineRule="auto" w:line="360"/>
        <w:ind w:right="-54"/>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360"/>
        <w:ind w:right="-54"/>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left="3540" w:right="-54"/>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firstLine="708" w:left="2832" w:right="-54"/>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firstLine="708" w:left="2832" w:right="-54"/>
        <w:jc w:val="both"/>
        <w:rPr>
          <w:rFonts w:ascii="Arial" w:hAnsi="Arial" w:cs="Arial"/>
          <w:sz w:val="22"/>
          <w:szCs w:val="22"/>
        </w:rPr>
      </w:pPr>
      <w:r>
        <w:rPr>
          <w:rFonts w:cs="Arial" w:ascii="Arial" w:hAnsi="Arial"/>
          <w:sz w:val="22"/>
          <w:szCs w:val="22"/>
        </w:rPr>
        <w:t>Nome</w:t>
      </w:r>
    </w:p>
    <w:p>
      <w:pPr>
        <w:pStyle w:val="Normal"/>
        <w:spacing w:lineRule="auto" w:line="360"/>
        <w:ind w:left="3540" w:right="-54"/>
        <w:jc w:val="both"/>
        <w:rPr>
          <w:rFonts w:ascii="Arial" w:hAnsi="Arial" w:cs="Arial"/>
          <w:sz w:val="22"/>
          <w:szCs w:val="22"/>
        </w:rPr>
      </w:pPr>
      <w:r>
        <w:rPr>
          <w:rFonts w:cs="Arial" w:ascii="Arial" w:hAnsi="Arial"/>
          <w:sz w:val="22"/>
          <w:szCs w:val="22"/>
        </w:rPr>
        <w:t>RG nº...................................</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t>ANEXO V</w:t>
      </w:r>
    </w:p>
    <w:p>
      <w:pPr>
        <w:pStyle w:val="Normal"/>
        <w:spacing w:lineRule="auto" w:line="360"/>
        <w:ind w:right="-54"/>
        <w:jc w:val="both"/>
        <w:rPr/>
      </w:pPr>
      <w:r>
        <w:rPr>
          <w:rFonts w:cs="Arial" w:ascii="Arial" w:hAnsi="Arial"/>
          <w:b/>
          <w:bCs/>
          <w:sz w:val="22"/>
          <w:szCs w:val="22"/>
        </w:rPr>
        <w:t>MODELO - Proposta</w:t>
      </w:r>
    </w:p>
    <w:p>
      <w:pPr>
        <w:pStyle w:val="Normal"/>
        <w:spacing w:lineRule="auto" w:line="360"/>
        <w:ind w:right="-57"/>
        <w:jc w:val="both"/>
        <w:rPr/>
      </w:pPr>
      <w:r>
        <w:rPr>
          <w:rFonts w:cs="Arial" w:ascii="Arial" w:hAnsi="Arial"/>
          <w:b/>
          <w:bCs/>
          <w:sz w:val="22"/>
          <w:szCs w:val="22"/>
        </w:rPr>
        <w:t xml:space="preserve">PREGÃO ELETRÔNICO </w:t>
      </w:r>
      <w:r>
        <w:rPr>
          <w:rFonts w:cs="Arial" w:ascii="Arial" w:hAnsi="Arial"/>
          <w:b/>
          <w:bCs/>
          <w:sz w:val="22"/>
          <w:szCs w:val="22"/>
        </w:rPr>
        <w:t>30</w:t>
      </w:r>
      <w:r>
        <w:rPr>
          <w:rFonts w:cs="Arial" w:ascii="Arial" w:hAnsi="Arial"/>
          <w:b/>
          <w:bCs/>
          <w:sz w:val="22"/>
          <w:szCs w:val="22"/>
        </w:rPr>
        <w:t>/2025</w:t>
      </w:r>
    </w:p>
    <w:p>
      <w:pPr>
        <w:pStyle w:val="Normal"/>
        <w:spacing w:lineRule="auto" w:line="360"/>
        <w:ind w:right="-57"/>
        <w:jc w:val="both"/>
        <w:rPr/>
      </w:pPr>
      <w:r>
        <w:rPr>
          <w:rFonts w:cs="Arial" w:ascii="Arial" w:hAnsi="Arial"/>
          <w:b/>
          <w:bCs/>
          <w:sz w:val="22"/>
          <w:szCs w:val="22"/>
        </w:rPr>
        <w:t xml:space="preserve">EDITAL Nº </w:t>
      </w:r>
      <w:r>
        <w:rPr>
          <w:rFonts w:cs="Arial" w:ascii="Arial" w:hAnsi="Arial"/>
          <w:b/>
          <w:bCs/>
          <w:sz w:val="22"/>
          <w:szCs w:val="22"/>
        </w:rPr>
        <w:t>39</w:t>
      </w:r>
      <w:r>
        <w:rPr>
          <w:rFonts w:cs="Arial" w:ascii="Arial" w:hAnsi="Arial"/>
          <w:b/>
          <w:bCs/>
          <w:sz w:val="22"/>
          <w:szCs w:val="22"/>
        </w:rPr>
        <w:t>/2025</w:t>
      </w:r>
    </w:p>
    <w:p>
      <w:pPr>
        <w:pStyle w:val="Normal"/>
        <w:spacing w:lineRule="auto" w:line="360"/>
        <w:ind w:right="-57"/>
        <w:jc w:val="both"/>
        <w:rPr/>
      </w:pPr>
      <w:r>
        <w:rPr>
          <w:rFonts w:cs="Arial" w:ascii="Arial" w:hAnsi="Arial"/>
          <w:b/>
          <w:bCs/>
          <w:sz w:val="22"/>
          <w:szCs w:val="22"/>
        </w:rPr>
        <w:t>Processo nº 3.614/2025</w:t>
      </w:r>
    </w:p>
    <w:p>
      <w:pPr>
        <w:pStyle w:val="Normal"/>
        <w:spacing w:lineRule="auto" w:line="360"/>
        <w:ind w:right="-54"/>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both"/>
        <w:rPr>
          <w:rFonts w:ascii="Arial" w:hAnsi="Arial" w:cs="Arial"/>
          <w:sz w:val="22"/>
          <w:szCs w:val="22"/>
        </w:rPr>
      </w:pPr>
      <w:r>
        <w:rPr>
          <w:rFonts w:cs="Arial" w:ascii="Arial" w:hAnsi="Arial"/>
          <w:sz w:val="22"/>
          <w:szCs w:val="22"/>
        </w:rPr>
        <w:t>À</w:t>
      </w:r>
    </w:p>
    <w:p>
      <w:pPr>
        <w:pStyle w:val="Normal"/>
        <w:spacing w:lineRule="auto" w:line="360"/>
        <w:ind w:right="-54"/>
        <w:jc w:val="both"/>
        <w:rPr>
          <w:rFonts w:ascii="Arial" w:hAnsi="Arial" w:cs="Arial"/>
          <w:sz w:val="22"/>
          <w:szCs w:val="22"/>
        </w:rPr>
      </w:pPr>
      <w:r>
        <w:rPr>
          <w:rFonts w:cs="Arial" w:ascii="Arial" w:hAnsi="Arial"/>
          <w:sz w:val="22"/>
          <w:szCs w:val="22"/>
        </w:rPr>
        <w:t>PREFEITURA MUNICIPAL DE ITATIBA</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rPr>
      </w:pPr>
      <w:r>
        <w:rPr>
          <w:rFonts w:cs="Arial" w:ascii="Arial" w:hAnsi="Arial"/>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rPr>
      </w:pPr>
      <w:r>
        <w:rPr>
          <w:rFonts w:cs="Arial" w:ascii="Arial" w:hAnsi="Arial"/>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rPr>
      </w:pPr>
      <w:r>
        <w:rPr>
          <w:rFonts w:cs="Arial" w:ascii="Arial" w:hAnsi="Arial"/>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rPr>
      </w:pPr>
      <w:r>
        <w:rPr>
          <w:rFonts w:cs="Arial" w:ascii="Arial" w:hAnsi="Arial"/>
        </w:rPr>
        <w:t>Telefone para contato ____________________________________________________________</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Segue nossa proposta para fornecimento dos serviços a seguir:</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ivel01"/>
        <w:spacing w:lineRule="auto" w:line="276"/>
        <w:ind w:hanging="0" w:left="360"/>
        <w:jc w:val="center"/>
        <w:rPr>
          <w:sz w:val="22"/>
          <w:szCs w:val="22"/>
        </w:rPr>
      </w:pPr>
      <w:r>
        <w:rPr>
          <w:sz w:val="22"/>
          <w:szCs w:val="22"/>
        </w:rPr>
        <w:t>COTA PRINCIPAL - AMPLA PARTICIPAÇÃO</w:t>
      </w:r>
    </w:p>
    <w:p>
      <w:pPr>
        <w:pStyle w:val="Normal"/>
        <w:rPr/>
      </w:pPr>
      <w:r>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3687"/>
        <w:gridCol w:w="849"/>
        <w:gridCol w:w="1135"/>
        <w:gridCol w:w="850"/>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3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4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Marca</w:t>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1.06.05.0488-7 - CURATIVO DE HIDROFIBRA COM ALGINATO DE CÁLCIO E PRATA LÔNICA - TAMANHO 10X10 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CURATIVO DE HIDROFIBRA COM ALGINATO DE CÁLCIO E PRATA LÔNICA - TAMANHO 10X10 CM</w:t>
            </w:r>
          </w:p>
          <w:p>
            <w:pPr>
              <w:pStyle w:val="Normal"/>
              <w:widowControl w:val="false"/>
              <w:pBdr/>
              <w:jc w:val="both"/>
              <w:rPr>
                <w:rFonts w:ascii="Arial" w:hAnsi="Arial" w:cs="Arial"/>
                <w:sz w:val="18"/>
                <w:szCs w:val="18"/>
              </w:rPr>
            </w:pPr>
            <w:r>
              <w:rPr>
                <w:rFonts w:cs="Arial" w:ascii="Arial" w:hAnsi="Arial"/>
                <w:sz w:val="18"/>
                <w:szCs w:val="18"/>
              </w:rPr>
              <w:t>Curativo de Hidrofibra com Alginato de Cálcio e Prata Iônica: Cobertura de Hidrofibra com alta capacidade de absorção, antimicrobiana, estéril, constituída por alginato de cálcio, carboximetilcelulose sódica (CMC) e por 0,6% de Prata Iônica. Sem adição de sódio. Com certificado de boas práticas de fabricação, embaladas individualmente contendo dados de identificação do produto, n. lote, validade e n. do registro de hidrofibra no Ministério da Saúde e Anvisa. Tamanho 10x10cm.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1.06.05.0489-5 - HIDROGEL COM PHMB E PECTINA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TB</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HIDROGEL COM PHMB E PECTINA. Hidrogel de alta viscosidade composto minimamente por poliaminopropil biguanida (phmb), pectina e hidroxietilcelulose. Indicado principalmente para feridas contaminadas e crônicas. Tampa flip top. O produto deverá ter registro como produto médico para saúde, classe de risco IV, apresentando Boas Práticas de Fabricação. Bisnaga de 30g.</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1.06.05.0495-0 - BOTA DE UNNA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BOTA DE UNNA </w:t>
            </w:r>
          </w:p>
          <w:p>
            <w:pPr>
              <w:pStyle w:val="Normal"/>
              <w:widowControl w:val="false"/>
              <w:pBdr/>
              <w:jc w:val="both"/>
              <w:rPr>
                <w:rFonts w:ascii="Arial" w:hAnsi="Arial" w:cs="Arial"/>
                <w:sz w:val="18"/>
                <w:szCs w:val="18"/>
              </w:rPr>
            </w:pPr>
            <w:r>
              <w:rPr>
                <w:rFonts w:cs="Arial" w:ascii="Arial" w:hAnsi="Arial"/>
                <w:sz w:val="18"/>
                <w:szCs w:val="18"/>
              </w:rPr>
              <w:t>Bandagem inelástica impregnada com pasta contendo óxido de zinco,glicerol, óleo de rícino, água deionizada e goma acácia, embalada individualmente em envelope PET/PE , registro na ANVISA como correlato classe de risco III (produtos destinados a ser usados principalmente em feridas que tenham produzido ruptura da derme e que somente podem cicatrizar por segunda intenção). Tamanho: 10,2 cm x 9,14 m. Deverá possuir certificado de boas práticas de fabricação , registro na Anvisa e MS e serem  embaladas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1.06.05.0496-8 - SOLUÇÃO DE PHMB 0,2%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FR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SOLUÇÃO DE PHMB 0,2%</w:t>
            </w:r>
          </w:p>
          <w:p>
            <w:pPr>
              <w:pStyle w:val="Normal"/>
              <w:widowControl w:val="false"/>
              <w:pBdr/>
              <w:rPr>
                <w:rFonts w:ascii="Arial" w:hAnsi="Arial" w:cs="Arial"/>
                <w:sz w:val="18"/>
                <w:szCs w:val="18"/>
              </w:rPr>
            </w:pPr>
            <w:r>
              <w:rPr>
                <w:rFonts w:cs="Arial" w:ascii="Arial" w:hAnsi="Arial"/>
                <w:sz w:val="18"/>
                <w:szCs w:val="18"/>
              </w:rPr>
              <w:t xml:space="preserve">Solução composta de Água Purificada, Derivado Betaínico e Poliaminopropil Biguanida (PHMB) 0,2%. </w:t>
            </w:r>
          </w:p>
          <w:p>
            <w:pPr>
              <w:pStyle w:val="Normal"/>
              <w:widowControl w:val="false"/>
              <w:pBdr/>
              <w:jc w:val="both"/>
              <w:rPr>
                <w:rFonts w:ascii="Arial" w:hAnsi="Arial" w:cs="Arial"/>
                <w:sz w:val="18"/>
                <w:szCs w:val="18"/>
              </w:rPr>
            </w:pPr>
            <w:r>
              <w:rPr>
                <w:rFonts w:cs="Arial" w:ascii="Arial" w:hAnsi="Arial"/>
                <w:sz w:val="18"/>
                <w:szCs w:val="18"/>
              </w:rPr>
              <w:t>O produto deverá manter-se estável para o uso após aberto até a data de validade se utilizado conforme a orientação de uso. Frasco de 350ml. O produto deverá ter registro como produto médico para saúde, classe de risco IV, apresentando Boas Práticas de Fabricação.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1.06.05.0497-6 - CURATIVO COM PRATA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CURATIVO COM PRATA </w:t>
            </w:r>
          </w:p>
          <w:p>
            <w:pPr>
              <w:pStyle w:val="Normal"/>
              <w:widowControl w:val="false"/>
              <w:pBdr/>
              <w:jc w:val="both"/>
              <w:rPr>
                <w:rFonts w:ascii="Arial" w:hAnsi="Arial" w:cs="Arial"/>
                <w:sz w:val="18"/>
                <w:szCs w:val="18"/>
              </w:rPr>
            </w:pPr>
            <w:r>
              <w:rPr>
                <w:rFonts w:cs="Arial" w:ascii="Arial" w:hAnsi="Arial"/>
                <w:sz w:val="18"/>
                <w:szCs w:val="18"/>
              </w:rPr>
              <w:t xml:space="preserve">Espuma com prata sem adesivo: Cobertura de espuma de poliuretano tridimensional em placa, estéril, não adesivo, impregnada com 100% de íons de prata, com liberação sustentada. Sem adição de outras fibras.  Alta absorção, garantindo mínimo risco de vazamento ou maceração. Com certificado de boas práticas de fabricação, embaladas individualmente contendo dados de identificação do produto, n. lote, validade e n. do registro no Ministério da Saúde e Anvisa.  Tamanho 10x10 cm.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1.06.05.0498-4 - TERAPIA COMPRESSIVA TAMANHO 25X32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TERAPIA COMPRESSIVA TAMANHO 25X32 </w:t>
            </w:r>
          </w:p>
          <w:p>
            <w:pPr>
              <w:pStyle w:val="Normal"/>
              <w:widowControl w:val="false"/>
              <w:pBdr/>
              <w:jc w:val="both"/>
              <w:rPr>
                <w:rFonts w:ascii="Arial" w:hAnsi="Arial" w:cs="Arial"/>
                <w:sz w:val="18"/>
                <w:szCs w:val="18"/>
              </w:rPr>
            </w:pPr>
            <w:r>
              <w:rPr>
                <w:rFonts w:cs="Arial" w:ascii="Arial" w:hAnsi="Arial"/>
                <w:sz w:val="18"/>
                <w:szCs w:val="18"/>
              </w:rPr>
              <w:t>Sistema de Terapia Compressiva multicomponentes, para o tratamento de úlceras venosas e redução do edema causado por insuficiência venosa crônica, em pacientes com ITB\ gt :0,8. Composto por duas bandagens que fornecem a pressão terapêutica de 40 mmHg.  A primeira bandagem de estiramento curto, deverá fornecer compressão e proteção. Composta por: enchimento: viscose, poliéster; camada de malha: poliamida, elastano.  A segunda bandagem: bandagem coesiva de estiramento longo; deverá fornecer a compressão adicional necessária para atingir a pressão terapêutica e fixar as bandagens no lugar. Composição: algodão, poliéster, poliamida, elastano; material coesivo sem látex sintético. A bandagens devem possuir marcador de pressão elíptico que orientam a aplicação e estiramento. Tamanho: 25x 32 cm tornozelo. Deverá possuir certificado de boas práticas de fabricação, registro na Anvisa e MS e serem embaladas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1.06.05.0499-2 - TERAPIA COMPRESSIVA TAMANHO 18X25</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TERAPIA COMPRESSIVA TAMANHO 18X25</w:t>
            </w:r>
          </w:p>
          <w:p>
            <w:pPr>
              <w:pStyle w:val="Normal"/>
              <w:widowControl w:val="false"/>
              <w:pBdr/>
              <w:jc w:val="both"/>
              <w:rPr>
                <w:rFonts w:ascii="Arial" w:hAnsi="Arial" w:cs="Arial"/>
                <w:sz w:val="18"/>
                <w:szCs w:val="18"/>
              </w:rPr>
            </w:pPr>
            <w:r>
              <w:rPr>
                <w:rFonts w:cs="Arial" w:ascii="Arial" w:hAnsi="Arial"/>
                <w:sz w:val="18"/>
                <w:szCs w:val="18"/>
              </w:rPr>
              <w:t>Sistema de Terapia Compressiva multicomponentes, para o tratamento de úlceras venosas e redução do edema causado por insuficiência venosa crônica, em pacientes com ITB\ gt :0,8. Composto por duas bandagens que fornecem a pressão terapêutica de 40 mmHg.  A primeira bandagem  de estiramento curto, deverá fornecer compressão e proteção. Composta por: enchimento: viscose, poliéster; camada de malha: poliamida, elastano.  A segunda bandagem: bandagem  coesiva de estiramento longo;  deverá fornecer a compressão adicional necessária para atingir a pressão terapêutica e fixar as bandagens no lugar. Composição: algodão, poliéster, poliamida, elastano; material coesivo sem látex sintético. A bandagens devem possuir marcador de pressão elíptico que orientam a aplicação e estiramento. .Tamanho: 18x25 cm tornozelo. Deverá possuir certificado de boas práticas de fabricação, registro na Anvisa e MS e serem  embaladas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1.06.05.0500-0 - CREME DE BARREIRA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CREME DE BARREIRA</w:t>
            </w:r>
          </w:p>
          <w:p>
            <w:pPr>
              <w:pStyle w:val="Normal"/>
              <w:widowControl w:val="false"/>
              <w:pBdr/>
              <w:jc w:val="both"/>
              <w:rPr>
                <w:rFonts w:ascii="Arial" w:hAnsi="Arial" w:cs="Arial"/>
                <w:sz w:val="18"/>
                <w:szCs w:val="18"/>
              </w:rPr>
            </w:pPr>
            <w:r>
              <w:rPr>
                <w:rFonts w:cs="Arial" w:ascii="Arial" w:hAnsi="Arial"/>
                <w:sz w:val="18"/>
                <w:szCs w:val="18"/>
              </w:rPr>
              <w:t>Creme Barreira: Produto lipofílico (repele a água), proporcionando, proteção, maciez e restaurando o PH da pele. Ação mecânica de formação de barreira, impedindo o acesso da água no local protegido pelo mesmo. Composto de: óleo mineral, parafina líquida, petrolato, cera microcristalina, oleato de glicerol, álcool de lanolina, ácido cítrico, citrato de magnésio, ciclometicona, glicerina, metilparabeno, propilparabeno, propilenoglicol. Tubo de 60mL</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1.06.05.0505-0 - BANDAGEM COESIVA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BANDAGEM COESIVA. Bandagem coesiva, conformável, com duplo estiramento, livre de látex de borracha natural, constituída de viscose e de poliamida. Adere na própria bandagem a cada volta, sem aderir a pele nem aos pêlos do paciente, dispensando a necessidade de fitas para sua fixação. Embalagem individual. Tamanho: 10cmX4m.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1.06.05.0506-9 - CURATIVO DE FILME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CURATIVO DE FILME. Curativo de filme transparente, resistente a rasgos, que fornece proteção à pele. Composto de filme de poliuretano com adesivo de poliacrilato e livre de látex, permite troca de calor e gás. Fino, flexível e não estéril. Tamanho: 10cmx10m.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1.06.05.0507-7 - CURATIVO SUPER ABSORVENTE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CURATIVO SUPER ABSORVENTE. Cobertura super absorvente, estéril, q, retendo e bloqueando o exsudato e bactérias (isento de antimicrobiano em suacomposição), contendo tripla camada, garantindo que este não seja devolvido ao leito da ferida, e camada barreira de proteção em polipropileno resistente a água e protegendo a lesão de contaminantes externos. Tamanho: 15x15cm.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1.06.05.0508-5 - HIDROGEL COM PHMB E PECTINA - 100 grs</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38</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HIDROGEL COM PHMB E PECTINA - 100 grs. Hidrogel de alta viscosidade composto minimamente por poliaminopropil biguanida (phmb), pectina e hidroxietilcelulose. Indicado principalmente para feridas contaminadas e crônicas. Tampa flip top. O produto deverá ter registro como produto médico para saúde, classe de risco IV, apresentando Boas Práticas de Fabricação. Bisnaga de 100g.</w:t>
            </w:r>
          </w:p>
        </w:tc>
      </w:tr>
    </w:tbl>
    <w:p>
      <w:pPr>
        <w:pStyle w:val="Normal"/>
        <w:rPr/>
      </w:pPr>
      <w:r>
        <w:rPr/>
      </w:r>
    </w:p>
    <w:p>
      <w:pPr>
        <w:pStyle w:val="Nivel2"/>
        <w:numPr>
          <w:ilvl w:val="0"/>
          <w:numId w:val="0"/>
        </w:numPr>
        <w:spacing w:before="120" w:after="288"/>
        <w:ind w:hanging="360" w:left="360"/>
        <w:jc w:val="center"/>
        <w:rPr>
          <w:b/>
          <w:color w:val="auto"/>
          <w:sz w:val="22"/>
          <w:szCs w:val="22"/>
          <w:u w:val="single"/>
        </w:rPr>
      </w:pPr>
      <w:r>
        <w:rPr>
          <w:b/>
          <w:color w:val="auto"/>
          <w:sz w:val="22"/>
          <w:szCs w:val="22"/>
          <w:u w:val="single"/>
        </w:rPr>
        <w:t>COTA RESERVADA – EXCLUSIVIDADE ME/EPP</w:t>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3687"/>
        <w:gridCol w:w="849"/>
        <w:gridCol w:w="1135"/>
        <w:gridCol w:w="850"/>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3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4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Marca</w:t>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1.06.05.0488-7 - CURATIVO DE HIDROFIBRA COM ALGINATO DE CÁLCIO E PRATA LÔNICA - TAMANHO 10X10 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CURATIVO DE HIDROFIBRA COM ALGINATO DE CÁLCIO E PRATA LÔNICA - TAMANHO 10X10 CM</w:t>
            </w:r>
          </w:p>
          <w:p>
            <w:pPr>
              <w:pStyle w:val="Normal"/>
              <w:widowControl w:val="false"/>
              <w:pBdr/>
              <w:jc w:val="both"/>
              <w:rPr>
                <w:rFonts w:ascii="Arial" w:hAnsi="Arial" w:cs="Arial"/>
                <w:sz w:val="18"/>
                <w:szCs w:val="18"/>
              </w:rPr>
            </w:pPr>
            <w:r>
              <w:rPr>
                <w:rFonts w:cs="Arial" w:ascii="Arial" w:hAnsi="Arial"/>
                <w:sz w:val="18"/>
                <w:szCs w:val="18"/>
              </w:rPr>
              <w:t>Curativo de Hidrofibra com Alginato de Cálcio e Prata Iônica: Cobertura de Hidrofibra com alta capacidade de absorção, antimicrobiana, estéril, constituída por alginato de cálcio, carboximetilcelulose sódica (CMC) e por 0,6% de Prata Iônica. Sem adição de sódio. Com certificado de boas práticas de fabricação, embaladas individualmente contendo dados de identificação do produto, n. lote, validade e n. do registro de hidrofibra no Ministério da Saúde e Anvisa. Tamanho 10x10cm.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1.06.05.0489-5 - HIDROGEL COM PHMB E PECTINA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TB</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HIDROGEL COM PHMB E PECTINA. Hidrogel de alta viscosidade composto minimamente por poliaminopropil biguanida (phmb), pectina e hidroxietilcelulose. Indicado principalmente para feridas contaminadas e crônicas. Tampa flip top. O produto deverá ter registro como produto médico para saúde, classe de risco IV, apresentando Boas Práticas de Fabricação. Bisnaga de 30g.</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1.06.05.0495-0 - BOTA DE UNNA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BOTA DE UNNA </w:t>
            </w:r>
          </w:p>
          <w:p>
            <w:pPr>
              <w:pStyle w:val="Normal"/>
              <w:widowControl w:val="false"/>
              <w:pBdr/>
              <w:jc w:val="both"/>
              <w:rPr>
                <w:rFonts w:ascii="Arial" w:hAnsi="Arial" w:cs="Arial"/>
                <w:sz w:val="18"/>
                <w:szCs w:val="18"/>
              </w:rPr>
            </w:pPr>
            <w:r>
              <w:rPr>
                <w:rFonts w:cs="Arial" w:ascii="Arial" w:hAnsi="Arial"/>
                <w:sz w:val="18"/>
                <w:szCs w:val="18"/>
              </w:rPr>
              <w:t>Bandagem inelástica impregnada com pasta contendo óxido de zinco,glicerol, óleo de rícino, água deionizada e goma acácia, embalada individualmente em envelope PET/PE, registro na ANVISA como correlato classe de risco III (produtos destinados a ser usados principalmente em feridas que tenham produzido ruptura da derme e que somente podem cicatrizar por segunda intenção). Tamanho: 10,2 cm x 9,14 m. Deverá possuir certificado de boas práticas de fabricação, registro na Anvisa e MS e serem embaladas individualmente.</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1.06.05.0496-8 - SOLUÇÃO DE PHMB 0,2%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FR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SOLUÇÃO DE PHMB 0,2%. Solução composta de Água Purificada, Derivado Betaínico e Poliaminopropil Biguanida (PHMB) 0,2%. O produto deverá manter-se estável para o uso após aberto até a data de validade se utilizado conforme a orientação de uso. Frasco de 350ml. O produto deverá ter registro como produto médico para saúde, classe de risco IV, apresentando Boas Práticas de Fabricação.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1.06.05.0497-6 - CURATIVO COM PRATA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CURATIVO COM PRATA </w:t>
            </w:r>
          </w:p>
          <w:p>
            <w:pPr>
              <w:pStyle w:val="Normal"/>
              <w:widowControl w:val="false"/>
              <w:pBdr/>
              <w:jc w:val="both"/>
              <w:rPr>
                <w:rFonts w:ascii="Arial" w:hAnsi="Arial" w:cs="Arial"/>
                <w:sz w:val="18"/>
                <w:szCs w:val="18"/>
              </w:rPr>
            </w:pPr>
            <w:r>
              <w:rPr>
                <w:rFonts w:cs="Arial" w:ascii="Arial" w:hAnsi="Arial"/>
                <w:sz w:val="18"/>
                <w:szCs w:val="18"/>
              </w:rPr>
              <w:t xml:space="preserve">Espuma com prata sem adesivo: Cobertura de espuma de poliuretano tridimensional em placa, estéril, não adesivo, impregnada com 100% de íons de prata, com liberação sustentada. Sem adição de outras fibras.  Alta absorção, garantindo mínimo risco de vazamento ou maceração. Com certificado de boas práticas de fabricação, embaladas individualmente contendo dados de identificação do produto, n. lote, validade e n. do registro no Ministério da Saúde e Anvisa.  Tamanho 10x10 cm.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1.06.05.0498-4 - TERAPIA COMPRESSIVA TAMANHO 25X32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TERAPIA COMPRESSIVA TAMANHO 25X32 - Sistema de Terapia Compressiva multicomponentes, para o tratamento de úlceras venosas e redução do edema causado por insuficiência venosa crônica, em pacientes com ITB\ gt :0,8. Composto por duas bandagens que fornecem a pressão terapêutica de 40 mmHg.  A primeira bandagem de estiramento curto, deverá fornecer compressão e proteção. Composta por: enchimento: viscose, poliéster; amada de malha: poliamida, elastano.  A segunda bandagem: bandagem coesiva de estiramento longo; deverá fornecer a compressão adicional necessária para atingir a pressão terapêutica e fixar as bandagens no lugar. Composição: algodão, poliéster, poliamida, elastano; material coesivo sem látex sintético. A bandagens devem possuir marcador de pressão elíptico que orientam a aplicação e estiramento. Tamanho: 25x 32 cm tornozelo. Deverá possuir certificado de boas práticas de fabricação, registro na Anvisa e MS e serem embaladas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1.06.05.0499-2 - TERAPIA COMPRESSIVA TAMANHO 18X25</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TERAPIA COMPRESSIVA TAMANHO 18X25 - Sistema de Terapia Compressiva multicomponentes,  para o tratamento de úlceras venosas e redução do edema causado por insuficiência venosa crônica, em pacientes com ITB\ gt :0,8. Composto por duas bandagens que fornecem a pressão terapêutica de 40 mmHg.  A primeira bandagem de estiramento curto, deverá fornecer compressão e proteção. Composta por: enchimento: viscose, poliéster; camada de malha: poliamida, elastano.  A segunda bandagem: bandagem coesiva de estiramento longo; deverá fornecer a compressão adicional necessária para atingir a pressão terapêutica e fixar as bandagens no lugar. Composição: algodão, poliéster, poliamida, elastano; material coesivo sem látex sintético. A bandagens devem possuir marcador de pressão elíptico que orientam a aplicação e estiramento. Tamanho: 18x25 cm tornozelo. Deverá possuir certificado de boas práticas de fabricação, registro na Anvisa e MS e serem embaladas individualmente.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1.06.05.0500-0 - CREME DE BARREIRA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CREME DE BARREIRA</w:t>
            </w:r>
          </w:p>
          <w:p>
            <w:pPr>
              <w:pStyle w:val="Normal"/>
              <w:widowControl w:val="false"/>
              <w:pBdr/>
              <w:jc w:val="both"/>
              <w:rPr>
                <w:rFonts w:ascii="Arial" w:hAnsi="Arial" w:cs="Arial"/>
                <w:sz w:val="18"/>
                <w:szCs w:val="18"/>
              </w:rPr>
            </w:pPr>
            <w:r>
              <w:rPr>
                <w:rFonts w:cs="Arial" w:ascii="Arial" w:hAnsi="Arial"/>
                <w:sz w:val="18"/>
                <w:szCs w:val="18"/>
              </w:rPr>
              <w:t>Creme Barreira: Produto lipofílico (repele a água), proporcionando, proteção, maciez e restaurando o PH da pele. Ação mecânica de formação de barreira, impedindo o acesso da água no local protegido pelo mesmo. Composto de: óleo mineral, parafina líquida, petrolato, cera microcristalina, oleato de glicerol, álcool de lanolina, ácido cítrico, citrato de magnésio, ciclometicona, glicerina, metilparabeno, propilparabeno, propilenoglicol. Tubo de 60mL.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1.06.05.0505-0 - BANDAGEM COESIVA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BANDAGEM COESIVA</w:t>
            </w:r>
          </w:p>
          <w:p>
            <w:pPr>
              <w:pStyle w:val="Normal"/>
              <w:widowControl w:val="false"/>
              <w:pBdr/>
              <w:jc w:val="both"/>
              <w:rPr>
                <w:rFonts w:ascii="Arial" w:hAnsi="Arial" w:cs="Arial"/>
                <w:sz w:val="18"/>
                <w:szCs w:val="18"/>
              </w:rPr>
            </w:pPr>
            <w:r>
              <w:rPr>
                <w:rFonts w:cs="Arial" w:ascii="Arial" w:hAnsi="Arial"/>
                <w:sz w:val="18"/>
                <w:szCs w:val="18"/>
              </w:rPr>
              <w:t xml:space="preserve">Bandagem coesiva, conformável, com duplo estiramento, livre de látex de borracha natural, constituída de viscose e de poliamida. Adere na própria bandagem a cada volta, sem aderir a pele nem aos pêlos do paciente, dispensando a necessidade de fitas para sua fixação. Embalagem individual. Tamanho: 10cmX4m.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1.06.05.0506-9 - CURATIVO DE FILME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CURATIVO DE FILME. Curativo de filme transparente, resistente a rasgos, que fornece proteção à pele. Composto de filme de poliuretano com adesivo de poliacrilato e livre de látex, permite troca de calor e gás. Fino, flexível e não estéril. Tamanho: 10cmx10m.</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1.06.05.0507-7 - CURATIVO SUPER ABSORVENTE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CURATIVO SUPER ABSORVENTE</w:t>
            </w:r>
          </w:p>
          <w:p>
            <w:pPr>
              <w:pStyle w:val="Normal"/>
              <w:widowControl w:val="false"/>
              <w:pBdr/>
              <w:jc w:val="both"/>
              <w:rPr>
                <w:rFonts w:ascii="Arial" w:hAnsi="Arial" w:cs="Arial"/>
                <w:sz w:val="18"/>
                <w:szCs w:val="18"/>
              </w:rPr>
            </w:pPr>
            <w:r>
              <w:rPr>
                <w:rFonts w:cs="Arial" w:ascii="Arial" w:hAnsi="Arial"/>
                <w:sz w:val="18"/>
                <w:szCs w:val="18"/>
              </w:rPr>
              <w:t>Cobertura super absorvente, estéril, q, retendo e bloqueando o exsudato e bactérias (isento de antimicrobiano em suacomposição), contendo tripla camada, garantindo que este não seja devolvido ao leito da ferida, e camada barreira de proteção em polipropileno resistente a água e protegendo a lesão de contaminantes externos. Tamanho: 15x15cm</w:t>
            </w:r>
          </w:p>
          <w:p>
            <w:pPr>
              <w:pStyle w:val="Normal"/>
              <w:widowControl w:val="false"/>
              <w:pBdr/>
              <w:jc w:val="both"/>
              <w:rPr>
                <w:rFonts w:ascii="Arial" w:hAnsi="Arial" w:cs="Arial"/>
                <w:sz w:val="18"/>
                <w:szCs w:val="18"/>
              </w:rPr>
            </w:pPr>
            <w:r>
              <w:rPr>
                <w:rFonts w:cs="Arial" w:ascii="Arial" w:hAnsi="Arial"/>
                <w:sz w:val="18"/>
                <w:szCs w:val="18"/>
              </w:rPr>
            </w:r>
          </w:p>
        </w:tc>
      </w:tr>
      <w:tr>
        <w:trPr>
          <w:cantSplit w:val="true"/>
        </w:trPr>
        <w:tc>
          <w:tcPr>
            <w:tcW w:w="561" w:type="dxa"/>
            <w:tcBorders>
              <w:top w:val="single" w:sz="8" w:space="0" w:color="000000"/>
              <w:left w:val="single" w:sz="4" w:space="0" w:color="000000"/>
              <w:bottom w:val="single" w:sz="4"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24</w:t>
            </w:r>
          </w:p>
        </w:tc>
        <w:tc>
          <w:tcPr>
            <w:tcW w:w="3687"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1.06.05.0508-5 - HIDROGEL COM PHMB E PECTINA - 100 grs</w:t>
            </w:r>
          </w:p>
        </w:tc>
        <w:tc>
          <w:tcPr>
            <w:tcW w:w="849"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4"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850" w:type="dxa"/>
            <w:tcBorders>
              <w:top w:val="single" w:sz="8" w:space="0" w:color="000000"/>
              <w:left w:val="single" w:sz="4" w:space="0" w:color="000000"/>
              <w:bottom w:val="single" w:sz="4"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HIDROGEL COM PHMB E PECTINA - 100 grs.</w:t>
            </w:r>
          </w:p>
          <w:p>
            <w:pPr>
              <w:pStyle w:val="Normal"/>
              <w:widowControl w:val="false"/>
              <w:pBdr/>
              <w:jc w:val="both"/>
              <w:rPr>
                <w:rFonts w:ascii="Arial" w:hAnsi="Arial" w:cs="Arial"/>
                <w:sz w:val="18"/>
                <w:szCs w:val="18"/>
              </w:rPr>
            </w:pPr>
            <w:r>
              <w:rPr>
                <w:rFonts w:cs="Arial" w:ascii="Arial" w:hAnsi="Arial"/>
                <w:sz w:val="18"/>
                <w:szCs w:val="18"/>
              </w:rPr>
              <w:t>Hidrogel de alta viscosidade composto minimamente por poliaminopropil biguanida (phmb), pectina e hidroxietilcelulose. Indicado principalmente para feridas contaminadas e crônicas. Tampa flip top. O produto deverá ter registro como produto médico para saúde, classe de risco IV, apresentando Boas Práticas de Fabricação. Bisnaga de 100g.</w:t>
            </w:r>
          </w:p>
        </w:tc>
      </w:tr>
    </w:tbl>
    <w:p>
      <w:pPr>
        <w:pStyle w:val="Normal"/>
        <w:jc w:val="both"/>
        <w:rPr>
          <w:rFonts w:ascii="Arial" w:hAnsi="Arial" w:cs="Arial"/>
          <w:sz w:val="18"/>
          <w:szCs w:val="18"/>
        </w:rPr>
      </w:pPr>
      <w:r>
        <w:rPr>
          <w:rFonts w:cs="Arial" w:ascii="Arial" w:hAnsi="Arial"/>
          <w:sz w:val="18"/>
          <w:szCs w:val="18"/>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   , .... de ............... de 2025.</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t>ANEXO VI – MINUTA – ATA DE REGISTRO DE PREÇOS</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MINUTA DA ATA DE REGISTRO DE PREÇO nº XX/2025</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 xml:space="preserve">PREGÃO ELETRÔNICO nº </w:t>
      </w:r>
      <w:r>
        <w:rPr>
          <w:rFonts w:cs="Arial" w:ascii="Arial" w:hAnsi="Arial"/>
          <w:b/>
          <w:bCs/>
        </w:rPr>
        <w:t>30</w:t>
      </w:r>
      <w:r>
        <w:rPr>
          <w:rFonts w:cs="Arial" w:ascii="Arial" w:hAnsi="Arial"/>
          <w:b/>
          <w:bCs/>
        </w:rPr>
        <w:t>/2025</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PROCESSO nº 3.614/2025</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iCs/>
        </w:rPr>
      </w:pPr>
      <w:r>
        <w:rPr>
          <w:rFonts w:cs="Arial" w:ascii="Arial" w:hAnsi="Arial"/>
          <w:b/>
          <w:bCs/>
          <w:iCs/>
        </w:rPr>
      </w:r>
    </w:p>
    <w:p>
      <w:pPr>
        <w:pStyle w:val="Normal"/>
        <w:spacing w:lineRule="auto" w:line="360"/>
        <w:jc w:val="both"/>
        <w:rPr>
          <w:rFonts w:ascii="Arial" w:hAnsi="Arial" w:cs="Arial"/>
          <w:b/>
          <w:bCs/>
          <w:iCs/>
          <w:sz w:val="22"/>
          <w:szCs w:val="22"/>
        </w:rPr>
      </w:pPr>
      <w:r>
        <w:rPr>
          <w:rFonts w:cs="Arial" w:ascii="Arial" w:hAnsi="Arial"/>
          <w:b/>
          <w:bCs/>
          <w:iCs/>
          <w:sz w:val="22"/>
          <w:szCs w:val="22"/>
        </w:rPr>
      </w:r>
    </w:p>
    <w:p>
      <w:pPr>
        <w:pStyle w:val="Normal"/>
        <w:widowControl w:val="false"/>
        <w:spacing w:lineRule="auto" w:line="360"/>
        <w:ind w:right="-30"/>
        <w:jc w:val="both"/>
        <w:rPr>
          <w:rFonts w:ascii="Arial" w:hAnsi="Arial" w:cs="Arial"/>
          <w:b/>
          <w:bCs/>
          <w:iCs/>
          <w:sz w:val="22"/>
          <w:szCs w:val="22"/>
        </w:rPr>
      </w:pPr>
      <w:r>
        <w:rPr>
          <w:rFonts w:cs="Arial" w:ascii="Arial" w:hAnsi="Arial"/>
          <w:b/>
          <w:bCs/>
          <w:iCs/>
          <w:sz w:val="22"/>
          <w:szCs w:val="22"/>
        </w:rPr>
      </w:r>
    </w:p>
    <w:p>
      <w:pPr>
        <w:pStyle w:val="NoSpacing"/>
        <w:spacing w:lineRule="auto" w:line="360"/>
        <w:jc w:val="both"/>
        <w:rPr>
          <w:rFonts w:ascii="Arial" w:hAnsi="Arial" w:cs="Arial"/>
        </w:rPr>
      </w:pPr>
      <w:r>
        <w:rPr>
          <w:rFonts w:cs="Arial" w:ascii="Arial" w:hAnsi="Arial"/>
        </w:rPr>
        <w:t>Aos XX dias do mês de XXX de 2024,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xx/2025,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7.999/2024, e em conformidade com as disposições a seguir:</w:t>
      </w:r>
    </w:p>
    <w:p>
      <w:pPr>
        <w:pStyle w:val="NoSpacing"/>
        <w:spacing w:lineRule="auto" w:line="360"/>
        <w:jc w:val="both"/>
        <w:rPr>
          <w:rFonts w:ascii="Arial" w:hAnsi="Arial" w:cs="Arial"/>
        </w:rPr>
      </w:pPr>
      <w:r>
        <w:rPr>
          <w:rFonts w:cs="Arial" w:ascii="Arial" w:hAnsi="Arial"/>
        </w:rPr>
      </w:r>
    </w:p>
    <w:p>
      <w:pPr>
        <w:pStyle w:val="Nivel01"/>
        <w:tabs>
          <w:tab w:val="left" w:pos="0" w:leader="none"/>
          <w:tab w:val="left" w:pos="567" w:leader="none"/>
        </w:tabs>
        <w:spacing w:lineRule="auto" w:line="360"/>
        <w:ind w:hanging="0" w:left="0"/>
        <w:rPr>
          <w:sz w:val="22"/>
          <w:szCs w:val="22"/>
        </w:rPr>
      </w:pPr>
      <w:r>
        <w:rPr>
          <w:sz w:val="22"/>
          <w:szCs w:val="22"/>
        </w:rPr>
        <w:t>1 - DO OBJETO</w:t>
      </w:r>
    </w:p>
    <w:p>
      <w:pPr>
        <w:pStyle w:val="Nivel2"/>
        <w:numPr>
          <w:ilvl w:val="0"/>
          <w:numId w:val="0"/>
        </w:numPr>
        <w:tabs>
          <w:tab w:val="clear" w:pos="709"/>
          <w:tab w:val="left" w:pos="0" w:leader="none"/>
        </w:tabs>
        <w:spacing w:lineRule="auto" w:line="360"/>
        <w:ind w:hanging="0" w:left="0"/>
        <w:rPr/>
      </w:pPr>
      <w:r>
        <w:rPr>
          <w:sz w:val="22"/>
          <w:szCs w:val="22"/>
        </w:rPr>
        <w:t>1.1 - A presente Ata tem por objeto o registro de preços para a eventual aquisição/contratação de XX, especificado no Termo de Referência, anexo I</w:t>
      </w:r>
      <w:r>
        <w:rPr>
          <w:i/>
          <w:sz w:val="22"/>
          <w:szCs w:val="22"/>
        </w:rPr>
        <w:t xml:space="preserve"> do Edital xx</w:t>
      </w:r>
      <w:r>
        <w:rPr>
          <w:sz w:val="22"/>
          <w:szCs w:val="22"/>
        </w:rPr>
        <w:t>/2025 que é parte integrante desta Ata, assim como as propostas cujos preços tenham sido registrados, independentemente de transcrição.</w:t>
      </w:r>
    </w:p>
    <w:p>
      <w:pPr>
        <w:pStyle w:val="Nivel01"/>
        <w:spacing w:lineRule="auto" w:line="360"/>
        <w:ind w:hanging="0" w:left="0"/>
        <w:rPr/>
      </w:pPr>
      <w:r>
        <w:rPr>
          <w:sz w:val="22"/>
          <w:szCs w:val="22"/>
        </w:rPr>
        <w:t xml:space="preserve">2 - 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ab/>
        <w:t xml:space="preserve">     </w:t>
      </w:r>
    </w:p>
    <w:p>
      <w:pPr>
        <w:pStyle w:val="Normal"/>
        <w:rPr>
          <w:rFonts w:ascii="Arial" w:hAnsi="Arial" w:cs="Arial"/>
          <w:sz w:val="22"/>
          <w:szCs w:val="22"/>
          <w:lang w:eastAsia="en-US"/>
        </w:rPr>
      </w:pPr>
      <w:r>
        <w:rPr>
          <w:rFonts w:cs="Arial" w:ascii="Arial" w:hAnsi="Arial"/>
          <w:sz w:val="22"/>
          <w:szCs w:val="22"/>
          <w:lang w:eastAsia="en-US"/>
        </w:rPr>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FORNECEDOR: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ENDEREÇO: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BAIRRO: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CIDADE: XXX ESTADO: XXX      CEP: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TELEFONE: XXX                CPF/CNPJ: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CONDIÇÃO DE PAGAMENTO: XXX</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pPr>
      <w:r>
        <w:rPr>
          <w:rFonts w:eastAsia="Arial"/>
          <w:sz w:val="22"/>
          <w:szCs w:val="22"/>
        </w:rPr>
        <w:t xml:space="preserve"> </w:t>
      </w:r>
      <w:r>
        <w:rPr>
          <w:sz w:val="22"/>
          <w:szCs w:val="22"/>
        </w:rPr>
        <w:t>PRAZO DE ENTREGA: XXX</w:t>
      </w:r>
    </w:p>
    <w:p>
      <w:pPr>
        <w:pStyle w:val="Nivel01"/>
        <w:spacing w:lineRule="auto" w:line="360"/>
        <w:ind w:hanging="0" w:left="0"/>
        <w:rPr>
          <w:sz w:val="22"/>
          <w:szCs w:val="22"/>
        </w:rPr>
      </w:pPr>
      <w:r>
        <w:rPr>
          <w:sz w:val="22"/>
          <w:szCs w:val="22"/>
        </w:rPr>
      </w:r>
    </w:p>
    <w:p>
      <w:pPr>
        <w:pStyle w:val="Nivel01"/>
        <w:spacing w:lineRule="auto" w:line="360"/>
        <w:ind w:hanging="0" w:left="0"/>
        <w:rPr>
          <w:sz w:val="22"/>
          <w:szCs w:val="22"/>
        </w:rPr>
      </w:pPr>
      <w:r>
        <w:rPr>
          <w:sz w:val="22"/>
          <w:szCs w:val="22"/>
        </w:rPr>
        <w:t>3 - DOS PREÇOS, ESPECIFICAÇÕES E QUANTITATIVOS</w:t>
      </w:r>
    </w:p>
    <w:p>
      <w:pPr>
        <w:pStyle w:val="Nivel2"/>
        <w:numPr>
          <w:ilvl w:val="0"/>
          <w:numId w:val="0"/>
        </w:numPr>
        <w:tabs>
          <w:tab w:val="clear" w:pos="709"/>
          <w:tab w:val="left" w:pos="0" w:leader="none"/>
        </w:tabs>
        <w:spacing w:lineRule="auto" w:line="360"/>
        <w:ind w:hanging="0" w:left="0"/>
        <w:rPr>
          <w:sz w:val="22"/>
          <w:szCs w:val="22"/>
        </w:rPr>
      </w:pPr>
      <w:r>
        <w:rPr>
          <w:sz w:val="22"/>
          <w:szCs w:val="22"/>
        </w:rPr>
        <w:t xml:space="preserve">3.1 - O preço registrado, as especificações do objeto, as quantidades mínimas e máximas de cada item, fornecedor(es) e as demais condições ofertadas na(s) proposta(s) são as que seguem: </w:t>
      </w:r>
    </w:p>
    <w:tbl>
      <w:tblPr>
        <w:tblW w:w="8957" w:type="dxa"/>
        <w:jc w:val="center"/>
        <w:tblInd w:w="0" w:type="dxa"/>
        <w:tblLayout w:type="fixed"/>
        <w:tblCellMar>
          <w:top w:w="60" w:type="dxa"/>
          <w:left w:w="60" w:type="dxa"/>
          <w:bottom w:w="60" w:type="dxa"/>
          <w:right w:w="60" w:type="dxa"/>
        </w:tblCellMar>
        <w:tblLook w:firstRow="0" w:noVBand="0" w:lastRow="0" w:firstColumn="0" w:lastColumn="0" w:noHBand="0" w:val="0000"/>
      </w:tblPr>
      <w:tblGrid>
        <w:gridCol w:w="687"/>
        <w:gridCol w:w="1535"/>
        <w:gridCol w:w="792"/>
        <w:gridCol w:w="1410"/>
        <w:gridCol w:w="1666"/>
        <w:gridCol w:w="1561"/>
        <w:gridCol w:w="1305"/>
      </w:tblGrid>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1</w:t>
            </w:r>
          </w:p>
        </w:tc>
        <w:tc>
          <w:tcPr>
            <w:tcW w:w="153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79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56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360"/>
              <w:jc w:val="both"/>
              <w:rPr>
                <w:rFonts w:ascii="Arial" w:hAnsi="Arial" w:cs="Arial"/>
                <w:sz w:val="22"/>
                <w:szCs w:val="22"/>
              </w:rPr>
            </w:pPr>
            <w:r>
              <w:rPr>
                <w:rFonts w:cs="Arial" w:ascii="Arial" w:hAnsi="Arial"/>
                <w:sz w:val="22"/>
                <w:szCs w:val="22"/>
              </w:rPr>
              <w:t xml:space="preserve">Especificação do item </w:t>
            </w:r>
          </w:p>
        </w:tc>
      </w:tr>
    </w:tbl>
    <w:p>
      <w:pPr>
        <w:pStyle w:val="Nivel2"/>
        <w:numPr>
          <w:ilvl w:val="0"/>
          <w:numId w:val="0"/>
        </w:numPr>
        <w:tabs>
          <w:tab w:val="clear" w:pos="709"/>
          <w:tab w:val="left" w:pos="0" w:leader="none"/>
        </w:tabs>
        <w:spacing w:lineRule="auto" w:line="360"/>
        <w:ind w:hanging="0" w:left="0"/>
        <w:rPr>
          <w:sz w:val="22"/>
          <w:szCs w:val="22"/>
          <w:lang w:eastAsia="en-US"/>
        </w:rPr>
      </w:pPr>
      <w:r>
        <w:rPr>
          <w:sz w:val="22"/>
          <w:szCs w:val="22"/>
          <w:lang w:eastAsia="en-US"/>
        </w:rPr>
        <w:t>A listagem do cadastro de reserva referente ao presente registro de preços consta como anexo a esta Ata.</w:t>
      </w:r>
    </w:p>
    <w:p>
      <w:pPr>
        <w:pStyle w:val="Nivel01"/>
        <w:spacing w:lineRule="auto" w:line="360"/>
        <w:ind w:hanging="0" w:left="0"/>
        <w:rPr>
          <w:sz w:val="22"/>
          <w:szCs w:val="22"/>
        </w:rPr>
      </w:pPr>
      <w:r>
        <w:rPr>
          <w:sz w:val="22"/>
          <w:szCs w:val="22"/>
        </w:rPr>
        <w:t>4 - ÓRGÃO(S) GERENCIADOR E PARTICIPANTE(S)</w:t>
      </w:r>
    </w:p>
    <w:p>
      <w:pPr>
        <w:pStyle w:val="Nivel2"/>
        <w:numPr>
          <w:ilvl w:val="0"/>
          <w:numId w:val="0"/>
        </w:numPr>
        <w:tabs>
          <w:tab w:val="clear" w:pos="709"/>
          <w:tab w:val="left" w:pos="0" w:leader="none"/>
        </w:tabs>
        <w:spacing w:lineRule="auto" w:line="360"/>
        <w:ind w:hanging="0" w:left="0"/>
        <w:rPr>
          <w:sz w:val="22"/>
          <w:szCs w:val="22"/>
        </w:rPr>
      </w:pPr>
      <w:r>
        <w:rPr>
          <w:sz w:val="22"/>
          <w:szCs w:val="22"/>
        </w:rPr>
        <w:t>4.1 - O órgão gerenciador será a Seção de Licitações:</w:t>
      </w:r>
    </w:p>
    <w:p>
      <w:pPr>
        <w:pStyle w:val="Nvel2-Red"/>
        <w:spacing w:lineRule="auto" w:line="360"/>
        <w:ind w:hanging="0" w:left="0"/>
        <w:rPr>
          <w:color w:val="000000"/>
          <w:sz w:val="22"/>
          <w:szCs w:val="22"/>
        </w:rPr>
      </w:pPr>
      <w:r>
        <w:rPr>
          <w:color w:val="000000"/>
          <w:sz w:val="22"/>
          <w:szCs w:val="22"/>
        </w:rPr>
        <w:t>Secretarias participantes do registro de preços:</w:t>
      </w:r>
    </w:p>
    <w:tbl>
      <w:tblPr>
        <w:tblW w:w="8720" w:type="dxa"/>
        <w:jc w:val="left"/>
        <w:tblInd w:w="-226" w:type="dxa"/>
        <w:tblLayout w:type="fixed"/>
        <w:tblCellMar>
          <w:top w:w="0" w:type="dxa"/>
          <w:left w:w="108" w:type="dxa"/>
          <w:bottom w:w="0" w:type="dxa"/>
          <w:right w:w="108" w:type="dxa"/>
        </w:tblCellMar>
        <w:tblLook w:firstRow="0" w:noVBand="0" w:lastRow="0" w:firstColumn="0" w:lastColumn="0" w:noHBand="0" w:val="0000"/>
      </w:tblPr>
      <w:tblGrid>
        <w:gridCol w:w="2166"/>
        <w:gridCol w:w="2194"/>
        <w:gridCol w:w="2173"/>
        <w:gridCol w:w="2186"/>
      </w:tblGrid>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Quantidade</w:t>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r>
    </w:tbl>
    <w:p>
      <w:pPr>
        <w:pStyle w:val="Nivel01"/>
        <w:spacing w:lineRule="auto" w:line="360"/>
        <w:ind w:hanging="0" w:left="0"/>
        <w:rPr>
          <w:sz w:val="22"/>
          <w:szCs w:val="22"/>
        </w:rPr>
      </w:pPr>
      <w:r>
        <w:rPr>
          <w:sz w:val="22"/>
          <w:szCs w:val="22"/>
        </w:rPr>
        <w:t>5 - DA ADESÃO À ATA DE REGISTRO DE PREÇOS</w:t>
      </w:r>
    </w:p>
    <w:p>
      <w:pPr>
        <w:pStyle w:val="Nivel01"/>
        <w:numPr>
          <w:ilvl w:val="1"/>
          <w:numId w:val="4"/>
        </w:numPr>
        <w:tabs>
          <w:tab w:val="left" w:pos="0" w:leader="none"/>
          <w:tab w:val="left" w:pos="567" w:leader="none"/>
        </w:tabs>
        <w:spacing w:lineRule="auto" w:line="360"/>
        <w:ind w:hanging="0" w:left="0"/>
        <w:rPr/>
      </w:pPr>
      <w:r>
        <w:rPr>
          <w:b w:val="false"/>
          <w:bCs w:val="false"/>
          <w:sz w:val="22"/>
          <w:szCs w:val="22"/>
        </w:rPr>
        <w:t xml:space="preserve">- </w:t>
      </w:r>
      <w:r>
        <w:rPr>
          <w:b w:val="false"/>
          <w:bCs w:val="false"/>
          <w:color w:val="000000"/>
          <w:sz w:val="22"/>
          <w:szCs w:val="22"/>
        </w:rPr>
        <w:t>Durante a vigência da ata, as Secretarias Municipais que não participaram do procedimento poderão aderir à ata de registro de preços na condição de não participantes, observados os seguintes requisitos:</w:t>
      </w:r>
    </w:p>
    <w:p>
      <w:pPr>
        <w:pStyle w:val="Nvel3-R"/>
        <w:numPr>
          <w:ilvl w:val="0"/>
          <w:numId w:val="7"/>
        </w:numPr>
        <w:tabs>
          <w:tab w:val="left" w:pos="0" w:leader="none"/>
          <w:tab w:val="left" w:pos="567" w:leader="none"/>
        </w:tabs>
        <w:spacing w:lineRule="auto" w:line="360"/>
        <w:rPr>
          <w:i w:val="false"/>
          <w:i w:val="false"/>
          <w:iCs w:val="false"/>
          <w:color w:val="000000"/>
          <w:sz w:val="22"/>
          <w:szCs w:val="22"/>
        </w:rPr>
      </w:pPr>
      <w:r>
        <w:rPr>
          <w:i w:val="false"/>
          <w:iCs w:val="false"/>
          <w:color w:val="000000"/>
          <w:sz w:val="22"/>
          <w:szCs w:val="22"/>
        </w:rPr>
        <w:t>consulta e aceitação prévias da Secretaria participante.</w:t>
      </w:r>
    </w:p>
    <w:p>
      <w:pPr>
        <w:pStyle w:val="SubTitNN"/>
        <w:spacing w:lineRule="auto" w:line="360"/>
        <w:rPr>
          <w:sz w:val="22"/>
          <w:szCs w:val="22"/>
        </w:rPr>
      </w:pPr>
      <w:r>
        <w:rPr>
          <w:sz w:val="22"/>
          <w:szCs w:val="22"/>
        </w:rPr>
        <w:t>VEDAÇÃO A ACRÉSCIMO DE QUANTITATIVOS</w:t>
      </w:r>
    </w:p>
    <w:p>
      <w:pPr>
        <w:pStyle w:val="Nivel2"/>
        <w:numPr>
          <w:ilvl w:val="1"/>
          <w:numId w:val="4"/>
        </w:numPr>
        <w:spacing w:lineRule="auto" w:line="360"/>
        <w:rPr>
          <w:sz w:val="22"/>
          <w:szCs w:val="22"/>
        </w:rPr>
      </w:pPr>
      <w:r>
        <w:rPr>
          <w:sz w:val="22"/>
          <w:szCs w:val="22"/>
        </w:rPr>
        <w:t>- É vedado efetuar acréscimos nos quantitativos fixados na ata de registro de preços.</w:t>
      </w:r>
    </w:p>
    <w:p>
      <w:pPr>
        <w:pStyle w:val="Nivel01"/>
        <w:numPr>
          <w:ilvl w:val="0"/>
          <w:numId w:val="4"/>
        </w:numPr>
        <w:tabs>
          <w:tab w:val="left" w:pos="0" w:leader="none"/>
          <w:tab w:val="left" w:pos="567" w:leader="none"/>
        </w:tabs>
        <w:spacing w:lineRule="auto" w:line="360"/>
        <w:ind w:hanging="0" w:left="0"/>
        <w:rPr>
          <w:sz w:val="22"/>
          <w:szCs w:val="22"/>
        </w:rPr>
      </w:pPr>
      <w:r>
        <w:rPr>
          <w:sz w:val="22"/>
          <w:szCs w:val="22"/>
        </w:rPr>
        <w:t>VALIDADE, FORMALIZAÇÃO DA ATA DE REGISTRO DE PREÇOS E CADASTRO RESERVA</w:t>
      </w:r>
    </w:p>
    <w:p>
      <w:pPr>
        <w:pStyle w:val="Nivel2"/>
        <w:numPr>
          <w:ilvl w:val="1"/>
          <w:numId w:val="4"/>
        </w:numPr>
        <w:spacing w:lineRule="auto" w:line="360"/>
        <w:ind w:hanging="0" w:left="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pPr>
        <w:pStyle w:val="Nvel3"/>
        <w:numPr>
          <w:ilvl w:val="2"/>
          <w:numId w:val="4"/>
        </w:numPr>
        <w:spacing w:lineRule="auto" w:line="360"/>
        <w:ind w:hanging="0" w:left="567"/>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4"/>
        </w:numPr>
        <w:spacing w:lineRule="auto" w:line="360"/>
        <w:ind w:hanging="0" w:left="567"/>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4"/>
        </w:numPr>
        <w:spacing w:lineRule="auto" w:line="360"/>
        <w:ind w:hanging="0" w:left="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4"/>
        </w:numPr>
        <w:spacing w:lineRule="auto" w:line="360"/>
        <w:ind w:hanging="0" w:left="567"/>
        <w:rPr/>
      </w:pPr>
      <w:r>
        <w:rPr>
          <w:rFonts w:eastAsia="Arial"/>
          <w:sz w:val="22"/>
          <w:szCs w:val="22"/>
        </w:rPr>
        <w:t xml:space="preserve"> </w:t>
      </w:r>
      <w:r>
        <w:rPr>
          <w:sz w:val="22"/>
          <w:szCs w:val="22"/>
        </w:rPr>
        <w:t>O instrumento contratual deverá ser assinado no prazo de validade da ata de registro de preços.</w:t>
      </w:r>
    </w:p>
    <w:p>
      <w:pPr>
        <w:pStyle w:val="Nivel2"/>
        <w:numPr>
          <w:ilvl w:val="1"/>
          <w:numId w:val="4"/>
        </w:numPr>
        <w:spacing w:lineRule="auto" w:line="360"/>
        <w:ind w:hanging="0" w:left="0"/>
        <w:rPr>
          <w:sz w:val="22"/>
          <w:szCs w:val="22"/>
        </w:rPr>
      </w:pPr>
      <w:r>
        <w:rPr>
          <w:sz w:val="22"/>
          <w:szCs w:val="22"/>
        </w:rPr>
        <w:t>Os contratos decorrentes do sistema de registro de preços poderão ser alterados, observado o art. 124 da Lei nº 14.133, de 2021.</w:t>
      </w:r>
    </w:p>
    <w:p>
      <w:pPr>
        <w:pStyle w:val="Nivel2"/>
        <w:numPr>
          <w:ilvl w:val="1"/>
          <w:numId w:val="4"/>
        </w:numPr>
        <w:spacing w:lineRule="auto" w:line="360"/>
        <w:ind w:hanging="0" w:left="0"/>
        <w:rPr>
          <w:sz w:val="22"/>
          <w:szCs w:val="22"/>
        </w:rPr>
      </w:pPr>
      <w:r>
        <w:rPr>
          <w:sz w:val="22"/>
          <w:szCs w:val="22"/>
        </w:rPr>
        <w:t>Após a homologação da licitação, deverão ser observadas as seguintes condições para formalização da ata de registro de preços:</w:t>
      </w:r>
    </w:p>
    <w:p>
      <w:pPr>
        <w:pStyle w:val="Nvel3"/>
        <w:numPr>
          <w:ilvl w:val="2"/>
          <w:numId w:val="4"/>
        </w:numPr>
        <w:spacing w:lineRule="auto" w:line="360"/>
        <w:ind w:hanging="0" w:left="567"/>
        <w:rPr/>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pPr>
        <w:pStyle w:val="Nvel3"/>
        <w:numPr>
          <w:ilvl w:val="2"/>
          <w:numId w:val="4"/>
        </w:numPr>
        <w:spacing w:lineRule="auto" w:line="360"/>
        <w:ind w:hanging="0" w:left="567"/>
        <w:rPr>
          <w:sz w:val="22"/>
          <w:szCs w:val="22"/>
        </w:rPr>
      </w:pPr>
      <w:r>
        <w:rPr>
          <w:sz w:val="22"/>
          <w:szCs w:val="22"/>
        </w:rPr>
        <w:t>Será incluído na ata, na forma de anexo, o registro dos licitantes ou dos fornecedores que:</w:t>
      </w:r>
    </w:p>
    <w:p>
      <w:pPr>
        <w:pStyle w:val="Nvel4"/>
        <w:spacing w:lineRule="auto" w:line="360"/>
        <w:rPr>
          <w:sz w:val="22"/>
          <w:szCs w:val="22"/>
        </w:rPr>
      </w:pPr>
      <w:r>
        <w:rPr>
          <w:sz w:val="22"/>
          <w:szCs w:val="22"/>
        </w:rPr>
        <w:t xml:space="preserve">Aceitarem cotar os bens, as obras ou os serviços com preços iguais aos do adjudicatário, observada a classificação da licitação; e </w:t>
      </w:r>
    </w:p>
    <w:p>
      <w:pPr>
        <w:pStyle w:val="Nvel4"/>
        <w:spacing w:lineRule="auto" w:line="360"/>
        <w:rPr>
          <w:sz w:val="22"/>
          <w:szCs w:val="22"/>
        </w:rPr>
      </w:pPr>
      <w:r>
        <w:rPr>
          <w:sz w:val="22"/>
          <w:szCs w:val="22"/>
        </w:rPr>
        <w:t xml:space="preserve">Mantiverem sua proposta original. </w:t>
      </w:r>
      <w:bookmarkStart w:id="44" w:name="cadastro_reserva"/>
      <w:bookmarkEnd w:id="44"/>
    </w:p>
    <w:p>
      <w:pPr>
        <w:pStyle w:val="Nvel3"/>
        <w:numPr>
          <w:ilvl w:val="2"/>
          <w:numId w:val="4"/>
        </w:numPr>
        <w:spacing w:lineRule="auto" w:line="360"/>
        <w:ind w:hanging="0" w:left="567"/>
        <w:rPr>
          <w:sz w:val="22"/>
          <w:szCs w:val="22"/>
        </w:rPr>
      </w:pPr>
      <w:r>
        <w:rPr>
          <w:sz w:val="22"/>
          <w:szCs w:val="22"/>
        </w:rPr>
        <w:t>Será respeitada, nas contratações, a ordem de classificação dos licitantes ou dos fornecedores registrados na ata.</w:t>
      </w:r>
    </w:p>
    <w:p>
      <w:pPr>
        <w:pStyle w:val="Nivel2"/>
        <w:numPr>
          <w:ilvl w:val="1"/>
          <w:numId w:val="4"/>
        </w:numPr>
        <w:spacing w:lineRule="auto" w:line="360"/>
        <w:ind w:hanging="0" w:left="0"/>
        <w:rPr/>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pPr>
        <w:pStyle w:val="Nivel2"/>
        <w:numPr>
          <w:ilvl w:val="1"/>
          <w:numId w:val="4"/>
        </w:numPr>
        <w:spacing w:lineRule="auto" w:line="360"/>
        <w:ind w:hanging="0" w:left="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4"/>
        </w:numPr>
        <w:spacing w:lineRule="auto" w:line="360"/>
        <w:ind w:hanging="0" w:left="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45" w:name="habilitacao_reserva"/>
      <w:bookmarkEnd w:id="45"/>
    </w:p>
    <w:p>
      <w:pPr>
        <w:pStyle w:val="Nvel3"/>
        <w:numPr>
          <w:ilvl w:val="2"/>
          <w:numId w:val="4"/>
        </w:numPr>
        <w:spacing w:lineRule="auto" w:line="360"/>
        <w:ind w:hanging="0" w:left="567"/>
        <w:rPr/>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pPr>
        <w:pStyle w:val="Nvel3"/>
        <w:numPr>
          <w:ilvl w:val="2"/>
          <w:numId w:val="4"/>
        </w:numPr>
        <w:spacing w:lineRule="auto" w:line="360"/>
        <w:ind w:hanging="0" w:left="567"/>
        <w:rPr/>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\r \h </w:instrText>
      </w:r>
      <w:r>
        <w:rPr>
          <w:sz w:val="22"/>
          <w:szCs w:val="22"/>
        </w:rPr>
        <w:fldChar w:fldCharType="separate"/>
      </w:r>
      <w:r>
        <w:rPr>
          <w:sz w:val="22"/>
          <w:szCs w:val="22"/>
        </w:rPr>
        <w:t>10</w:t>
      </w:r>
      <w:r>
        <w:rPr>
          <w:sz w:val="22"/>
          <w:szCs w:val="22"/>
        </w:rPr>
        <w:fldChar w:fldCharType="end"/>
      </w:r>
      <w:r>
        <w:rPr>
          <w:sz w:val="22"/>
          <w:szCs w:val="22"/>
        </w:rPr>
        <w:t>.</w:t>
      </w:r>
    </w:p>
    <w:p>
      <w:pPr>
        <w:pStyle w:val="Nivel2"/>
        <w:numPr>
          <w:ilvl w:val="1"/>
          <w:numId w:val="4"/>
        </w:numPr>
        <w:spacing w:lineRule="auto" w:line="360"/>
        <w:ind w:hanging="0" w:left="0"/>
        <w:rPr>
          <w:sz w:val="22"/>
          <w:szCs w:val="22"/>
        </w:rPr>
      </w:pPr>
      <w:r>
        <w:rPr>
          <w:sz w:val="22"/>
          <w:szCs w:val="22"/>
        </w:rPr>
        <w:t>O preço registrado com indicação dos licitantes e fornecedores será divulgado no PNCP e ficará disponibilizado durante a vigência da ata de registro de preços.</w:t>
      </w:r>
    </w:p>
    <w:p>
      <w:pPr>
        <w:pStyle w:val="Nivel2"/>
        <w:numPr>
          <w:ilvl w:val="1"/>
          <w:numId w:val="4"/>
        </w:numPr>
        <w:spacing w:lineRule="auto" w:line="360"/>
        <w:ind w:hanging="0" w:left="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4"/>
        </w:numPr>
        <w:spacing w:lineRule="auto" w:line="360"/>
        <w:ind w:hanging="0" w:left="567"/>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4"/>
        </w:numPr>
        <w:spacing w:lineRule="auto" w:line="360"/>
        <w:ind w:hanging="0" w:left="0"/>
        <w:rPr>
          <w:sz w:val="22"/>
          <w:szCs w:val="22"/>
        </w:rPr>
      </w:pPr>
      <w:r>
        <w:rPr>
          <w:sz w:val="22"/>
          <w:szCs w:val="22"/>
        </w:rPr>
        <w:t>A ata de registro de preços poderá ser assinada por meio de assinatura digital.</w:t>
      </w:r>
    </w:p>
    <w:p>
      <w:pPr>
        <w:pStyle w:val="Nivel2"/>
        <w:numPr>
          <w:ilvl w:val="1"/>
          <w:numId w:val="4"/>
        </w:numPr>
        <w:spacing w:lineRule="auto" w:line="360"/>
        <w:ind w:hanging="0" w:left="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6" w:name="recusa_dos_que_baixaram_preco"/>
      <w:bookmarkEnd w:id="46"/>
    </w:p>
    <w:p>
      <w:pPr>
        <w:pStyle w:val="Nivel2"/>
        <w:numPr>
          <w:ilvl w:val="1"/>
          <w:numId w:val="4"/>
        </w:numPr>
        <w:spacing w:lineRule="auto" w:line="360"/>
        <w:ind w:hanging="0" w:left="0"/>
        <w:rPr/>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pPr>
        <w:pStyle w:val="Nvel3"/>
        <w:numPr>
          <w:ilvl w:val="2"/>
          <w:numId w:val="4"/>
        </w:numPr>
        <w:spacing w:lineRule="auto" w:line="360"/>
        <w:ind w:hanging="0" w:left="567"/>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4"/>
        </w:numPr>
        <w:spacing w:lineRule="auto" w:line="360"/>
        <w:ind w:hanging="0" w:left="567"/>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pPr>
        <w:pStyle w:val="Nivel2"/>
        <w:numPr>
          <w:ilvl w:val="0"/>
          <w:numId w:val="0"/>
        </w:numPr>
        <w:spacing w:lineRule="auto" w:line="360"/>
        <w:ind w:hanging="0" w:left="0"/>
        <w:rPr>
          <w:sz w:val="22"/>
          <w:szCs w:val="22"/>
        </w:rPr>
      </w:pPr>
      <w:r>
        <w:rPr>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01"/>
        <w:numPr>
          <w:ilvl w:val="0"/>
          <w:numId w:val="4"/>
        </w:numPr>
        <w:tabs>
          <w:tab w:val="left" w:pos="0" w:leader="none"/>
          <w:tab w:val="left" w:pos="567" w:leader="none"/>
        </w:tabs>
        <w:spacing w:lineRule="auto" w:line="360"/>
        <w:ind w:hanging="11" w:left="0"/>
        <w:rPr/>
      </w:pPr>
      <w:r>
        <w:rPr>
          <w:sz w:val="22"/>
          <w:szCs w:val="22"/>
        </w:rPr>
        <w:t>ALTERAÇÃO OU ATUALIZAÇÃO DOS PREÇOS REGISTRADOS</w:t>
      </w:r>
    </w:p>
    <w:p>
      <w:pPr>
        <w:pStyle w:val="Nivel2"/>
        <w:numPr>
          <w:ilvl w:val="1"/>
          <w:numId w:val="4"/>
        </w:numPr>
        <w:spacing w:lineRule="auto" w:line="360"/>
        <w:ind w:hanging="0" w:left="0"/>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2"/>
          <w:numId w:val="4"/>
        </w:numPr>
        <w:spacing w:lineRule="auto" w:line="360" w:before="0" w:after="0"/>
        <w:ind w:firstLine="709" w:left="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2"/>
          <w:numId w:val="4"/>
        </w:numPr>
        <w:spacing w:lineRule="auto" w:line="360"/>
        <w:ind w:firstLine="709" w:left="0"/>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pPr>
        <w:pStyle w:val="Nivel2"/>
        <w:numPr>
          <w:ilvl w:val="1"/>
          <w:numId w:val="4"/>
        </w:numPr>
        <w:spacing w:lineRule="auto" w:line="360"/>
        <w:ind w:hanging="0" w:left="0"/>
        <w:rPr>
          <w:sz w:val="22"/>
          <w:szCs w:val="22"/>
        </w:rPr>
      </w:pPr>
      <w:bookmarkStart w:id="47" w:name="_Hlk165615619"/>
      <w:r>
        <w:rPr>
          <w:sz w:val="22"/>
          <w:szCs w:val="22"/>
        </w:rPr>
        <w:t>- Caso o prazo exceda os 12 (doze) meses previstos, os preços serão reajustados de acordo com o índice de variação do IPCA-IBGE.</w:t>
      </w:r>
      <w:bookmarkEnd w:id="47"/>
    </w:p>
    <w:p>
      <w:pPr>
        <w:pStyle w:val="Nivel01"/>
        <w:numPr>
          <w:ilvl w:val="0"/>
          <w:numId w:val="4"/>
        </w:numPr>
        <w:tabs>
          <w:tab w:val="left" w:pos="0" w:leader="none"/>
          <w:tab w:val="left" w:pos="567" w:leader="none"/>
        </w:tabs>
        <w:spacing w:lineRule="auto" w:line="360"/>
        <w:ind w:hanging="11" w:left="0"/>
        <w:rPr>
          <w:sz w:val="22"/>
          <w:szCs w:val="22"/>
        </w:rPr>
      </w:pPr>
      <w:r>
        <w:rPr>
          <w:sz w:val="22"/>
          <w:szCs w:val="22"/>
        </w:rPr>
        <w:t>NEGOCIAÇÃO DE PREÇOS REGISTRADOS</w:t>
      </w:r>
    </w:p>
    <w:p>
      <w:pPr>
        <w:pStyle w:val="Nivel2"/>
        <w:numPr>
          <w:ilvl w:val="1"/>
          <w:numId w:val="4"/>
        </w:numPr>
        <w:spacing w:lineRule="auto" w:line="360"/>
        <w:ind w:hanging="0" w:left="0"/>
        <w:rPr/>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pPr>
        <w:pStyle w:val="Nvel3"/>
        <w:numPr>
          <w:ilvl w:val="2"/>
          <w:numId w:val="4"/>
        </w:numPr>
        <w:spacing w:lineRule="auto" w:line="360"/>
        <w:ind w:hanging="0" w:left="567"/>
        <w:rPr/>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pPr>
        <w:pStyle w:val="Nvel3"/>
        <w:numPr>
          <w:ilvl w:val="2"/>
          <w:numId w:val="4"/>
        </w:numPr>
        <w:spacing w:lineRule="auto" w:line="360"/>
        <w:ind w:hanging="0" w:left="567"/>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4"/>
        </w:numPr>
        <w:spacing w:lineRule="auto" w:line="360"/>
        <w:ind w:hanging="0" w:left="567"/>
        <w:rPr/>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8" w:name="reducao_preco_mercado_negociacao_frustra"/>
      <w:bookmarkEnd w:id="48"/>
    </w:p>
    <w:p>
      <w:pPr>
        <w:pStyle w:val="Nvel3"/>
        <w:numPr>
          <w:ilvl w:val="2"/>
          <w:numId w:val="4"/>
        </w:numPr>
        <w:spacing w:lineRule="auto" w:line="360"/>
        <w:ind w:hanging="0" w:left="567"/>
        <w:rPr/>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4"/>
        </w:numPr>
        <w:spacing w:lineRule="auto" w:line="360"/>
        <w:ind w:hanging="0" w:left="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9" w:name="hipotese_preco_mercado_maior"/>
      <w:bookmarkEnd w:id="49"/>
    </w:p>
    <w:p>
      <w:pPr>
        <w:pStyle w:val="Nvel3"/>
        <w:numPr>
          <w:ilvl w:val="2"/>
          <w:numId w:val="4"/>
        </w:numPr>
        <w:spacing w:lineRule="auto" w:line="360"/>
        <w:ind w:hanging="0" w:left="567"/>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50" w:name="prova_preco_mercado_maior"/>
      <w:bookmarkEnd w:id="50"/>
    </w:p>
    <w:p>
      <w:pPr>
        <w:pStyle w:val="Nvel3"/>
        <w:numPr>
          <w:ilvl w:val="2"/>
          <w:numId w:val="4"/>
        </w:numPr>
        <w:spacing w:lineRule="auto" w:line="360"/>
        <w:ind w:hanging="0" w:left="567"/>
        <w:rPr/>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\r \h </w:instrText>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pPr>
        <w:pStyle w:val="Nvel3"/>
        <w:numPr>
          <w:ilvl w:val="2"/>
          <w:numId w:val="4"/>
        </w:numPr>
        <w:spacing w:lineRule="auto" w:line="360"/>
        <w:ind w:hanging="0" w:left="567"/>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4"/>
        </w:numPr>
        <w:spacing w:lineRule="auto" w:line="360"/>
        <w:ind w:hanging="0" w:left="567"/>
        <w:rPr/>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\r \h </w:instrText>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pPr>
        <w:pStyle w:val="Nvel3"/>
        <w:numPr>
          <w:ilvl w:val="2"/>
          <w:numId w:val="4"/>
        </w:numPr>
        <w:spacing w:lineRule="auto" w:line="360"/>
        <w:ind w:hanging="0" w:left="567"/>
        <w:rPr/>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\r \h </w:instrText>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\r \h </w:instrText>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pPr>
        <w:pStyle w:val="Nvel3"/>
        <w:numPr>
          <w:ilvl w:val="2"/>
          <w:numId w:val="4"/>
        </w:numPr>
        <w:spacing w:lineRule="auto" w:line="360"/>
        <w:ind w:hanging="0" w:left="567"/>
        <w:rPr/>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pPr>
        <w:pStyle w:val="Nivel01"/>
        <w:numPr>
          <w:ilvl w:val="0"/>
          <w:numId w:val="4"/>
        </w:numPr>
        <w:tabs>
          <w:tab w:val="left" w:pos="0" w:leader="none"/>
          <w:tab w:val="left" w:pos="567" w:leader="none"/>
        </w:tabs>
        <w:spacing w:lineRule="auto" w:line="360"/>
        <w:ind w:hanging="0" w:left="0"/>
        <w:rPr>
          <w:sz w:val="22"/>
          <w:szCs w:val="22"/>
        </w:rPr>
      </w:pPr>
      <w:r>
        <w:rPr>
          <w:sz w:val="22"/>
          <w:szCs w:val="22"/>
        </w:rPr>
        <w:t>REMANEJAMENTO DAS QUANTIDADES REGISTRADAS NA ATA DE REGISTRO DE PREÇOS</w:t>
      </w:r>
    </w:p>
    <w:p>
      <w:pPr>
        <w:pStyle w:val="Nivel2"/>
        <w:numPr>
          <w:ilvl w:val="1"/>
          <w:numId w:val="4"/>
        </w:numPr>
        <w:spacing w:lineRule="auto" w:line="360"/>
        <w:ind w:hanging="0" w:left="0"/>
        <w:rPr/>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pPr>
        <w:pStyle w:val="Nivel2"/>
        <w:numPr>
          <w:ilvl w:val="1"/>
          <w:numId w:val="4"/>
        </w:numPr>
        <w:spacing w:lineRule="auto" w:line="360"/>
        <w:ind w:hanging="0" w:left="0"/>
        <w:rPr/>
      </w:pPr>
      <w:r>
        <w:rPr>
          <w:rFonts w:eastAsia="Arial"/>
          <w:sz w:val="22"/>
          <w:szCs w:val="22"/>
        </w:rPr>
        <w:t xml:space="preserve"> </w:t>
      </w:r>
      <w:r>
        <w:rPr>
          <w:sz w:val="22"/>
          <w:szCs w:val="22"/>
        </w:rPr>
        <w:t>O remanejamento somente poderá ser feito:</w:t>
      </w:r>
    </w:p>
    <w:p>
      <w:pPr>
        <w:pStyle w:val="Nvel3"/>
        <w:numPr>
          <w:ilvl w:val="2"/>
          <w:numId w:val="4"/>
        </w:numPr>
        <w:spacing w:lineRule="auto" w:line="360"/>
        <w:ind w:hanging="0" w:left="567"/>
        <w:rPr/>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pPr>
        <w:pStyle w:val="Nvel3"/>
        <w:numPr>
          <w:ilvl w:val="2"/>
          <w:numId w:val="4"/>
        </w:numPr>
        <w:spacing w:lineRule="auto" w:line="360"/>
        <w:ind w:hanging="0" w:left="567"/>
        <w:rPr/>
      </w:pPr>
      <w:r>
        <w:rPr>
          <w:sz w:val="22"/>
          <w:szCs w:val="22"/>
        </w:rPr>
        <w:t>De Secretaria par</w:t>
      </w:r>
      <w:r>
        <w:rPr>
          <w:rFonts w:eastAsia="Arial"/>
          <w:sz w:val="22"/>
          <w:szCs w:val="22"/>
        </w:rPr>
        <w:t>ti</w:t>
      </w:r>
      <w:r>
        <w:rPr>
          <w:sz w:val="22"/>
          <w:szCs w:val="22"/>
        </w:rPr>
        <w:t>cipante para Secretaria não participante.</w:t>
      </w:r>
    </w:p>
    <w:p>
      <w:pPr>
        <w:pStyle w:val="Nivel2"/>
        <w:numPr>
          <w:ilvl w:val="1"/>
          <w:numId w:val="4"/>
        </w:numPr>
        <w:spacing w:lineRule="auto" w:line="360"/>
        <w:ind w:hanging="0" w:left="0"/>
        <w:rPr/>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51" w:name="gerenciador_estimador_é_partic_em_remane"/>
      <w:bookmarkEnd w:id="51"/>
    </w:p>
    <w:p>
      <w:pPr>
        <w:pStyle w:val="Nivel01"/>
        <w:numPr>
          <w:ilvl w:val="0"/>
          <w:numId w:val="4"/>
        </w:numPr>
        <w:tabs>
          <w:tab w:val="left" w:pos="0" w:leader="none"/>
          <w:tab w:val="left" w:pos="567" w:leader="none"/>
        </w:tabs>
        <w:spacing w:lineRule="auto" w:line="360"/>
        <w:ind w:hanging="0" w:left="0"/>
        <w:rPr>
          <w:sz w:val="22"/>
          <w:szCs w:val="22"/>
        </w:rPr>
      </w:pPr>
      <w:r>
        <w:rPr>
          <w:sz w:val="22"/>
          <w:szCs w:val="22"/>
        </w:rPr>
        <w:t>CANCELAMENTO DO REGISTRO DO LICITANTE VENCEDOR E DOS PREÇOS REGISTRADOS</w:t>
      </w:r>
      <w:bookmarkStart w:id="52" w:name="cancelamento"/>
      <w:bookmarkEnd w:id="52"/>
    </w:p>
    <w:p>
      <w:pPr>
        <w:pStyle w:val="Nivel2"/>
        <w:numPr>
          <w:ilvl w:val="1"/>
          <w:numId w:val="4"/>
        </w:numPr>
        <w:spacing w:lineRule="auto" w:line="360"/>
        <w:ind w:hanging="0" w:left="0"/>
        <w:rPr>
          <w:sz w:val="22"/>
          <w:szCs w:val="22"/>
        </w:rPr>
      </w:pPr>
      <w:r>
        <w:rPr>
          <w:sz w:val="22"/>
          <w:szCs w:val="22"/>
        </w:rPr>
        <w:t>O registro do fornecedor será cancelado pelo gerenciador, quando o fornecedor:</w:t>
      </w:r>
      <w:bookmarkStart w:id="53" w:name="cancelamento_do_fornecedor"/>
      <w:bookmarkEnd w:id="53"/>
    </w:p>
    <w:p>
      <w:pPr>
        <w:pStyle w:val="Nvel3"/>
        <w:numPr>
          <w:ilvl w:val="2"/>
          <w:numId w:val="4"/>
        </w:numPr>
        <w:spacing w:lineRule="auto" w:line="360"/>
        <w:ind w:hanging="0" w:left="567"/>
        <w:rPr>
          <w:sz w:val="22"/>
          <w:szCs w:val="22"/>
        </w:rPr>
      </w:pPr>
      <w:r>
        <w:rPr>
          <w:sz w:val="22"/>
          <w:szCs w:val="22"/>
        </w:rPr>
        <w:t>Descumprir as condições da ata de registro de preços, sem motivo justificado;</w:t>
      </w:r>
    </w:p>
    <w:p>
      <w:pPr>
        <w:pStyle w:val="Nvel3"/>
        <w:numPr>
          <w:ilvl w:val="2"/>
          <w:numId w:val="4"/>
        </w:numPr>
        <w:spacing w:lineRule="auto" w:line="360"/>
        <w:ind w:hanging="0" w:left="567"/>
        <w:rPr/>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pPr>
        <w:pStyle w:val="Nvel3"/>
        <w:numPr>
          <w:ilvl w:val="2"/>
          <w:numId w:val="4"/>
        </w:numPr>
        <w:spacing w:lineRule="auto" w:line="360"/>
        <w:ind w:hanging="0" w:left="567"/>
        <w:rPr>
          <w:sz w:val="22"/>
          <w:szCs w:val="22"/>
        </w:rPr>
      </w:pPr>
      <w:r>
        <w:rPr>
          <w:sz w:val="22"/>
          <w:szCs w:val="22"/>
        </w:rPr>
        <w:t>Sofrer sanção prevista nos incisos III ou IV do caput do art. 156 da Lei nº 14.133, de 2021.</w:t>
      </w:r>
    </w:p>
    <w:p>
      <w:pPr>
        <w:pStyle w:val="Nvel3"/>
        <w:numPr>
          <w:ilvl w:val="2"/>
          <w:numId w:val="4"/>
        </w:numPr>
        <w:spacing w:lineRule="auto" w:line="360"/>
        <w:ind w:hanging="0" w:left="567"/>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4"/>
        </w:numPr>
        <w:spacing w:lineRule="auto" w:line="360"/>
        <w:ind w:hanging="0" w:left="0"/>
        <w:rPr/>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\r \h </w:instrText>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pPr>
        <w:pStyle w:val="Nivel2"/>
        <w:numPr>
          <w:ilvl w:val="1"/>
          <w:numId w:val="4"/>
        </w:numPr>
        <w:spacing w:lineRule="auto" w:line="360"/>
        <w:ind w:hanging="0" w:left="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4"/>
        </w:numPr>
        <w:spacing w:lineRule="auto" w:line="360"/>
        <w:ind w:hanging="0" w:left="0"/>
        <w:rPr/>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54" w:name="cancelamento_da_ata"/>
      <w:bookmarkEnd w:id="54"/>
      <w:r>
        <w:rPr>
          <w:sz w:val="22"/>
          <w:szCs w:val="22"/>
        </w:rPr>
        <w:t xml:space="preserve"> </w:t>
      </w:r>
    </w:p>
    <w:p>
      <w:pPr>
        <w:pStyle w:val="Nvel3"/>
        <w:numPr>
          <w:ilvl w:val="2"/>
          <w:numId w:val="4"/>
        </w:numPr>
        <w:spacing w:lineRule="auto" w:line="360"/>
        <w:ind w:hanging="0" w:left="567"/>
        <w:rPr>
          <w:sz w:val="22"/>
          <w:szCs w:val="22"/>
        </w:rPr>
      </w:pPr>
      <w:r>
        <w:rPr>
          <w:sz w:val="22"/>
          <w:szCs w:val="22"/>
        </w:rPr>
        <w:t>Por razão de interesse público;</w:t>
      </w:r>
    </w:p>
    <w:p>
      <w:pPr>
        <w:pStyle w:val="Nvel3"/>
        <w:numPr>
          <w:ilvl w:val="2"/>
          <w:numId w:val="4"/>
        </w:numPr>
        <w:spacing w:lineRule="auto" w:line="360"/>
        <w:ind w:hanging="0" w:left="567"/>
        <w:rPr>
          <w:sz w:val="22"/>
          <w:szCs w:val="22"/>
        </w:rPr>
      </w:pPr>
      <w:r>
        <w:rPr>
          <w:sz w:val="22"/>
          <w:szCs w:val="22"/>
        </w:rPr>
        <w:t>A pedido do fornecedor, decorrente de caso fortuito ou força maior; ou</w:t>
      </w:r>
    </w:p>
    <w:p>
      <w:pPr>
        <w:pStyle w:val="Nvel3"/>
        <w:numPr>
          <w:ilvl w:val="2"/>
          <w:numId w:val="4"/>
        </w:numPr>
        <w:spacing w:lineRule="auto" w:line="360"/>
        <w:ind w:hanging="0" w:left="567"/>
        <w:rPr>
          <w:sz w:val="22"/>
          <w:szCs w:val="22"/>
        </w:rPr>
      </w:pPr>
      <w:r>
        <w:rPr>
          <w:sz w:val="22"/>
          <w:szCs w:val="22"/>
        </w:rPr>
        <w:t xml:space="preserve">Se não houver êxito nas negociações, nas hipóteses em que o preço de mercado tornar-se superior ou inferior ao preço registrado, nos termos do artigos 26, § 3º e  27, § 4º, ambos do Decreto nº 11.462, de 2023. </w:t>
      </w:r>
    </w:p>
    <w:p>
      <w:pPr>
        <w:pStyle w:val="Nivel01"/>
        <w:numPr>
          <w:ilvl w:val="0"/>
          <w:numId w:val="4"/>
        </w:numPr>
        <w:tabs>
          <w:tab w:val="left" w:pos="0" w:leader="none"/>
          <w:tab w:val="left" w:pos="567" w:leader="none"/>
        </w:tabs>
        <w:spacing w:lineRule="auto" w:line="360"/>
        <w:ind w:hanging="11" w:left="0"/>
        <w:rPr>
          <w:sz w:val="22"/>
          <w:szCs w:val="22"/>
        </w:rPr>
      </w:pPr>
      <w:r>
        <w:rPr>
          <w:sz w:val="22"/>
          <w:szCs w:val="22"/>
        </w:rPr>
        <w:t>DAS PENALIDADES</w:t>
      </w:r>
    </w:p>
    <w:p>
      <w:pPr>
        <w:pStyle w:val="Nivel2"/>
        <w:numPr>
          <w:ilvl w:val="1"/>
          <w:numId w:val="4"/>
        </w:numPr>
        <w:spacing w:lineRule="auto" w:line="360"/>
        <w:ind w:hanging="0" w:left="0"/>
        <w:rPr/>
      </w:pPr>
      <w:r>
        <w:rPr>
          <w:sz w:val="22"/>
          <w:szCs w:val="22"/>
        </w:rPr>
        <w:t xml:space="preserve">O descumprimento da Ata de Registro de Preços ensejará aplicação das penalidades estabelecidas </w:t>
      </w:r>
      <w:r>
        <w:rPr>
          <w:i/>
          <w:sz w:val="22"/>
          <w:szCs w:val="22"/>
        </w:rPr>
        <w:t>no edital</w:t>
      </w:r>
      <w:r>
        <w:rPr>
          <w:sz w:val="22"/>
          <w:szCs w:val="22"/>
        </w:rPr>
        <w:t>.</w:t>
      </w:r>
    </w:p>
    <w:p>
      <w:pPr>
        <w:pStyle w:val="Nvel3"/>
        <w:numPr>
          <w:ilvl w:val="2"/>
          <w:numId w:val="4"/>
        </w:numPr>
        <w:spacing w:lineRule="auto" w:line="360"/>
        <w:ind w:hanging="0" w:left="567"/>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4"/>
        </w:numPr>
        <w:spacing w:lineRule="auto" w:line="360"/>
        <w:ind w:hanging="0" w:left="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4"/>
        </w:numPr>
        <w:spacing w:lineRule="auto" w:line="360"/>
        <w:ind w:hanging="0" w:left="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2"/>
        <w:numPr>
          <w:ilvl w:val="0"/>
          <w:numId w:val="0"/>
        </w:numPr>
        <w:spacing w:lineRule="auto" w:line="360"/>
        <w:ind w:hanging="0" w:left="0"/>
        <w:rPr>
          <w:sz w:val="22"/>
          <w:szCs w:val="22"/>
        </w:rPr>
      </w:pPr>
      <w:r>
        <w:rPr>
          <w:sz w:val="22"/>
          <w:szCs w:val="22"/>
        </w:rPr>
      </w:r>
    </w:p>
    <w:p>
      <w:pPr>
        <w:pStyle w:val="Nivel01"/>
        <w:numPr>
          <w:ilvl w:val="0"/>
          <w:numId w:val="4"/>
        </w:numPr>
        <w:tabs>
          <w:tab w:val="left" w:pos="0" w:leader="none"/>
          <w:tab w:val="left" w:pos="567" w:leader="none"/>
        </w:tabs>
        <w:spacing w:lineRule="auto" w:line="360"/>
        <w:ind w:hanging="11" w:left="0"/>
        <w:rPr>
          <w:sz w:val="22"/>
          <w:szCs w:val="22"/>
        </w:rPr>
      </w:pPr>
      <w:r>
        <w:rPr>
          <w:sz w:val="22"/>
          <w:szCs w:val="22"/>
        </w:rPr>
        <w:t>CONDIÇÕES GERAIS</w:t>
      </w:r>
    </w:p>
    <w:p>
      <w:pPr>
        <w:pStyle w:val="Nivel2"/>
        <w:numPr>
          <w:ilvl w:val="1"/>
          <w:numId w:val="4"/>
        </w:numPr>
        <w:spacing w:lineRule="auto" w:line="360"/>
        <w:ind w:hanging="0" w:left="0"/>
        <w:rPr/>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pPr>
        <w:pStyle w:val="Nivel2"/>
        <w:widowControl w:val="false"/>
        <w:numPr>
          <w:ilvl w:val="1"/>
          <w:numId w:val="4"/>
        </w:numPr>
        <w:spacing w:lineRule="auto" w:line="360"/>
        <w:ind w:hanging="0" w:left="0"/>
        <w:rPr>
          <w:b/>
          <w:bCs/>
          <w:sz w:val="22"/>
          <w:szCs w:val="22"/>
        </w:rPr>
      </w:pPr>
      <w:r>
        <w:rPr>
          <w:b/>
          <w:bCs/>
          <w:sz w:val="22"/>
          <w:szCs w:val="22"/>
        </w:rPr>
        <w:t>No caso de adjudicação por preço global de grupo de itens, só será admitida a contratação de parte de itens do grupo se houver prévia pesquisa de mercado e demonstração de sua vantagem para o órgão ou a entidade.</w:t>
      </w:r>
    </w:p>
    <w:p>
      <w:pPr>
        <w:pStyle w:val="Nivel2"/>
        <w:widowControl w:val="false"/>
        <w:numPr>
          <w:ilvl w:val="1"/>
          <w:numId w:val="4"/>
        </w:numPr>
        <w:spacing w:lineRule="auto" w:line="360"/>
        <w:ind w:hanging="0" w:left="0"/>
        <w:rPr>
          <w:sz w:val="22"/>
          <w:szCs w:val="22"/>
        </w:rPr>
      </w:pPr>
      <w:r>
        <w:rPr>
          <w:sz w:val="22"/>
          <w:szCs w:val="22"/>
        </w:rPr>
        <w:t>Para firmeza e validade do pactuado, a presente Ata foi lavrada em uma única via, que, depois de lida e achada em ordem, vai assinada pelas partes.</w:t>
      </w:r>
    </w:p>
    <w:p>
      <w:pPr>
        <w:pStyle w:val="Normal"/>
        <w:widowControl w:val="false"/>
        <w:spacing w:lineRule="auto" w:line="360"/>
        <w:ind w:right="-30"/>
        <w:jc w:val="both"/>
        <w:rPr>
          <w:rFonts w:ascii="Arial" w:hAnsi="Arial" w:cs="Arial"/>
          <w:sz w:val="22"/>
          <w:szCs w:val="22"/>
        </w:rPr>
      </w:pPr>
      <w:r>
        <w:rPr>
          <w:rFonts w:cs="Arial" w:ascii="Arial" w:hAnsi="Arial"/>
          <w:sz w:val="22"/>
          <w:szCs w:val="22"/>
        </w:rPr>
        <w:t>Local e data</w:t>
      </w:r>
    </w:p>
    <w:p>
      <w:pPr>
        <w:pStyle w:val="Normal"/>
        <w:widowControl w:val="false"/>
        <w:spacing w:lineRule="auto" w:line="360"/>
        <w:ind w:right="-30"/>
        <w:jc w:val="both"/>
        <w:rPr>
          <w:rFonts w:ascii="Arial" w:hAnsi="Arial" w:cs="Arial"/>
          <w:sz w:val="22"/>
          <w:szCs w:val="22"/>
        </w:rPr>
      </w:pPr>
      <w:r>
        <w:rPr>
          <w:rFonts w:cs="Arial" w:ascii="Arial" w:hAnsi="Arial"/>
          <w:sz w:val="22"/>
          <w:szCs w:val="22"/>
        </w:rPr>
        <w:t>Assinaturas</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b/>
          <w:sz w:val="22"/>
          <w:szCs w:val="22"/>
        </w:rPr>
      </w:pPr>
      <w:r>
        <w:rPr>
          <w:rFonts w:cs="Arial" w:ascii="Arial" w:hAnsi="Arial"/>
          <w:b/>
          <w:sz w:val="22"/>
          <w:szCs w:val="22"/>
        </w:rPr>
        <w:t>___________________________________</w:t>
      </w:r>
    </w:p>
    <w:p>
      <w:pPr>
        <w:pStyle w:val="Normal"/>
        <w:jc w:val="center"/>
        <w:rPr>
          <w:rFonts w:ascii="Arial" w:hAnsi="Arial" w:cs="Arial"/>
          <w:sz w:val="22"/>
          <w:szCs w:val="22"/>
        </w:rPr>
      </w:pPr>
      <w:r>
        <w:rPr>
          <w:rFonts w:cs="Arial" w:ascii="Arial" w:hAnsi="Arial"/>
          <w:sz w:val="22"/>
          <w:szCs w:val="22"/>
        </w:rPr>
        <w:t>XXXXX</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___________________________________</w:t>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Fornecedor</w:t>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____________________________________</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t>XXXXXX</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w:t>
      </w:r>
    </w:p>
    <w:p>
      <w:pPr>
        <w:pStyle w:val="Normal"/>
        <w:tabs>
          <w:tab w:val="clear" w:pos="709"/>
          <w:tab w:val="left" w:pos="1620" w:leader="none"/>
        </w:tabs>
        <w:jc w:val="center"/>
        <w:rPr>
          <w:rFonts w:ascii="Arial" w:hAnsi="Arial" w:cs="Arial"/>
          <w:b/>
          <w:bCs/>
          <w:sz w:val="22"/>
          <w:szCs w:val="22"/>
        </w:rPr>
      </w:pPr>
      <w:r>
        <w:rPr>
          <w:rFonts w:cs="Arial" w:ascii="Arial" w:hAnsi="Arial"/>
          <w:b/>
          <w:bCs/>
          <w:sz w:val="22"/>
          <w:szCs w:val="22"/>
        </w:rPr>
        <w:t>XXXXX</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t xml:space="preserve">Anexo </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t>Cadastro Reserva</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7"/>
        <w:gridCol w:w="1535"/>
        <w:gridCol w:w="792"/>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jc w:val="both"/>
              <w:rPr/>
            </w:pPr>
            <w:bookmarkStart w:id="55" w:name="_Hlk159838635"/>
            <w:bookmarkEnd w:id="55"/>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7"/>
        <w:gridCol w:w="1535"/>
        <w:gridCol w:w="792"/>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jc w:val="both"/>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spacing w:lineRule="auto" w:line="360"/>
        <w:ind w:right="-54"/>
        <w:jc w:val="both"/>
        <w:rPr/>
      </w:pPr>
      <w:r>
        <mc:AlternateContent>
          <mc:Choice Requires="wps">
            <w:drawing>
              <wp:anchor behindDoc="0" distT="0" distB="0" distL="0" distR="0" simplePos="0" locked="0" layoutInCell="0" allowOverlap="1" relativeHeight="122">
                <wp:simplePos x="0" y="0"/>
                <wp:positionH relativeFrom="column">
                  <wp:posOffset>-121285</wp:posOffset>
                </wp:positionH>
                <wp:positionV relativeFrom="paragraph">
                  <wp:posOffset>467360</wp:posOffset>
                </wp:positionV>
                <wp:extent cx="6272530" cy="7236460"/>
                <wp:effectExtent l="635" t="635" r="635" b="635"/>
                <wp:wrapSquare wrapText="bothSides"/>
                <wp:docPr id="1" name="ole_rId18"/>
                <a:graphic xmlns:a="http://schemas.openxmlformats.org/drawingml/2006/main">
                  <a:graphicData uri="http://schemas.openxmlformats.org/drawingml/2006/picture">
                    <pic:pic xmlns:pic="http://schemas.openxmlformats.org/drawingml/2006/picture">
                      <pic:nvPicPr>
                        <pic:cNvPr id="2" name="ole_rId18" descr=""/>
                        <pic:cNvPicPr/>
                      </pic:nvPicPr>
                      <pic:blipFill>
                        <a:blip r:embed="rId25"/>
                        <a:stretch/>
                      </pic:blipFill>
                      <pic:spPr>
                        <a:xfrm>
                          <a:off x="0" y="0"/>
                          <a:ext cx="6272640" cy="7236360"/>
                        </a:xfrm>
                        <a:prstGeom prst="rect">
                          <a:avLst/>
                        </a:prstGeom>
                        <a:ln w="0">
                          <a:solidFill>
                            <a:srgbClr val="000000"/>
                          </a:solid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le_rId18" stroked="t" o:allowincell="f" style="position:absolute;margin-left:-9.55pt;margin-top:36.8pt;width:493.85pt;height:569.75pt;mso-wrap-style:none;v-text-anchor:middle" type="_x0000_t75">
                <v:imagedata r:id="rId26" o:detectmouseclick="t"/>
                <v:stroke color="black" joinstyle="round" endcap="flat"/>
                <w10:wrap type="square"/>
              </v:shape>
            </w:pict>
          </mc:Fallback>
        </mc:AlternateContent>
      </w:r>
      <w:r>
        <w:rPr>
          <w:rFonts w:cs="Arial" w:ascii="Arial" w:hAnsi="Arial"/>
          <w:b/>
          <w:bCs/>
          <w:sz w:val="22"/>
          <w:szCs w:val="22"/>
        </w:rPr>
        <w:t>ANEXO VII</w:t>
      </w:r>
    </w:p>
    <w:p>
      <w:pPr>
        <w:pStyle w:val="Normal"/>
        <w:rPr/>
      </w:pPr>
      <w:r>
        <w:rPr/>
      </w:r>
    </w:p>
    <w:p>
      <w:pPr>
        <w:pStyle w:val="Normal"/>
        <w:rPr/>
      </w:pPr>
      <w:r>
        <w:rPr/>
      </w:r>
    </w:p>
    <w:p>
      <w:pPr>
        <w:pStyle w:val="Heading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jc w:val="both"/>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w:t>
      </w:r>
      <w:r>
        <w:rPr>
          <w:rFonts w:cs="Arial" w:ascii="Arial" w:hAnsi="Arial"/>
          <w:bCs/>
          <w:sz w:val="22"/>
          <w:szCs w:val="22"/>
        </w:rPr>
        <w:t>30</w:t>
      </w:r>
      <w:r>
        <w:rPr>
          <w:rFonts w:cs="Arial" w:ascii="Arial" w:hAnsi="Arial"/>
          <w:bCs/>
          <w:sz w:val="22"/>
          <w:szCs w:val="22"/>
        </w:rPr>
        <w:t xml:space="preserve">/2025. Objeto: </w:t>
      </w:r>
      <w:r>
        <w:rPr>
          <w:rFonts w:cs="Arial" w:ascii="Arial" w:hAnsi="Arial"/>
          <w:sz w:val="22"/>
          <w:szCs w:val="22"/>
        </w:rPr>
        <w:t>O Registro de Preço pelo prazo de 12 (doze) meses, para eventual aquisição de materiais para curativo.</w:t>
      </w:r>
    </w:p>
    <w:p>
      <w:pPr>
        <w:pStyle w:val="Normal"/>
        <w:tabs>
          <w:tab w:val="clear" w:pos="709"/>
          <w:tab w:val="left" w:pos="1440" w:leader="none"/>
        </w:tabs>
        <w:ind w:right="-54"/>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jc w:val="both"/>
        <w:rPr>
          <w:rFonts w:ascii="Arial" w:hAnsi="Arial" w:cs="Arial"/>
          <w:sz w:val="22"/>
          <w:szCs w:val="22"/>
        </w:rPr>
      </w:pPr>
      <w:bookmarkStart w:id="56" w:name="_Hlk164066357"/>
      <w:r>
        <w:rPr>
          <w:rFonts w:cs="Arial" w:ascii="Arial" w:hAnsi="Arial"/>
          <w:b/>
          <w:bCs/>
          <w:sz w:val="22"/>
          <w:szCs w:val="22"/>
        </w:rPr>
        <w:t xml:space="preserve">Pregão Eletrônico Nº </w:t>
      </w:r>
      <w:r>
        <w:rPr>
          <w:rFonts w:cs="Arial" w:ascii="Arial" w:hAnsi="Arial"/>
          <w:b/>
          <w:bCs/>
          <w:sz w:val="22"/>
          <w:szCs w:val="22"/>
        </w:rPr>
        <w:t>30</w:t>
      </w:r>
      <w:r>
        <w:rPr>
          <w:rFonts w:cs="Arial" w:ascii="Arial" w:hAnsi="Arial"/>
          <w:b/>
          <w:bCs/>
          <w:sz w:val="22"/>
          <w:szCs w:val="22"/>
        </w:rPr>
        <w:t>/2025,</w:t>
      </w:r>
      <w:r>
        <w:rPr>
          <w:rFonts w:cs="Arial" w:ascii="Arial" w:hAnsi="Arial"/>
          <w:sz w:val="22"/>
          <w:szCs w:val="22"/>
        </w:rPr>
        <w:t xml:space="preserve"> </w:t>
      </w:r>
      <w:r>
        <w:rPr>
          <w:rFonts w:cs="Arial" w:ascii="Arial" w:hAnsi="Arial"/>
          <w:b/>
          <w:bCs/>
          <w:sz w:val="22"/>
          <w:szCs w:val="22"/>
        </w:rPr>
        <w:t xml:space="preserve">Edital Nº </w:t>
      </w:r>
      <w:r>
        <w:rPr>
          <w:rFonts w:cs="Arial" w:ascii="Arial" w:hAnsi="Arial"/>
          <w:b/>
          <w:bCs/>
          <w:sz w:val="22"/>
          <w:szCs w:val="22"/>
        </w:rPr>
        <w:t>39</w:t>
      </w:r>
      <w:r>
        <w:rPr>
          <w:rFonts w:cs="Arial" w:ascii="Arial" w:hAnsi="Arial"/>
          <w:b/>
          <w:bCs/>
          <w:sz w:val="22"/>
          <w:szCs w:val="22"/>
        </w:rPr>
        <w:t>/2025</w:t>
      </w:r>
      <w:r>
        <w:rPr>
          <w:rFonts w:cs="Arial" w:ascii="Arial" w:hAnsi="Arial"/>
          <w:sz w:val="22"/>
          <w:szCs w:val="22"/>
        </w:rPr>
        <w:t>, Tipo Menor Preço por Item. Objeto: O Registro de Preço pelo prazo de 12 (doze) meses, para eventual aquisição de materiais para curativo. Os cadastros das Propostas serão recebidos até o dia</w:t>
      </w:r>
      <w:r>
        <w:rPr>
          <w:rFonts w:cs="Arial" w:ascii="Arial" w:hAnsi="Arial"/>
          <w:b/>
          <w:sz w:val="22"/>
          <w:szCs w:val="22"/>
        </w:rPr>
        <w:t xml:space="preserve"> </w:t>
      </w:r>
      <w:r>
        <w:rPr>
          <w:rFonts w:cs="Arial" w:ascii="Arial" w:hAnsi="Arial"/>
          <w:b/>
          <w:sz w:val="22"/>
          <w:szCs w:val="22"/>
          <w:u w:val="single"/>
        </w:rPr>
        <w:t>25 de junho de 2025, às 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27">
        <w:r>
          <w:rPr>
            <w:rStyle w:val="Hyperlink"/>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8">
        <w:r>
          <w:rPr>
            <w:rStyle w:val="Hyperlink"/>
            <w:rFonts w:cs="Arial" w:ascii="Arial" w:hAnsi="Arial"/>
            <w:color w:val="000000"/>
            <w:sz w:val="22"/>
            <w:szCs w:val="22"/>
          </w:rPr>
          <w:t>www.itatiba.sp.gov.br</w:t>
        </w:r>
      </w:hyperlink>
      <w:r>
        <w:rPr>
          <w:rFonts w:cs="Arial" w:ascii="Arial" w:hAnsi="Arial"/>
          <w:sz w:val="22"/>
          <w:szCs w:val="22"/>
        </w:rPr>
        <w:t xml:space="preserve"> e </w:t>
      </w:r>
      <w:hyperlink r:id="rId29">
        <w:r>
          <w:rPr>
            <w:rStyle w:val="Hyperlink"/>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Informações: Tel.(11) 3183-0655. Maria Ângela Camargo Correa de Lima – Pregoeira</w:t>
      </w:r>
      <w:bookmarkEnd w:id="56"/>
      <w:r>
        <w:rPr>
          <w:rFonts w:cs="Arial" w:ascii="Arial" w:hAnsi="Arial"/>
          <w:sz w:val="22"/>
          <w:szCs w:val="22"/>
        </w:rPr>
        <w:t>.</w:t>
      </w:r>
    </w:p>
    <w:p>
      <w:pPr>
        <w:pStyle w:val="Normal"/>
        <w:jc w:val="both"/>
        <w:rPr>
          <w:rFonts w:ascii="Arial" w:hAnsi="Arial" w:cs="Arial"/>
          <w:sz w:val="22"/>
          <w:szCs w:val="22"/>
        </w:rPr>
      </w:pPr>
      <w:r>
        <w:rPr>
          <w:rFonts w:cs="Arial" w:ascii="Arial" w:hAnsi="Arial"/>
          <w:sz w:val="22"/>
          <w:szCs w:val="22"/>
        </w:rPr>
      </w:r>
    </w:p>
    <w:sectPr>
      <w:headerReference w:type="even" r:id="rId30"/>
      <w:headerReference w:type="default" r:id="rId31"/>
      <w:headerReference w:type="first" r:id="rId32"/>
      <w:footerReference w:type="even" r:id="rId33"/>
      <w:footerReference w:type="default" r:id="rId34"/>
      <w:footerReference w:type="first" r:id="rId35"/>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auto"/>
    <w:pitch w:val="variable"/>
  </w:font>
  <w:font w:name="Symbol">
    <w:charset w:val="00"/>
    <w:family w:val="roman"/>
    <w:pitch w:val="variable"/>
  </w:font>
  <w:font w:name="Courier New">
    <w:charset w:val="00"/>
    <w:family w:val="auto"/>
    <w:pitch w:val="variable"/>
  </w:font>
  <w:font w:name="Tahoma">
    <w:charset w:val="00"/>
    <w:family w:val="swiss"/>
    <w:pitch w:val="variable"/>
  </w:font>
  <w:font w:name="Verdana">
    <w:charset w:val="00"/>
    <w:family w:val="swiss"/>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swiss"/>
    <w:pitch w:val="variable"/>
  </w:font>
  <w:font w:name="Helvetica LT Light">
    <w:altName w:val="Arial"/>
    <w:charset w:val="00"/>
    <w:family w:val="roman"/>
    <w:pitch w:val="variable"/>
  </w:font>
  <w:font w:name="Conduit ITC Light">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59</w:t>
    </w:r>
    <w:r>
      <w:rPr/>
      <w:fldChar w:fldCharType="end"/>
    </w:r>
    <w:bookmarkStart w:id="61" w:name="_Hlk158990892"/>
    <w:r>
      <w:rPr/>
      <w:drawing>
        <wp:inline distT="0" distB="0" distL="0" distR="0">
          <wp:extent cx="6027420" cy="856615"/>
          <wp:effectExtent l="0" t="0" r="0" b="0"/>
          <wp:docPr id="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61"/>
  </w:p>
  <w:p>
    <w:pPr>
      <w:pStyle w:val="Footer"/>
      <w:rPr>
        <w:lang w:eastAsia="pt-BR"/>
      </w:rPr>
    </w:pPr>
    <w:r>
      <w:rPr>
        <w:lang w:eastAsia="pt-B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59</w:t>
    </w:r>
    <w:r>
      <w:rPr/>
      <w:fldChar w:fldCharType="end"/>
    </w:r>
    <w:bookmarkStart w:id="62" w:name="_Hlk158990892"/>
    <w:r>
      <w:rPr/>
      <w:drawing>
        <wp:inline distT="0" distB="0" distL="0" distR="0">
          <wp:extent cx="6027420" cy="856615"/>
          <wp:effectExtent l="0" t="0" r="0" b="0"/>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62"/>
  </w:p>
  <w:p>
    <w:pPr>
      <w:pStyle w:val="Footer"/>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57" w:name="_Hlk158990871"/>
    <w:bookmarkStart w:id="58" w:name="_Hlk158990872"/>
    <w:r>
      <w:rPr/>
      <w:drawing>
        <wp:inline distT="0" distB="0" distL="0" distR="0">
          <wp:extent cx="5401310" cy="542925"/>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57"/>
    <w:bookmarkEnd w:id="58"/>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59" w:name="_Hlk158990871"/>
    <w:bookmarkStart w:id="60" w:name="_Hlk158990872"/>
    <w:r>
      <w:rPr/>
      <w:drawing>
        <wp:inline distT="0" distB="0" distL="0" distR="0">
          <wp:extent cx="5401310" cy="542925"/>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59"/>
    <w:bookmarkEnd w:id="60"/>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5">
    <w:lvl w:ilvl="0">
      <w:start w:val="10"/>
      <w:numFmt w:val="decimal"/>
      <w:lvlText w:val="%1"/>
      <w:lvlJc w:val="left"/>
      <w:pPr>
        <w:tabs>
          <w:tab w:val="num" w:pos="0"/>
        </w:tabs>
        <w:ind w:left="720" w:hanging="360"/>
      </w:pPr>
      <w:rPr/>
    </w:lvl>
    <w:lvl w:ilvl="1">
      <w:start w:val="1"/>
      <w:numFmt w:val="decimal"/>
      <w:lvlText w:val="%1.%2"/>
      <w:lvlJc w:val="left"/>
      <w:pPr>
        <w:tabs>
          <w:tab w:val="num" w:pos="0"/>
        </w:tabs>
        <w:ind w:left="1063" w:hanging="600"/>
      </w:pPr>
      <w:rPr/>
    </w:lvl>
    <w:lvl w:ilvl="2">
      <w:start w:val="1"/>
      <w:numFmt w:val="decimal"/>
      <w:lvlText w:val="%1.%2.%3"/>
      <w:lvlJc w:val="left"/>
      <w:pPr>
        <w:tabs>
          <w:tab w:val="num" w:pos="0"/>
        </w:tabs>
        <w:ind w:left="1286" w:hanging="720"/>
      </w:pPr>
      <w:rPr/>
    </w:lvl>
    <w:lvl w:ilvl="3">
      <w:start w:val="1"/>
      <w:numFmt w:val="decimal"/>
      <w:lvlText w:val="%1.%2.%3.%4"/>
      <w:lvlJc w:val="left"/>
      <w:pPr>
        <w:tabs>
          <w:tab w:val="num" w:pos="0"/>
        </w:tabs>
        <w:ind w:left="1389" w:hanging="720"/>
      </w:pPr>
      <w:rPr/>
    </w:lvl>
    <w:lvl w:ilvl="4">
      <w:start w:val="1"/>
      <w:numFmt w:val="decimal"/>
      <w:lvlText w:val="%1.%2.%3.%4.%5"/>
      <w:lvlJc w:val="left"/>
      <w:pPr>
        <w:tabs>
          <w:tab w:val="num" w:pos="0"/>
        </w:tabs>
        <w:ind w:left="1852" w:hanging="1080"/>
      </w:pPr>
      <w:rPr/>
    </w:lvl>
    <w:lvl w:ilvl="5">
      <w:start w:val="1"/>
      <w:numFmt w:val="decimal"/>
      <w:lvlText w:val="%1.%2.%3.%4.%5.%6"/>
      <w:lvlJc w:val="left"/>
      <w:pPr>
        <w:tabs>
          <w:tab w:val="num" w:pos="0"/>
        </w:tabs>
        <w:ind w:left="1955" w:hanging="1080"/>
      </w:pPr>
      <w:rPr/>
    </w:lvl>
    <w:lvl w:ilvl="6">
      <w:start w:val="1"/>
      <w:numFmt w:val="decimal"/>
      <w:lvlText w:val="%1.%2.%3.%4.%5.%6.%7"/>
      <w:lvlJc w:val="left"/>
      <w:pPr>
        <w:tabs>
          <w:tab w:val="num" w:pos="0"/>
        </w:tabs>
        <w:ind w:left="2418" w:hanging="1440"/>
      </w:pPr>
      <w:rPr/>
    </w:lvl>
    <w:lvl w:ilvl="7">
      <w:start w:val="1"/>
      <w:numFmt w:val="decimal"/>
      <w:lvlText w:val="%1.%2.%3.%4.%5.%6.%7.%8"/>
      <w:lvlJc w:val="left"/>
      <w:pPr>
        <w:tabs>
          <w:tab w:val="num" w:pos="0"/>
        </w:tabs>
        <w:ind w:left="2521" w:hanging="1440"/>
      </w:pPr>
      <w:rPr/>
    </w:lvl>
    <w:lvl w:ilvl="8">
      <w:start w:val="1"/>
      <w:numFmt w:val="decimal"/>
      <w:lvlText w:val="%1.%2.%3.%4.%5.%6.%7.%8.%9"/>
      <w:lvlJc w:val="left"/>
      <w:pPr>
        <w:tabs>
          <w:tab w:val="num" w:pos="0"/>
        </w:tabs>
        <w:ind w:left="2984" w:hanging="1800"/>
      </w:pPr>
      <w:rPr/>
    </w:lvl>
  </w:abstractNum>
  <w:abstractNum w:abstractNumId="6">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8"/>
      <w:numFmt w:val="decimal"/>
      <w:lvlText w:val="%1"/>
      <w:lvlJc w:val="left"/>
      <w:pPr>
        <w:tabs>
          <w:tab w:val="num" w:pos="0"/>
        </w:tabs>
        <w:ind w:left="420" w:hanging="420"/>
      </w:pPr>
      <w:rPr>
        <w:i w:val="false"/>
        <w:rFonts w:ascii="Arial" w:hAnsi="Arial" w:cs="Arial"/>
        <w:color w:val="000000"/>
      </w:rPr>
    </w:lvl>
    <w:lvl w:ilvl="1">
      <w:start w:val="10"/>
      <w:numFmt w:val="decimal"/>
      <w:lvlText w:val="%1.%2"/>
      <w:lvlJc w:val="left"/>
      <w:pPr>
        <w:tabs>
          <w:tab w:val="num" w:pos="0"/>
        </w:tabs>
        <w:ind w:left="420" w:hanging="420"/>
      </w:pPr>
      <w:rPr>
        <w:i w:val="false"/>
        <w:rFonts w:ascii="Arial" w:hAnsi="Arial" w:cs="Arial"/>
        <w:color w:val="000000"/>
      </w:rPr>
    </w:lvl>
    <w:lvl w:ilvl="2">
      <w:start w:val="1"/>
      <w:numFmt w:val="decimal"/>
      <w:lvlText w:val="%1.%2.%3"/>
      <w:lvlJc w:val="left"/>
      <w:pPr>
        <w:tabs>
          <w:tab w:val="num" w:pos="0"/>
        </w:tabs>
        <w:ind w:left="720" w:hanging="720"/>
      </w:pPr>
      <w:rPr>
        <w:i w:val="false"/>
        <w:rFonts w:ascii="Arial" w:hAnsi="Arial" w:cs="Arial"/>
        <w:color w:val="000000"/>
      </w:rPr>
    </w:lvl>
    <w:lvl w:ilvl="3">
      <w:start w:val="1"/>
      <w:numFmt w:val="decimal"/>
      <w:lvlText w:val="%1.%2.%3.%4"/>
      <w:lvlJc w:val="left"/>
      <w:pPr>
        <w:tabs>
          <w:tab w:val="num" w:pos="0"/>
        </w:tabs>
        <w:ind w:left="720" w:hanging="720"/>
      </w:pPr>
      <w:rPr>
        <w:i w:val="false"/>
        <w:rFonts w:ascii="Arial" w:hAnsi="Arial" w:cs="Arial"/>
        <w:color w:val="000000"/>
      </w:rPr>
    </w:lvl>
    <w:lvl w:ilvl="4">
      <w:start w:val="1"/>
      <w:numFmt w:val="decimal"/>
      <w:lvlText w:val="%1.%2.%3.%4.%5"/>
      <w:lvlJc w:val="left"/>
      <w:pPr>
        <w:tabs>
          <w:tab w:val="num" w:pos="0"/>
        </w:tabs>
        <w:ind w:left="1080" w:hanging="1080"/>
      </w:pPr>
      <w:rPr>
        <w:i w:val="false"/>
        <w:rFonts w:ascii="Arial" w:hAnsi="Arial" w:cs="Arial"/>
        <w:color w:val="000000"/>
      </w:rPr>
    </w:lvl>
    <w:lvl w:ilvl="5">
      <w:start w:val="1"/>
      <w:numFmt w:val="decimal"/>
      <w:lvlText w:val="%1.%2.%3.%4.%5.%6"/>
      <w:lvlJc w:val="left"/>
      <w:pPr>
        <w:tabs>
          <w:tab w:val="num" w:pos="0"/>
        </w:tabs>
        <w:ind w:left="1080" w:hanging="1080"/>
      </w:pPr>
      <w:rPr>
        <w:i w:val="false"/>
        <w:rFonts w:ascii="Arial" w:hAnsi="Arial" w:cs="Arial"/>
        <w:color w:val="000000"/>
      </w:rPr>
    </w:lvl>
    <w:lvl w:ilvl="6">
      <w:start w:val="1"/>
      <w:numFmt w:val="decimal"/>
      <w:lvlText w:val="%1.%2.%3.%4.%5.%6.%7"/>
      <w:lvlJc w:val="left"/>
      <w:pPr>
        <w:tabs>
          <w:tab w:val="num" w:pos="0"/>
        </w:tabs>
        <w:ind w:left="1440" w:hanging="1440"/>
      </w:pPr>
      <w:rPr>
        <w:i w:val="false"/>
        <w:rFonts w:ascii="Arial" w:hAnsi="Arial" w:cs="Arial"/>
        <w:color w:val="000000"/>
      </w:rPr>
    </w:lvl>
    <w:lvl w:ilvl="7">
      <w:start w:val="1"/>
      <w:numFmt w:val="decimal"/>
      <w:lvlText w:val="%1.%2.%3.%4.%5.%6.%7.%8"/>
      <w:lvlJc w:val="left"/>
      <w:pPr>
        <w:tabs>
          <w:tab w:val="num" w:pos="0"/>
        </w:tabs>
        <w:ind w:left="1440" w:hanging="1440"/>
      </w:pPr>
      <w:rPr>
        <w:i w:val="false"/>
        <w:rFonts w:ascii="Arial" w:hAnsi="Arial" w:cs="Arial"/>
        <w:color w:val="000000"/>
      </w:rPr>
    </w:lvl>
    <w:lvl w:ilvl="8">
      <w:start w:val="1"/>
      <w:numFmt w:val="decimal"/>
      <w:lvlText w:val="%1.%2.%3.%4.%5.%6.%7.%8.%9"/>
      <w:lvlJc w:val="left"/>
      <w:pPr>
        <w:tabs>
          <w:tab w:val="num" w:pos="0"/>
        </w:tabs>
        <w:ind w:left="1440" w:hanging="1440"/>
      </w:pPr>
      <w:rPr>
        <w:i w:val="false"/>
        <w:rFonts w:ascii="Arial" w:hAnsi="Arial" w:cs="Arial"/>
        <w:color w:val="000000"/>
      </w:rPr>
    </w:lvl>
  </w:abstractNum>
  <w:abstractNum w:abstractNumId="12">
    <w:lvl w:ilvl="0">
      <w:start w:val="19"/>
      <w:numFmt w:val="decimal"/>
      <w:lvlText w:val="%1."/>
      <w:lvlJc w:val="left"/>
      <w:pPr>
        <w:tabs>
          <w:tab w:val="num" w:pos="0"/>
        </w:tabs>
        <w:ind w:left="360" w:hanging="360"/>
      </w:pPr>
      <w:r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rFonts w:eastAsia="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6"/>
      <w:numFmt w:val="decimal"/>
      <w:lvlText w:val="%1"/>
      <w:lvlJc w:val="left"/>
      <w:pPr>
        <w:tabs>
          <w:tab w:val="num" w:pos="0"/>
        </w:tabs>
        <w:ind w:left="720" w:hanging="360"/>
      </w:pPr>
      <w:rPr>
        <w:b/>
        <w:rFonts w:ascii="Arial" w:hAnsi="Arial" w:eastAsia="Arial" w:cs="Arial"/>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7"/>
      <w:numFmt w:val="decimal"/>
      <w:lvlText w:val="%1"/>
      <w:lvlJc w:val="left"/>
      <w:pPr>
        <w:tabs>
          <w:tab w:val="num" w:pos="0"/>
        </w:tabs>
        <w:ind w:left="360" w:hanging="360"/>
      </w:pPr>
      <w:rPr>
        <w:sz w:val="22"/>
        <w:rFonts w:ascii="Arial" w:hAnsi="Arial" w:eastAsia="Arial" w:cs="Arial"/>
        <w:color w:val="000000"/>
      </w:rPr>
    </w:lvl>
    <w:lvl w:ilvl="1">
      <w:start w:val="1"/>
      <w:numFmt w:val="decimal"/>
      <w:lvlText w:val="%1.%2"/>
      <w:lvlJc w:val="left"/>
      <w:pPr>
        <w:tabs>
          <w:tab w:val="num" w:pos="0"/>
        </w:tabs>
        <w:ind w:left="360" w:hanging="360"/>
      </w:pPr>
      <w:rPr>
        <w:sz w:val="22"/>
        <w:rFonts w:ascii="Arial" w:hAnsi="Arial" w:eastAsia="Arial" w:cs="Arial"/>
        <w:color w:val="000000"/>
      </w:rPr>
    </w:lvl>
    <w:lvl w:ilvl="2">
      <w:start w:val="1"/>
      <w:numFmt w:val="decimal"/>
      <w:lvlText w:val="%1.%2.%3"/>
      <w:lvlJc w:val="left"/>
      <w:pPr>
        <w:tabs>
          <w:tab w:val="num" w:pos="0"/>
        </w:tabs>
        <w:ind w:left="720" w:hanging="720"/>
      </w:pPr>
      <w:rPr>
        <w:sz w:val="22"/>
        <w:rFonts w:ascii="Arial" w:hAnsi="Arial" w:eastAsia="Arial" w:cs="Arial"/>
        <w:color w:val="000000"/>
      </w:rPr>
    </w:lvl>
    <w:lvl w:ilvl="3">
      <w:start w:val="1"/>
      <w:numFmt w:val="decimal"/>
      <w:lvlText w:val="%1.%2.%3.%4"/>
      <w:lvlJc w:val="left"/>
      <w:pPr>
        <w:tabs>
          <w:tab w:val="num" w:pos="0"/>
        </w:tabs>
        <w:ind w:left="720" w:hanging="720"/>
      </w:pPr>
      <w:rPr>
        <w:sz w:val="22"/>
        <w:rFonts w:ascii="Arial" w:hAnsi="Arial" w:eastAsia="Arial" w:cs="Arial"/>
        <w:color w:val="000000"/>
      </w:rPr>
    </w:lvl>
    <w:lvl w:ilvl="4">
      <w:start w:val="1"/>
      <w:numFmt w:val="decimal"/>
      <w:lvlText w:val="%1.%2.%3.%4.%5"/>
      <w:lvlJc w:val="left"/>
      <w:pPr>
        <w:tabs>
          <w:tab w:val="num" w:pos="0"/>
        </w:tabs>
        <w:ind w:left="720" w:hanging="720"/>
      </w:pPr>
      <w:rPr>
        <w:sz w:val="22"/>
        <w:rFonts w:ascii="Arial" w:hAnsi="Arial" w:eastAsia="Arial" w:cs="Arial"/>
        <w:color w:val="000000"/>
      </w:rPr>
    </w:lvl>
    <w:lvl w:ilvl="5">
      <w:start w:val="1"/>
      <w:numFmt w:val="decimal"/>
      <w:lvlText w:val="%1.%2.%3.%4.%5.%6"/>
      <w:lvlJc w:val="left"/>
      <w:pPr>
        <w:tabs>
          <w:tab w:val="num" w:pos="0"/>
        </w:tabs>
        <w:ind w:left="1080" w:hanging="1080"/>
      </w:pPr>
      <w:rPr>
        <w:sz w:val="22"/>
        <w:rFonts w:ascii="Arial" w:hAnsi="Arial" w:eastAsia="Arial" w:cs="Arial"/>
        <w:color w:val="000000"/>
      </w:rPr>
    </w:lvl>
    <w:lvl w:ilvl="6">
      <w:start w:val="1"/>
      <w:numFmt w:val="decimal"/>
      <w:lvlText w:val="%1.%2.%3.%4.%5.%6.%7"/>
      <w:lvlJc w:val="left"/>
      <w:pPr>
        <w:tabs>
          <w:tab w:val="num" w:pos="0"/>
        </w:tabs>
        <w:ind w:left="1080" w:hanging="1080"/>
      </w:pPr>
      <w:rPr>
        <w:sz w:val="22"/>
        <w:rFonts w:ascii="Arial" w:hAnsi="Arial" w:eastAsia="Arial" w:cs="Arial"/>
        <w:color w:val="000000"/>
      </w:rPr>
    </w:lvl>
    <w:lvl w:ilvl="7">
      <w:start w:val="1"/>
      <w:numFmt w:val="decimal"/>
      <w:lvlText w:val="%1.%2.%3.%4.%5.%6.%7.%8"/>
      <w:lvlJc w:val="left"/>
      <w:pPr>
        <w:tabs>
          <w:tab w:val="num" w:pos="0"/>
        </w:tabs>
        <w:ind w:left="1440" w:hanging="1440"/>
      </w:pPr>
      <w:rPr>
        <w:sz w:val="22"/>
        <w:rFonts w:ascii="Arial" w:hAnsi="Arial" w:eastAsia="Arial" w:cs="Arial"/>
        <w:color w:val="000000"/>
      </w:rPr>
    </w:lvl>
    <w:lvl w:ilvl="8">
      <w:start w:val="1"/>
      <w:numFmt w:val="decimal"/>
      <w:lvlText w:val="%1.%2.%3.%4.%5.%6.%7.%8.%9"/>
      <w:lvlJc w:val="left"/>
      <w:pPr>
        <w:tabs>
          <w:tab w:val="num" w:pos="0"/>
        </w:tabs>
        <w:ind w:left="1440" w:hanging="1440"/>
      </w:pPr>
      <w:rPr>
        <w:sz w:val="22"/>
        <w:rFonts w:ascii="Arial" w:hAnsi="Arial" w:eastAsia="Arial" w:cs="Arial"/>
        <w:color w:val="000000"/>
      </w:rPr>
    </w:lvl>
  </w:abstractNum>
  <w:abstractNum w:abstractNumId="17">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30"/>
  <w:displayBackgroundShape/>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sz w:val="32"/>
      <w:szCs w:val="32"/>
    </w:rPr>
  </w:style>
  <w:style w:type="paragraph" w:styleId="Heading2">
    <w:name w:val="heading 2"/>
    <w:basedOn w:val="Normal"/>
    <w:next w:val="Normal"/>
    <w:unhideWhenUsed/>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Heading4">
    <w:name w:val="heading 4"/>
    <w:basedOn w:val="Normal"/>
    <w:next w:val="Normal"/>
    <w:unhideWhenUsed/>
    <w:qFormat/>
    <w:pPr>
      <w:keepNext w:val="true"/>
      <w:numPr>
        <w:ilvl w:val="3"/>
        <w:numId w:val="1"/>
      </w:numPr>
      <w:spacing w:before="240" w:after="60"/>
      <w:outlineLvl w:val="3"/>
    </w:pPr>
    <w:rPr>
      <w:b/>
      <w:bCs/>
      <w:sz w:val="28"/>
      <w:szCs w:val="28"/>
    </w:rPr>
  </w:style>
  <w:style w:type="paragraph" w:styleId="Heading5">
    <w:name w:val="heading 5"/>
    <w:basedOn w:val="Normal"/>
    <w:next w:val="Normal"/>
    <w:unhideWhenUsed/>
    <w:qFormat/>
    <w:pPr>
      <w:numPr>
        <w:ilvl w:val="4"/>
        <w:numId w:val="1"/>
      </w:numPr>
      <w:spacing w:before="240" w:after="60"/>
      <w:outlineLvl w:val="4"/>
    </w:pPr>
    <w:rPr>
      <w:b/>
      <w:bCs/>
      <w:i/>
      <w:iCs/>
      <w:sz w:val="26"/>
      <w:szCs w:val="26"/>
    </w:rPr>
  </w:style>
  <w:style w:type="paragraph" w:styleId="Heading6">
    <w:name w:val="heading 6"/>
    <w:basedOn w:val="Normal"/>
    <w:next w:val="Normal"/>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keepNext w:val="true"/>
      <w:numPr>
        <w:ilvl w:val="6"/>
        <w:numId w:val="1"/>
      </w:numPr>
      <w:jc w:val="center"/>
      <w:outlineLvl w:val="6"/>
    </w:pPr>
    <w:rPr/>
  </w:style>
  <w:style w:type="paragraph" w:styleId="Heading8">
    <w:name w:val="heading 8"/>
    <w:basedOn w:val="Normal"/>
    <w:next w:val="Normal"/>
    <w:qFormat/>
    <w:pPr>
      <w:widowControl w:val="false"/>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style>
  <w:style w:type="character" w:styleId="WW8Num4z0" w:customStyle="1">
    <w:name w:val="WW8Num4z0"/>
    <w:qFormat/>
    <w:rPr/>
  </w:style>
  <w:style w:type="character" w:styleId="WW8Num6z0" w:customStyle="1">
    <w:name w:val="WW8Num6z0"/>
    <w:qFormat/>
    <w:rPr>
      <w:b/>
      <w:i w:val="false"/>
    </w:rPr>
  </w:style>
  <w:style w:type="character" w:styleId="WW8Num6z2" w:customStyle="1">
    <w:name w:val="WW8Num6z2"/>
    <w:qFormat/>
    <w:rPr>
      <w:b w:val="false"/>
      <w:i w:val="false"/>
    </w:rPr>
  </w:style>
  <w:style w:type="character" w:styleId="WW8Num7z0" w:customStyle="1">
    <w:name w:val="WW8Num7z0"/>
    <w:qFormat/>
    <w:rPr>
      <w:sz w:val="22"/>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b/>
    </w:rPr>
  </w:style>
  <w:style w:type="character" w:styleId="WW8Num11z1" w:customStyle="1">
    <w:name w:val="WW8Num11z1"/>
    <w:qFormat/>
    <w:rPr>
      <w:b w:val="false"/>
      <w:i w:val="false"/>
      <w:strike w:val="false"/>
      <w:dstrike w:val="false"/>
      <w:color w:val="000000"/>
      <w:sz w:val="20"/>
      <w:szCs w:val="20"/>
      <w:u w:val="none"/>
    </w:rPr>
  </w:style>
  <w:style w:type="character" w:styleId="WW8Num11z2" w:customStyle="1">
    <w:name w:val="WW8Num11z2"/>
    <w:qFormat/>
    <w:rPr>
      <w:rFonts w:ascii="Arial" w:hAnsi="Arial" w:cs="Arial"/>
      <w:b w:val="false"/>
      <w:i w:val="false"/>
      <w:strike w:val="false"/>
      <w:dstrike w:val="false"/>
      <w:color w:val="000000"/>
      <w:sz w:val="20"/>
      <w:szCs w:val="20"/>
    </w:rPr>
  </w:style>
  <w:style w:type="character" w:styleId="WW8Num12z0" w:customStyle="1">
    <w:name w:val="WW8Num12z0"/>
    <w:qFormat/>
    <w:rPr/>
  </w:style>
  <w:style w:type="character" w:styleId="WW8Num14z0" w:customStyle="1">
    <w:name w:val="WW8Num14z0"/>
    <w:qFormat/>
    <w:rPr/>
  </w:style>
  <w:style w:type="character" w:styleId="WW8Num16z0" w:customStyle="1">
    <w:name w:val="WW8Num16z0"/>
    <w:qFormat/>
    <w:rPr/>
  </w:style>
  <w:style w:type="character" w:styleId="WW8Num18z0" w:customStyle="1">
    <w:name w:val="WW8Num18z0"/>
    <w:qFormat/>
    <w:rPr>
      <w:b/>
    </w:rPr>
  </w:style>
  <w:style w:type="character" w:styleId="WW8Num18z1" w:customStyle="1">
    <w:name w:val="WW8Num18z1"/>
    <w:qFormat/>
    <w:rPr>
      <w:b w:val="false"/>
      <w:i w:val="false"/>
      <w:strike w:val="false"/>
      <w:dstrike w:val="false"/>
      <w:color w:val="000000"/>
      <w:sz w:val="20"/>
      <w:szCs w:val="20"/>
      <w:u w:val="none"/>
    </w:rPr>
  </w:style>
  <w:style w:type="character" w:styleId="WW8Num18z2" w:customStyle="1">
    <w:name w:val="WW8Num18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cs="Symbol"/>
      <w:kern w:val="0"/>
      <w:sz w:val="22"/>
      <w:szCs w:val="24"/>
    </w:rPr>
  </w:style>
  <w:style w:type="character" w:styleId="WW8Num9z2" w:customStyle="1">
    <w:name w:val="WW8Num9z2"/>
    <w:qFormat/>
    <w:rPr>
      <w:b w:val="false"/>
      <w:i w:val="false"/>
    </w:rPr>
  </w:style>
  <w:style w:type="character" w:styleId="WW8Num13z0" w:customStyle="1">
    <w:name w:val="WW8Num13z0"/>
    <w:qFormat/>
    <w:rPr>
      <w:b/>
      <w:i w:val="false"/>
    </w:rPr>
  </w:style>
  <w:style w:type="character" w:styleId="WW8Num13z2" w:customStyle="1">
    <w:name w:val="WW8Num13z2"/>
    <w:qFormat/>
    <w:rPr>
      <w:b w:val="false"/>
      <w:i w:val="false"/>
    </w:rPr>
  </w:style>
  <w:style w:type="character" w:styleId="WW8Num15z0" w:customStyle="1">
    <w:name w:val="WW8Num15z0"/>
    <w:qFormat/>
    <w:rPr/>
  </w:style>
  <w:style w:type="character" w:styleId="WW8Num17z0" w:customStyle="1">
    <w:name w:val="WW8Num17z0"/>
    <w:qFormat/>
    <w:rPr/>
  </w:style>
  <w:style w:type="character" w:styleId="WW8Num19z0" w:customStyle="1">
    <w:name w:val="WW8Num19z0"/>
    <w:qFormat/>
    <w:rPr>
      <w:b/>
    </w:rPr>
  </w:style>
  <w:style w:type="character" w:styleId="WW8Num19z1" w:customStyle="1">
    <w:name w:val="WW8Num19z1"/>
    <w:qFormat/>
    <w:rPr>
      <w:b w:val="false"/>
      <w:i w:val="false"/>
      <w:strike w:val="false"/>
      <w:dstrike w:val="false"/>
      <w:color w:val="000000"/>
      <w:sz w:val="20"/>
      <w:szCs w:val="20"/>
      <w:u w:val="none"/>
    </w:rPr>
  </w:style>
  <w:style w:type="character" w:styleId="WW8Num19z2" w:customStyle="1">
    <w:name w:val="WW8Num19z2"/>
    <w:qFormat/>
    <w:rPr>
      <w:rFonts w:ascii="Arial" w:hAnsi="Arial" w:cs="Arial"/>
      <w:b w:val="false"/>
      <w:i w:val="false"/>
      <w:strike w:val="false"/>
      <w:dstrike w:val="false"/>
      <w:color w:val="000000"/>
      <w:sz w:val="20"/>
      <w:szCs w:val="20"/>
    </w:rPr>
  </w:style>
  <w:style w:type="character" w:styleId="WW8Num20z0" w:customStyle="1">
    <w:name w:val="WW8Num20z0"/>
    <w:qFormat/>
    <w:rPr/>
  </w:style>
  <w:style w:type="character" w:styleId="WW8Num21z0" w:customStyle="1">
    <w:name w:val="WW8Num21z0"/>
    <w:qFormat/>
    <w:rPr/>
  </w:style>
  <w:style w:type="character" w:styleId="WW8Num23z0" w:customStyle="1">
    <w:name w:val="WW8Num23z0"/>
    <w:qFormat/>
    <w:rPr/>
  </w:style>
  <w:style w:type="character" w:styleId="WW8Num24z0" w:customStyle="1">
    <w:name w:val="WW8Num24z0"/>
    <w:qFormat/>
    <w:rPr/>
  </w:style>
  <w:style w:type="character" w:styleId="WW8Num25z0" w:customStyle="1">
    <w:name w:val="WW8Num25z0"/>
    <w:qFormat/>
    <w:rPr/>
  </w:style>
  <w:style w:type="character" w:styleId="WW8Num27z0" w:customStyle="1">
    <w:name w:val="WW8Num27z0"/>
    <w:qFormat/>
    <w:rPr/>
  </w:style>
  <w:style w:type="character" w:styleId="WW8Num28z0" w:customStyle="1">
    <w:name w:val="WW8Num28z0"/>
    <w:qFormat/>
    <w:rPr/>
  </w:style>
  <w:style w:type="character" w:styleId="WW8Num29z0" w:customStyle="1">
    <w:name w:val="WW8Num29z0"/>
    <w:qFormat/>
    <w:rPr/>
  </w:style>
  <w:style w:type="character" w:styleId="WW8Num30z0" w:customStyle="1">
    <w:name w:val="WW8Num30z0"/>
    <w:qFormat/>
    <w:rPr>
      <w:rFonts w:ascii="Times New Roman" w:hAnsi="Times New Roman" w:cs="Arial"/>
      <w:b/>
      <w:sz w:val="22"/>
      <w:szCs w:val="23"/>
    </w:rPr>
  </w:style>
  <w:style w:type="character" w:styleId="WW8Num30z1" w:customStyle="1">
    <w:name w:val="WW8Num30z1"/>
    <w:qFormat/>
    <w:rPr>
      <w:b w:val="false"/>
      <w:i w:val="false"/>
      <w:strike w:val="false"/>
      <w:dstrike w:val="false"/>
      <w:color w:val="000000"/>
      <w:sz w:val="20"/>
      <w:szCs w:val="20"/>
      <w:u w:val="none"/>
    </w:rPr>
  </w:style>
  <w:style w:type="character" w:styleId="WW8Num30z2" w:customStyle="1">
    <w:name w:val="WW8Num30z2"/>
    <w:qFormat/>
    <w:rPr>
      <w:rFonts w:ascii="Arial" w:hAnsi="Arial" w:cs="Arial"/>
      <w:b w:val="false"/>
      <w:i w:val="false"/>
      <w:strike w:val="false"/>
      <w:dstrike w:val="false"/>
      <w:color w:val="000000"/>
      <w:sz w:val="20"/>
      <w:szCs w:val="20"/>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WW8Num35z1" w:customStyle="1">
    <w:name w:val="WW8Num35z1"/>
    <w:qFormat/>
    <w:rPr>
      <w:b w:val="false"/>
      <w:i w:val="false"/>
    </w:rPr>
  </w:style>
  <w:style w:type="character" w:styleId="WW8Num35z2" w:customStyle="1">
    <w:name w:val="WW8Num35z2"/>
    <w:qFormat/>
    <w:rPr>
      <w:b w:val="false"/>
    </w:rPr>
  </w:style>
  <w:style w:type="character" w:styleId="WW8Num36z0" w:customStyle="1">
    <w:name w:val="WW8Num36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1" w:customStyle="1">
    <w:name w:val="WW8Num6z1"/>
    <w:qFormat/>
    <w:rPr>
      <w:rFonts w:ascii="Courier New" w:hAnsi="Courier New" w:cs="Courier New"/>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InternetLink">
    <w:name w:val="Internet Link"/>
    <w:qFormat/>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Emphasis">
    <w:name w:val="Emphasis"/>
    <w:qFormat/>
    <w:rPr>
      <w:i/>
      <w:iCs/>
    </w:rPr>
  </w:style>
  <w:style w:type="character" w:styleId="FollowedHyperlink">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Comment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Ttulo9Char" w:customStyle="1">
    <w:name w:val="Título 9 Char"/>
    <w:qFormat/>
    <w:rPr>
      <w:rFonts w:ascii="Arial" w:hAnsi="Arial" w:eastAsia="Times New Roman" w:cs="Arial"/>
      <w:b/>
      <w:bCs/>
      <w:kern w:val="2"/>
      <w:sz w:val="24"/>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Tahoma"/>
      <w:sz w:val="24"/>
      <w:szCs w:val="24"/>
    </w:rPr>
  </w:style>
  <w:style w:type="paragraph" w:styleId="Caption">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Tahoma"/>
      <w:sz w:val="24"/>
      <w:szCs w:val="24"/>
    </w:rPr>
  </w:style>
  <w:style w:type="paragraph" w:styleId="Title">
    <w:name w:val="Title"/>
    <w:basedOn w:val="Normal"/>
    <w:next w:val="BodyText"/>
    <w:uiPriority w:val="10"/>
    <w:qFormat/>
    <w:pPr>
      <w:keepNext w:val="true"/>
      <w:spacing w:before="240" w:after="120"/>
    </w:pPr>
    <w:rPr>
      <w:rFonts w:ascii="Liberation Sans;Arial" w:hAnsi="Liberation Sans;Arial" w:eastAsia="Microsoft YaHei" w:cs="Arial"/>
      <w:sz w:val="28"/>
      <w:szCs w:val="28"/>
    </w:rPr>
  </w:style>
  <w:style w:type="paragraph" w:styleId="Ttulo132" w:customStyle="1">
    <w:name w:val="Título13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 w:customStyle="1">
    <w:name w:val="Título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 w:customStyle="1">
    <w:name w:val="Título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 w:customStyle="1">
    <w:name w:val="Título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 w:customStyle="1">
    <w:name w:val="Título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 w:customStyle="1">
    <w:name w:val="Título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 w:customStyle="1">
    <w:name w:val="Título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 w:customStyle="1">
    <w:name w:val="Título3"/>
    <w:basedOn w:val="Normal"/>
    <w:next w:val="BodyText"/>
    <w:qFormat/>
    <w:pPr>
      <w:keepNext w:val="true"/>
      <w:spacing w:before="240" w:after="120"/>
    </w:pPr>
    <w:rPr>
      <w:rFonts w:ascii="Arial" w:hAnsi="Arial" w:eastAsia="Microsoft YaHei" w:cs="Mangal"/>
      <w:sz w:val="28"/>
      <w:szCs w:val="28"/>
    </w:rPr>
  </w:style>
  <w:style w:type="paragraph" w:styleId="Ttulo2" w:customStyle="1">
    <w:name w:val="Título2"/>
    <w:basedOn w:val="Normal"/>
    <w:next w:val="BodyText"/>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erodap1">
    <w:name w:val="Cabeçalho e rodapé1"/>
    <w:basedOn w:val="Normal"/>
    <w:qFormat/>
    <w:pPr/>
    <w:rPr/>
  </w:style>
  <w:style w:type="paragraph" w:styleId="Header">
    <w:name w:val="header"/>
    <w:basedOn w:val="Normal"/>
    <w:pPr/>
    <w:rPr/>
  </w:style>
  <w:style w:type="paragraph" w:styleId="Footer">
    <w:name w:val="footer"/>
    <w:basedOn w:val="Normal"/>
    <w:pPr/>
    <w:rPr/>
  </w:style>
  <w:style w:type="paragraph" w:styleId="BodyTextIndented">
    <w:name w:val="Body Text, Indented"/>
    <w:basedOn w:val="Normal"/>
    <w:qFormat/>
    <w:pPr>
      <w:ind w:firstLine="708"/>
      <w:jc w:val="both"/>
    </w:pPr>
    <w:rPr/>
  </w:style>
  <w:style w:type="paragraph" w:styleId="FootnoteText">
    <w:name w:val="footnote text"/>
    <w:basedOn w:val="Normal"/>
    <w:pPr/>
    <w:rPr/>
  </w:style>
  <w:style w:type="paragraph" w:styleId="Recuodecorpodetexto22" w:customStyle="1">
    <w:name w:val="Recuo de corpo de texto 22"/>
    <w:basedOn w:val="Normal"/>
    <w:qFormat/>
    <w:pPr>
      <w:spacing w:lineRule="auto" w:line="480" w:before="0" w:after="120"/>
      <w:ind w:left="283"/>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 w:customStyle="1">
    <w:name w:val="Título1"/>
    <w:basedOn w:val="Normal"/>
    <w:next w:val="BodyText"/>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pPr>
    <w:rPr>
      <w:sz w:val="24"/>
      <w:szCs w:val="24"/>
    </w:rPr>
  </w:style>
  <w:style w:type="paragraph" w:styleId="Recuodecorpodetexto31" w:customStyle="1">
    <w:name w:val="Recuo de corpo de texto 31"/>
    <w:basedOn w:val="Normal"/>
    <w:qFormat/>
    <w:pPr>
      <w:spacing w:before="0" w:after="120"/>
      <w:ind w:left="283"/>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BodyText"/>
    <w:qFormat/>
    <w:pPr/>
    <w:rPr>
      <w:sz w:val="24"/>
      <w:szCs w:val="24"/>
    </w:rPr>
  </w:style>
  <w:style w:type="paragraph" w:styleId="Paragrafo" w:customStyle="1">
    <w:name w:val="Paragrafo"/>
    <w:basedOn w:val="BodyTextIndented"/>
    <w:qFormat/>
    <w:pPr>
      <w:ind w:hanging="567" w:left="1134"/>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qFormat/>
    <w:pPr>
      <w:spacing w:lineRule="auto" w:line="276" w:before="0" w:after="200"/>
      <w:ind w:left="720"/>
    </w:pPr>
    <w:rPr>
      <w:rFonts w:ascii="Calibri" w:hAnsi="Calibri" w:eastAsia="Calibri" w:cs="Calibri"/>
      <w:sz w:val="22"/>
      <w:szCs w:val="22"/>
    </w:rPr>
  </w:style>
  <w:style w:type="paragraph" w:styleId="Commarcadores21" w:customStyle="1">
    <w:name w:val="Com marcadores 21"/>
    <w:basedOn w:val="Normal"/>
    <w:qFormat/>
    <w:pPr>
      <w:ind w:hanging="283" w:left="566"/>
    </w:pPr>
    <w:rPr>
      <w:rFonts w:ascii="Arial" w:hAnsi="Arial" w:eastAsia="MS Mincho;ＭＳ 明朝" w:cs="Arial"/>
    </w:rPr>
  </w:style>
  <w:style w:type="paragraph" w:styleId="Commarcadores41" w:customStyle="1">
    <w:name w:val="Com marcadores 41"/>
    <w:basedOn w:val="Normal"/>
    <w:qFormat/>
    <w:pPr>
      <w:ind w:hanging="283" w:left="1132"/>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EndnoteText">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Contedodoquadro" w:customStyle="1">
    <w:name w:val="Conteúdo do quadro"/>
    <w:basedOn w:val="BodyText"/>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bidi="ar-SA" w:val="pt-BR" w:eastAsia="zh-CN"/>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bidi="ar-SA" w:val="pt-BR" w:eastAsia="zh-CN"/>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bidi="ar-SA" w:val="pt-BR" w:eastAsia="zh-CN"/>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BodyTextIndent" w:customStyle="1">
    <w:name w:val="Body Text Indent"/>
    <w:basedOn w:val="Normal"/>
    <w:qFormat/>
    <w:pPr>
      <w:spacing w:before="0" w:after="120"/>
      <w:ind w:left="283"/>
      <w:textAlignment w:val="baseline"/>
    </w:pPr>
    <w:rPr>
      <w:rFonts w:ascii="Arial" w:hAnsi="Arial" w:cs="Arial"/>
      <w:sz w:val="24"/>
      <w:szCs w:val="24"/>
    </w:rPr>
  </w:style>
  <w:style w:type="paragraph" w:styleId="Comment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Heading1"/>
    <w:next w:val="Normal"/>
    <w:qFormat/>
    <w:pPr>
      <w:keepLines/>
      <w:numPr>
        <w:ilvl w:val="0"/>
        <w:numId w:val="0"/>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numPr>
        <w:ilvl w:val="0"/>
        <w:numId w:val="6"/>
      </w:numPr>
      <w:suppressAutoHyphens w:val="false"/>
      <w:spacing w:lineRule="auto" w:line="276" w:before="120" w:after="12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jc w:val="both"/>
    </w:pPr>
    <w:rPr>
      <w:rFonts w:ascii="Arial" w:hAnsi="Arial" w:eastAsia="Calibri" w:cs="Tahoma"/>
      <w:color w:val="000000"/>
      <w:kern w:val="0"/>
    </w:rPr>
  </w:style>
  <w:style w:type="paragraph" w:styleId="annotationsubject">
    <w:name w:val="annotation subject"/>
    <w:basedOn w:val="CommentText"/>
    <w:next w:val="Comment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numPr>
        <w:ilvl w:val="0"/>
        <w:numId w:val="0"/>
      </w:numPr>
      <w:tabs>
        <w:tab w:val="clear" w:pos="709"/>
        <w:tab w:val="left" w:pos="0" w:leader="none"/>
      </w:tabs>
    </w:pPr>
    <w:rPr>
      <w:rFonts w:eastAsia="Times New Roman"/>
      <w:i/>
      <w:iCs/>
      <w:color w:val="FF0000"/>
    </w:rPr>
  </w:style>
  <w:style w:type="paragraph" w:styleId="ou" w:customStyle="1">
    <w:name w:val="ou"/>
    <w:basedOn w:val="ListParagraph"/>
    <w:qFormat/>
    <w:pPr>
      <w:suppressAutoHyphens w:val="false"/>
      <w:spacing w:lineRule="auto" w:line="252" w:before="60" w:after="60"/>
      <w:ind w:left="0"/>
      <w:jc w:val="center"/>
    </w:pPr>
    <w:rPr>
      <w:rFonts w:ascii="Arial" w:hAnsi="Arial" w:cs="Arial"/>
      <w:b/>
      <w:bCs/>
      <w:i/>
      <w:iCs/>
      <w:color w:val="FF0000"/>
      <w:kern w:val="0"/>
      <w:u w:val="single"/>
    </w:rPr>
  </w:style>
  <w:style w:type="paragraph" w:styleId="Nvel3-R" w:customStyle="1">
    <w:name w:val="Nível 3-R"/>
    <w:basedOn w:val="Nivel3"/>
    <w:qFormat/>
    <w:pPr>
      <w:ind w:hanging="0" w:left="284"/>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ind w:left="357"/>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numbering" w:styleId="Semlista" w:default="1">
    <w:name w:val="Sem lista"/>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s://www.planalto.gov.br/ccivil_03/leis/lcp/lcp123.htm" TargetMode="External"/><Relationship Id="rId4" Type="http://schemas.openxmlformats.org/officeDocument/2006/relationships/hyperlink" Target="https://www.planalto.gov.br/ccivil_03/leis/lcp/lcp123.htm" TargetMode="External"/><Relationship Id="rId5" Type="http://schemas.openxmlformats.org/officeDocument/2006/relationships/hyperlink" Target="http://www.bbmnetlicitacoes.com.br/" TargetMode="External"/><Relationship Id="rId6" Type="http://schemas.openxmlformats.org/officeDocument/2006/relationships/hyperlink" Target="http://www.bbmnetlicitacoes.com.br/" TargetMode="External"/><Relationship Id="rId7" Type="http://schemas.openxmlformats.org/officeDocument/2006/relationships/hyperlink" Target="http://www.bbmnetlicitacoes.com.br/" TargetMode="External"/><Relationship Id="rId8" Type="http://schemas.openxmlformats.org/officeDocument/2006/relationships/hyperlink" Target="https://www.planalto.gov.br/ccivil_03/constituicao/constituicaocompilado.htm" TargetMode="External"/><Relationship Id="rId9" Type="http://schemas.openxmlformats.org/officeDocument/2006/relationships/hyperlink" Target="http://www.planalto.gov.br/ccivil_03/_ato2019-2022/2021/lei/L14133.htm" TargetMode="External"/><Relationship Id="rId10" Type="http://schemas.openxmlformats.org/officeDocument/2006/relationships/hyperlink" Target="http://www.bbmnetlicitacoes.com.br/" TargetMode="External"/><Relationship Id="rId11" Type="http://schemas.openxmlformats.org/officeDocument/2006/relationships/hyperlink" Target="https://www.gov.br/empresas-enegocios/pt-br/empreendedor" TargetMode="External"/><Relationship Id="rId12" Type="http://schemas.openxmlformats.org/officeDocument/2006/relationships/hyperlink" Target="https://www.planalto.gov.br/ccivil_03/_ato2015-2018/2015/decreto/d8539.htm" TargetMode="External"/><Relationship Id="rId13" Type="http://schemas.openxmlformats.org/officeDocument/2006/relationships/hyperlink" Target="https://www.planalto.gov.br/ccivil_03/_ato2015-2018/2016/decreto/d8660.htm" TargetMode="External"/><Relationship Id="rId14" Type="http://schemas.openxmlformats.org/officeDocument/2006/relationships/hyperlink" Target="mailto:licitacoes@licitacoes.itatiba.sp.gov.br" TargetMode="External"/><Relationship Id="rId15" Type="http://schemas.openxmlformats.org/officeDocument/2006/relationships/hyperlink" Target="http://www.planalto.gov.br/ccivil_03/_ato2019-2022/2021/lei/L14133.htm" TargetMode="External"/><Relationship Id="rId16" Type="http://schemas.openxmlformats.org/officeDocument/2006/relationships/hyperlink" Target="https://www.gov.br/compras/pt-br/acesso-a-informacao/legislacao/instrucoes-normativas/instrucao-normativa-seges-me-no-73-de-30-de-setembro-de-2022" TargetMode="External"/><Relationship Id="rId17" Type="http://schemas.openxmlformats.org/officeDocument/2006/relationships/hyperlink" Target="http://www.planalto.gov.br/ccivil_03/_ato2019-2022/2021/lei/L14133.htm" TargetMode="External"/><Relationship Id="rId18" Type="http://schemas.openxmlformats.org/officeDocument/2006/relationships/hyperlink" Target="mailto:licitacoes@licitacoes.itatiba.sp.gov.br" TargetMode="External"/><Relationship Id="rId19"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3" Type="http://schemas.openxmlformats.org/officeDocument/2006/relationships/hyperlink" Target="http://www.planalto.gov.br/ccivil_03/_ato2019-2022/2021/lei/L14133.htm%25art159" TargetMode="External"/><Relationship Id="rId24" Type="http://schemas.openxmlformats.org/officeDocument/2006/relationships/hyperlink" Target="https://www.gov.br/compras/pt-br/acesso-a-informacao/legislacao/instrucoes-normativas/instrucao-normativa-seges-me-no-26-de-13-de-abril-de-2022" TargetMode="External"/><Relationship Id="rId25" Type="http://schemas.openxmlformats.org/officeDocument/2006/relationships/image" Target="media/image1.wmf"/><Relationship Id="rId26" Type="http://schemas.openxmlformats.org/officeDocument/2006/relationships/image" Target="media/image1.wmf"/><Relationship Id="rId27" Type="http://schemas.openxmlformats.org/officeDocument/2006/relationships/hyperlink" Target="http://www.novobbmnet.com.br/" TargetMode="External"/><Relationship Id="rId28" Type="http://schemas.openxmlformats.org/officeDocument/2006/relationships/hyperlink" Target="http://www.itatiba.sp.gov.br/" TargetMode="External"/><Relationship Id="rId29" Type="http://schemas.openxmlformats.org/officeDocument/2006/relationships/hyperlink" Target="http://www.novobbmnet.com.br/" TargetMode="External"/><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header" Target="header3.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oter" Target="footer3.xm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Relationship Id="rId39"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125</TotalTime>
  <Application>LibreOffice/24.8.0.3$Windows_X86_64 LibreOffice_project/0bdf1299c94fe897b119f97f3c613e9dca6be583</Application>
  <AppVersion>15.0000</AppVersion>
  <Pages>60</Pages>
  <Words>18085</Words>
  <Characters>102569</Characters>
  <CharactersWithSpaces>119821</CharactersWithSpaces>
  <Paragraphs>995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2025-05-23T13:27:00Z</dcterms:created>
  <dc:creator>eportella</dc:creator>
  <dc:description/>
  <dc:language>pt-BR</dc:language>
  <cp:lastModifiedBy/>
  <cp:lastPrinted>2025-05-28T16:53:00Z</cp:lastPrinted>
  <dcterms:modified xsi:type="dcterms:W3CDTF">2025-06-05T08:52:57Z</dcterms:modified>
  <cp:revision>17</cp:revision>
  <dc:subject/>
  <dc:title> </dc:title>
</cp:coreProperties>
</file>

<file path=docProps/custom.xml><?xml version="1.0" encoding="utf-8"?>
<Properties xmlns="http://schemas.openxmlformats.org/officeDocument/2006/custom-properties" xmlns:vt="http://schemas.openxmlformats.org/officeDocument/2006/docPropsVTypes"/>
</file>