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1.575/2026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PREGÃO ELETRÔNICO Nº 10/2026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EDITAL Nº 14/2026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contratação de serviços de som.</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R$ 88.642,50 (oitenta e oito mil, seiscentos e quarenta e dois reais e cinquenta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DATA DA SESSÃO PÚBLICA – Data 20 de março de 2026</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sz w:val="22"/>
          <w:szCs w:val="22"/>
        </w:rPr>
        <w:t>20/03/2026</w:t>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sz w:val="22"/>
          <w:szCs w:val="22"/>
        </w:rPr>
        <w:t>20/03/2026</w:t>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rFonts w:cs="Arial" w:ascii="Arial" w:hAnsi="Arial"/>
          <w:b/>
          <w:bCs/>
          <w:sz w:val="22"/>
          <w:szCs w:val="22"/>
        </w:rPr>
        <w:t>Início do Pregão (fase competitiva)</w:t>
        <w:tab/>
      </w:r>
      <w:r>
        <w:rPr>
          <w:rFonts w:cs="Arial" w:ascii="Arial" w:hAnsi="Arial"/>
          <w:sz w:val="22"/>
          <w:szCs w:val="22"/>
        </w:rPr>
        <w:t>20/03/2026</w:t>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jc w:val="both"/>
        <w:rPr>
          <w:rFonts w:ascii="Arial" w:hAnsi="Arial" w:cs="Arial"/>
          <w:b/>
          <w:bCs/>
          <w:sz w:val="22"/>
          <w:szCs w:val="22"/>
        </w:rPr>
      </w:pPr>
      <w:r>
        <w:rPr>
          <w:rFonts w:cs="Arial" w:ascii="Arial" w:hAnsi="Arial"/>
          <w:b/>
          <w:bCs/>
          <w:color w:val="000000"/>
          <w:sz w:val="22"/>
          <w:szCs w:val="22"/>
        </w:rPr>
        <w:t xml:space="preserve">SECRETARIA </w:t>
      </w:r>
      <w:r>
        <w:rPr>
          <w:rFonts w:cs="Arial" w:ascii="Arial" w:hAnsi="Arial"/>
          <w:b/>
          <w:bCs/>
          <w:sz w:val="22"/>
          <w:szCs w:val="22"/>
        </w:rPr>
        <w:t xml:space="preserve">DE CULTURA E TURISMO </w:t>
      </w:r>
    </w:p>
    <w:p>
      <w:pPr>
        <w:pStyle w:val="Normal"/>
        <w:spacing w:lineRule="auto" w:line="360"/>
        <w:ind w:right="-54"/>
        <w:rPr>
          <w:rFonts w:ascii="Arial" w:hAnsi="Arial" w:cs="Arial"/>
          <w:b/>
          <w:bCs/>
          <w:sz w:val="22"/>
          <w:szCs w:val="22"/>
        </w:rPr>
      </w:pPr>
      <w:r>
        <w:rPr>
          <w:rFonts w:cs="Arial" w:ascii="Arial" w:hAnsi="Arial"/>
          <w:b/>
          <w:bCs/>
          <w:sz w:val="22"/>
          <w:szCs w:val="22"/>
        </w:rPr>
        <w:t>PROCESSO ADMINISTRATIVO Nº 1.575/2026</w:t>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PREGÃO ELETRÔNICO Nº 10/2026</w:t>
      </w:r>
    </w:p>
    <w:p>
      <w:pPr>
        <w:pStyle w:val="Normal"/>
        <w:spacing w:lineRule="auto" w:line="360"/>
        <w:ind w:firstLine="567"/>
        <w:jc w:val="center"/>
        <w:rPr>
          <w:rFonts w:ascii="Arial" w:hAnsi="Arial" w:cs="Arial"/>
          <w:b/>
          <w:sz w:val="22"/>
          <w:szCs w:val="22"/>
        </w:rPr>
      </w:pPr>
      <w:r>
        <w:rPr>
          <w:rFonts w:cs="Arial" w:ascii="Arial" w:hAnsi="Arial"/>
          <w:b/>
          <w:sz w:val="22"/>
          <w:szCs w:val="22"/>
        </w:rPr>
        <w:t>EDITAL Nº 14/2026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567" w:right="-54"/>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color w:val="000000"/>
          <w:sz w:val="22"/>
          <w:szCs w:val="22"/>
        </w:rPr>
        <w:t xml:space="preserve">SECRETARIA </w:t>
      </w:r>
      <w:r>
        <w:rPr>
          <w:rFonts w:cs="Arial" w:ascii="Arial" w:hAnsi="Arial"/>
          <w:b/>
          <w:bCs/>
          <w:sz w:val="22"/>
          <w:szCs w:val="22"/>
        </w:rPr>
        <w:t>DE CULTURA E TURISMO,</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Hyperlink"/>
            <w:rFonts w:cs="Arial" w:ascii="Arial" w:hAnsi="Arial"/>
            <w:color w:val="auto"/>
            <w:sz w:val="22"/>
            <w:szCs w:val="22"/>
          </w:rPr>
          <w:t>Lei nº 14.133, de 2021</w:t>
        </w:r>
      </w:hyperlink>
      <w:r>
        <w:rPr>
          <w:rFonts w:cs="Arial" w:ascii="Arial" w:hAnsi="Arial"/>
          <w:sz w:val="22"/>
          <w:szCs w:val="22"/>
        </w:rPr>
        <w:t xml:space="preserve"> e Decretos 11.462/2023 e 7.999/2024, e demais legislação aplicável e, ainda, de acordo com as condições estabelecidas neste Edital.</w:t>
      </w:r>
    </w:p>
    <w:p>
      <w:pPr>
        <w:pStyle w:val="Normal"/>
        <w:spacing w:lineRule="auto" w:line="360"/>
        <w:ind w:firstLine="567" w:right="-54"/>
        <w:jc w:val="both"/>
        <w:rPr/>
      </w:pPr>
      <w:r>
        <w:rPr/>
      </w:r>
    </w:p>
    <w:p>
      <w:pPr>
        <w:pStyle w:val="Nivel01"/>
        <w:numPr>
          <w:ilvl w:val="0"/>
          <w:numId w:val="4"/>
        </w:numPr>
        <w:spacing w:lineRule="auto" w:line="360" w:before="0" w:after="0"/>
        <w:ind w:hanging="0" w:left="0"/>
        <w:rPr>
          <w:sz w:val="22"/>
          <w:szCs w:val="22"/>
          <w:lang w:eastAsia="en-US"/>
        </w:rPr>
      </w:pPr>
      <w:r>
        <w:rPr>
          <w:sz w:val="22"/>
          <w:szCs w:val="22"/>
          <w:lang w:eastAsia="en-US"/>
        </w:rPr>
        <w:t>DO OBJETO</w:t>
      </w:r>
    </w:p>
    <w:p>
      <w:pPr>
        <w:pStyle w:val="Nivel2"/>
        <w:numPr>
          <w:ilvl w:val="1"/>
          <w:numId w:val="10"/>
        </w:numPr>
        <w:tabs>
          <w:tab w:val="clear" w:pos="0"/>
        </w:tabs>
        <w:spacing w:lineRule="auto" w:line="360" w:before="0" w:after="0"/>
        <w:ind w:hanging="0" w:left="0"/>
        <w:rPr>
          <w:color w:val="auto"/>
        </w:rPr>
      </w:pPr>
      <w:r>
        <w:rPr>
          <w:color w:val="auto"/>
          <w:sz w:val="22"/>
          <w:szCs w:val="22"/>
        </w:rPr>
        <w:t xml:space="preserve">- O objeto da presente licitação é o Registro de Preço, pelo prazo de 12 (doze) meses, para eventual </w:t>
      </w:r>
      <w:r>
        <w:rPr>
          <w:sz w:val="22"/>
          <w:szCs w:val="22"/>
        </w:rPr>
        <w:t>contratação de serviços de som</w:t>
      </w:r>
      <w:r>
        <w:rPr>
          <w:color w:val="auto"/>
          <w:sz w:val="22"/>
          <w:szCs w:val="22"/>
        </w:rPr>
        <w:t>, conforme condições, quantidades e exigências estabelecidas neste Edital e seus anexos.</w:t>
      </w:r>
    </w:p>
    <w:p>
      <w:pPr>
        <w:pStyle w:val="Nivel2"/>
        <w:tabs>
          <w:tab w:val="clear" w:pos="0"/>
        </w:tabs>
        <w:spacing w:lineRule="auto" w:line="360" w:before="0" w:after="0"/>
        <w:ind w:hanging="0" w:left="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tabs>
          <w:tab w:val="clear" w:pos="0"/>
        </w:tabs>
        <w:spacing w:lineRule="auto" w:line="360" w:before="0" w:after="0"/>
        <w:ind w:hanging="0" w:left="0"/>
        <w:rPr>
          <w:color w:val="auto"/>
          <w:sz w:val="22"/>
          <w:szCs w:val="22"/>
        </w:rPr>
      </w:pPr>
      <w:r>
        <w:rPr>
          <w:color w:val="auto"/>
          <w:sz w:val="22"/>
          <w:szCs w:val="22"/>
        </w:rPr>
        <w:t>1.3 - Os quantitativos totais expressos no Anexo I, deste edital, são estimativos e representam a previsão da Secretaria requisitante, pelo prazo de 12 (doze) meses.</w:t>
      </w:r>
    </w:p>
    <w:p>
      <w:pPr>
        <w:pStyle w:val="Nivel2"/>
        <w:tabs>
          <w:tab w:val="clear" w:pos="0"/>
        </w:tabs>
        <w:spacing w:lineRule="auto" w:line="360" w:before="0" w:after="0"/>
        <w:ind w:hanging="0" w:left="0"/>
        <w:rPr>
          <w:color w:val="auto"/>
          <w:sz w:val="22"/>
          <w:szCs w:val="22"/>
        </w:rPr>
      </w:pPr>
      <w:r>
        <w:rPr>
          <w:color w:val="auto"/>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ormal"/>
        <w:spacing w:lineRule="auto" w:line="360"/>
        <w:jc w:val="both"/>
        <w:rPr/>
      </w:pPr>
      <w:r>
        <w:rPr>
          <w:rFonts w:eastAsia="MS Mincho;ＭＳ 明朝" w:cs="Arial" w:ascii="Arial" w:hAnsi="Arial"/>
          <w:kern w:val="0"/>
          <w:sz w:val="22"/>
          <w:szCs w:val="22"/>
          <w:lang w:eastAsia="pt-BR"/>
        </w:rPr>
        <w:t>1.5 – O objeto desta licitação será subsidiado com Recursos Próprios da Administração</w:t>
      </w:r>
      <w:r>
        <w:rPr>
          <w:rFonts w:cs="Arial" w:ascii="Arial" w:hAnsi="Arial"/>
          <w:sz w:val="22"/>
          <w:szCs w:val="22"/>
        </w:rPr>
        <w:t>.</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PARTICIPAÇÃO NA LICITAÇÃO</w:t>
      </w:r>
    </w:p>
    <w:p>
      <w:pPr>
        <w:pStyle w:val="Nivel2"/>
        <w:numPr>
          <w:ilvl w:val="1"/>
          <w:numId w:val="4"/>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hanging="0" w:left="0"/>
        <w:rPr>
          <w:b/>
          <w:bCs/>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hanging="0" w:left="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hanging="0" w:left="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hanging="0" w:left="0"/>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hanging="0" w:left="0"/>
        <w:rPr>
          <w:rFonts w:eastAsia="Times New Roman"/>
          <w:color w:val="auto"/>
          <w:sz w:val="22"/>
          <w:szCs w:val="22"/>
        </w:rPr>
      </w:pPr>
      <w:bookmarkStart w:id="0" w:name="_Ref117000692"/>
      <w:r>
        <w:rPr>
          <w:rFonts w:eastAsia="Times New Roman"/>
          <w:color w:val="auto"/>
          <w:sz w:val="22"/>
          <w:szCs w:val="22"/>
        </w:rPr>
        <w:t>Não poderão disputar esta licitação:</w:t>
      </w:r>
      <w:bookmarkEnd w:id="0"/>
    </w:p>
    <w:p>
      <w:pPr>
        <w:pStyle w:val="Normal"/>
        <w:numPr>
          <w:ilvl w:val="2"/>
          <w:numId w:val="4"/>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4"/>
        </w:numPr>
        <w:spacing w:lineRule="auto" w:line="360" w:before="0" w:after="0"/>
        <w:ind w:hanging="0" w:left="567"/>
        <w:rPr>
          <w:color w:val="auto"/>
          <w:sz w:val="22"/>
          <w:szCs w:val="22"/>
        </w:rPr>
      </w:pPr>
      <w:bookmarkStart w:id="1" w:name="_Ref113883003"/>
      <w:bookmarkStart w:id="2" w:name="_Ref113883338"/>
      <w:bookmarkEnd w:id="2"/>
      <w:r>
        <w:rPr>
          <w:color w:val="auto"/>
          <w:sz w:val="22"/>
          <w:szCs w:val="22"/>
        </w:rPr>
        <w:t>pessoa física ou jurídica que se encontre, ao tempo da licitação, impossibilitada de participar da licitação em decorrência de sanção que lhe foi imposta;</w:t>
      </w:r>
      <w:bookmarkEnd w:id="1"/>
    </w:p>
    <w:p>
      <w:pPr>
        <w:pStyle w:val="Nivel3"/>
        <w:numPr>
          <w:ilvl w:val="2"/>
          <w:numId w:val="4"/>
        </w:numPr>
        <w:spacing w:lineRule="auto" w:line="360" w:before="0" w:after="0"/>
        <w:ind w:hanging="0" w:left="567"/>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hanging="0" w:left="567"/>
        <w:rPr>
          <w:color w:val="auto"/>
          <w:sz w:val="22"/>
          <w:szCs w:val="22"/>
        </w:rPr>
      </w:pPr>
      <w:bookmarkStart w:id="3" w:name="_Ref113883579"/>
      <w:r>
        <w:rPr>
          <w:color w:val="auto"/>
          <w:sz w:val="22"/>
          <w:szCs w:val="22"/>
        </w:rPr>
        <w:t>empresas controladoras, controladas ou coligadas, nos termos da Lei nº 6.404, de 15 de dezembro de 1976, concorrendo entre si;</w:t>
      </w:r>
      <w:bookmarkEnd w:id="3"/>
    </w:p>
    <w:p>
      <w:pPr>
        <w:pStyle w:val="Nivel3"/>
        <w:numPr>
          <w:ilvl w:val="2"/>
          <w:numId w:val="4"/>
        </w:numPr>
        <w:spacing w:lineRule="auto" w:line="360" w:before="0" w:after="0"/>
        <w:ind w:hanging="0" w:left="567"/>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hanging="0" w:left="567"/>
        <w:rPr>
          <w:color w:val="auto"/>
          <w:sz w:val="22"/>
          <w:szCs w:val="22"/>
        </w:rPr>
      </w:pPr>
      <w:bookmarkStart w:id="4" w:name="_Ref113962336"/>
      <w:r>
        <w:rPr>
          <w:color w:val="auto"/>
          <w:sz w:val="22"/>
          <w:szCs w:val="22"/>
        </w:rPr>
        <w:t>agente público do órgão ou entidade licitante;</w:t>
      </w:r>
      <w:bookmarkEnd w:id="4"/>
    </w:p>
    <w:p>
      <w:pPr>
        <w:pStyle w:val="Normal"/>
        <w:numPr>
          <w:ilvl w:val="2"/>
          <w:numId w:val="4"/>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hanging="0" w:left="567"/>
        <w:rPr>
          <w:color w:val="auto"/>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auto"/>
        </w:rPr>
        <w:instrText xml:space="preserve"> HYPERLINK "http://www.planalto.gov.br/ccivil_03/_ato2019-2022/2021/lei/L14133.htm" \l "art9%C2%A71"</w:instrText>
      </w:r>
      <w:r>
        <w:rPr>
          <w:rStyle w:val="Hyperlink"/>
          <w:sz w:val="22"/>
          <w:szCs w:val="22"/>
          <w:color w:val="auto"/>
        </w:rPr>
        <w:fldChar w:fldCharType="separate"/>
      </w:r>
      <w:r>
        <w:rPr>
          <w:rStyle w:val="Hyperlink"/>
          <w:color w:val="auto"/>
          <w:sz w:val="22"/>
          <w:szCs w:val="22"/>
        </w:rPr>
        <w:t>§ 1º do art. 9º da Lei n.º 14.133, de 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O impedimento de que trata o item </w:t>
      </w:r>
      <w:r>
        <w:rPr>
          <w:color w:val="auto"/>
          <w:sz w:val="22"/>
          <w:szCs w:val="22"/>
        </w:rPr>
        <w:fldChar w:fldCharType="begin"/>
      </w:r>
      <w:r>
        <w:rPr>
          <w:sz w:val="22"/>
          <w:szCs w:val="22"/>
          <w:color w:val="auto"/>
        </w:rPr>
        <w:instrText xml:space="preserve"> REF _Ref113883003 \r \r \h </w:instrText>
      </w:r>
      <w:r>
        <w:rPr>
          <w:sz w:val="22"/>
          <w:szCs w:val="22"/>
          <w:color w:val="auto"/>
        </w:rPr>
        <w:fldChar w:fldCharType="separate"/>
      </w:r>
      <w:r>
        <w:rPr>
          <w:sz w:val="22"/>
          <w:szCs w:val="22"/>
          <w:color w:val="auto"/>
        </w:rPr>
        <w:t>2.6.2</w:t>
      </w:r>
      <w:r>
        <w:rPr>
          <w:sz w:val="22"/>
          <w:szCs w:val="22"/>
          <w:color w:val="auto"/>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color w:val="auto"/>
          <w:sz w:val="22"/>
          <w:szCs w:val="22"/>
        </w:rPr>
      </w:pPr>
      <w:r>
        <w:rPr>
          <w:color w:val="auto"/>
          <w:sz w:val="22"/>
          <w:szCs w:val="22"/>
        </w:rPr>
      </w:r>
      <w:bookmarkStart w:id="5" w:name="art14§2"/>
      <w:bookmarkStart w:id="6" w:name="art14§2"/>
      <w:bookmarkEnd w:id="6"/>
    </w:p>
    <w:p>
      <w:pPr>
        <w:pStyle w:val="Nivel01"/>
        <w:numPr>
          <w:ilvl w:val="0"/>
          <w:numId w:val="4"/>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4"/>
        </w:numPr>
        <w:spacing w:lineRule="auto" w:line="360" w:before="0" w:after="0"/>
        <w:ind w:hanging="0" w:lef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4"/>
        </w:numPr>
        <w:spacing w:lineRule="auto" w:line="360" w:before="0" w:after="0"/>
        <w:ind w:hanging="0" w:left="0"/>
        <w:rPr>
          <w:color w:val="auto"/>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4"/>
        </w:numPr>
        <w:spacing w:lineRule="auto" w:line="360" w:before="0" w:after="0"/>
        <w:ind w:hanging="0" w:left="0"/>
        <w:rPr>
          <w:color w:val="auto"/>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auto"/>
            <w:sz w:val="22"/>
            <w:szCs w:val="22"/>
          </w:rPr>
          <w:t>www.novobbmnet.com.br</w:t>
        </w:r>
      </w:hyperlink>
      <w:r>
        <w:rPr>
          <w:color w:val="auto"/>
          <w:sz w:val="22"/>
          <w:szCs w:val="22"/>
        </w:rPr>
        <w:t>, opção “Login” opção “Licitação Pública” “Sala de Negociação”.</w:t>
      </w:r>
    </w:p>
    <w:p>
      <w:pPr>
        <w:pStyle w:val="Nivel2"/>
        <w:numPr>
          <w:ilvl w:val="1"/>
          <w:numId w:val="4"/>
        </w:numPr>
        <w:spacing w:lineRule="auto" w:line="360" w:before="0" w:after="0"/>
        <w:ind w:hanging="0" w:left="0"/>
        <w:rPr>
          <w:color w:val="auto"/>
          <w:sz w:val="22"/>
          <w:szCs w:val="22"/>
        </w:rPr>
      </w:pPr>
      <w:bookmarkStart w:id="7"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4"/>
        </w:numPr>
        <w:spacing w:lineRule="auto" w:line="360" w:before="0" w:after="0"/>
        <w:ind w:hanging="0" w:left="0"/>
        <w:rPr>
          <w:rFonts w:eastAsia="Times New Roman"/>
          <w:color w:val="auto"/>
          <w:sz w:val="22"/>
          <w:szCs w:val="22"/>
        </w:rPr>
      </w:pPr>
      <w:bookmarkStart w:id="8" w:name="_Ref113968921"/>
      <w:r>
        <w:rPr>
          <w:rFonts w:eastAsia="Times New Roman"/>
          <w:color w:val="auto"/>
          <w:sz w:val="22"/>
          <w:szCs w:val="22"/>
        </w:rPr>
        <w:t>No cadastramento da proposta inicial, o licitante declarará, em campo próprio do sistema, que:</w:t>
      </w:r>
      <w:bookmarkEnd w:id="8"/>
    </w:p>
    <w:p>
      <w:pPr>
        <w:pStyle w:val="Nivel3"/>
        <w:numPr>
          <w:ilvl w:val="2"/>
          <w:numId w:val="4"/>
        </w:numPr>
        <w:spacing w:lineRule="auto" w:line="360" w:before="0" w:after="0"/>
        <w:ind w:hanging="0" w:lef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hanging="0" w:left="567"/>
        <w:rPr>
          <w:color w:val="auto"/>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auto"/>
        </w:rPr>
        <w:instrText xml:space="preserve"> HYPERLINK "https://www.planalto.gov.br/ccivil_03/constituicao/constituicaocompilado.htm" \l "art7"</w:instrText>
      </w:r>
      <w:r>
        <w:rPr>
          <w:rStyle w:val="Hyperlink"/>
          <w:sz w:val="22"/>
          <w:szCs w:val="22"/>
          <w:color w:val="auto"/>
        </w:rPr>
        <w:fldChar w:fldCharType="separate"/>
      </w:r>
      <w:r>
        <w:rPr>
          <w:rStyle w:val="Hyperlink"/>
          <w:color w:val="auto"/>
          <w:sz w:val="22"/>
          <w:szCs w:val="22"/>
        </w:rPr>
        <w:t>artigo 7°, XXXIII, da Constituição</w:t>
      </w:r>
      <w:r>
        <w:rPr>
          <w:rStyle w:val="Hyperlink"/>
          <w:sz w:val="22"/>
          <w:szCs w:val="22"/>
          <w:color w:val="auto"/>
        </w:rPr>
        <w:fldChar w:fldCharType="end"/>
      </w:r>
      <w:r>
        <w:rPr>
          <w:color w:val="auto"/>
          <w:sz w:val="22"/>
          <w:szCs w:val="22"/>
        </w:rPr>
        <w:t>;</w:t>
      </w:r>
    </w:p>
    <w:p>
      <w:pPr>
        <w:pStyle w:val="Nivel3"/>
        <w:numPr>
          <w:ilvl w:val="2"/>
          <w:numId w:val="4"/>
        </w:numPr>
        <w:spacing w:lineRule="auto" w:line="360" w:before="0" w:after="0"/>
        <w:ind w:hanging="0" w:left="567"/>
        <w:rPr>
          <w:color w:val="auto"/>
        </w:rPr>
      </w:pPr>
      <w:r>
        <w:rPr>
          <w:color w:val="auto"/>
          <w:sz w:val="22"/>
          <w:szCs w:val="22"/>
        </w:rPr>
        <w:t xml:space="preserve">Não possui, em sua cadeia produtiva, empregados executando trabalho degradante ou forçado, observando o disposto nos </w:t>
      </w:r>
      <w:hyperlink r:id="rId6">
        <w:r>
          <w:rPr>
            <w:rStyle w:val="Hyperlink"/>
            <w:color w:val="auto"/>
            <w:sz w:val="22"/>
            <w:szCs w:val="22"/>
          </w:rPr>
          <w:t>incisos III e IV do art. 1º e no inciso III do art. 5º da Constituição Federal</w:t>
        </w:r>
      </w:hyperlink>
      <w:r>
        <w:rPr>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hanging="0" w:left="0"/>
        <w:rPr>
          <w:color w:val="auto"/>
        </w:rPr>
      </w:pPr>
      <w:bookmarkStart w:id="9" w:name="_Hlk159222170"/>
      <w:bookmarkEnd w:id="9"/>
      <w:r>
        <w:rPr>
          <w:color w:val="auto"/>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auto"/>
        </w:rPr>
        <w:instrText xml:space="preserve"> HYPERLINK "http://www.planalto.gov.br/ccivil_03/_ato2019-2022/2021/lei/L14133.htm" \l "art16"</w:instrText>
      </w:r>
      <w:r>
        <w:rPr>
          <w:rStyle w:val="Hyperlink"/>
          <w:sz w:val="22"/>
          <w:szCs w:val="22"/>
          <w:color w:val="auto"/>
        </w:rPr>
        <w:fldChar w:fldCharType="separate"/>
      </w:r>
      <w:r>
        <w:rPr>
          <w:rStyle w:val="Hyperlink"/>
          <w:color w:val="auto"/>
          <w:sz w:val="22"/>
          <w:szCs w:val="22"/>
        </w:rPr>
        <w:t>artigo 16 da Lei nº 14.133, de 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bookmarkStart w:id="10"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auto"/>
        </w:rPr>
        <w:instrText xml:space="preserve"> HYPERLINK "https://www.planalto.gov.br/ccivil_03/leis/lcp/lcp123.htm" \l "art3"</w:instrText>
      </w:r>
      <w:r>
        <w:rPr>
          <w:rStyle w:val="Hyperlink"/>
          <w:sz w:val="22"/>
          <w:szCs w:val="22"/>
          <w:color w:val="auto"/>
        </w:rPr>
        <w:fldChar w:fldCharType="separate"/>
      </w:r>
      <w:r>
        <w:rPr>
          <w:rStyle w:val="Hyperlink"/>
          <w:color w:val="auto"/>
          <w:sz w:val="22"/>
          <w:szCs w:val="22"/>
        </w:rPr>
        <w:t>artigo 3° da Lei Complementar nº 123, de 2006</w:t>
      </w:r>
      <w:r>
        <w:rPr>
          <w:rStyle w:val="Hyperlink"/>
          <w:sz w:val="22"/>
          <w:szCs w:val="22"/>
          <w:color w:val="auto"/>
        </w:rPr>
        <w:fldChar w:fldCharType="end"/>
      </w:r>
      <w:r>
        <w:rPr>
          <w:color w:val="auto"/>
          <w:sz w:val="22"/>
          <w:szCs w:val="22"/>
        </w:rPr>
        <w:t xml:space="preserve">, estando apto a usufruir do tratamento favorecido estabelecido em seus </w:t>
      </w:r>
      <w:r>
        <w:fldChar w:fldCharType="begin"/>
      </w:r>
      <w:r>
        <w:rPr>
          <w:rStyle w:val="Hyperlink"/>
          <w:sz w:val="22"/>
          <w:szCs w:val="22"/>
          <w:color w:val="auto"/>
        </w:rPr>
        <w:instrText xml:space="preserve"> HYPERLINK "https://www.planalto.gov.br/ccivil_03/leis/lcp/lcp123.htm" \l "art42"</w:instrText>
      </w:r>
      <w:r>
        <w:rPr>
          <w:rStyle w:val="Hyperlink"/>
          <w:sz w:val="22"/>
          <w:szCs w:val="22"/>
          <w:color w:val="auto"/>
        </w:rPr>
        <w:fldChar w:fldCharType="separate"/>
      </w:r>
      <w:r>
        <w:rPr>
          <w:rStyle w:val="Hyperlink"/>
          <w:color w:val="auto"/>
          <w:sz w:val="22"/>
          <w:szCs w:val="22"/>
        </w:rPr>
        <w:t>arts. 42 a 49</w:t>
      </w:r>
      <w:r>
        <w:rPr>
          <w:rStyle w:val="Hyperlink"/>
          <w:sz w:val="22"/>
          <w:szCs w:val="22"/>
          <w:color w:val="auto"/>
        </w:rPr>
        <w:fldChar w:fldCharType="end"/>
      </w:r>
      <w:r>
        <w:rPr>
          <w:color w:val="auto"/>
          <w:sz w:val="22"/>
          <w:szCs w:val="22"/>
        </w:rPr>
        <w:t xml:space="preserve">, observado o disposto nos </w:t>
      </w:r>
      <w:r>
        <w:fldChar w:fldCharType="begin"/>
      </w:r>
      <w:r>
        <w:rPr>
          <w:rStyle w:val="Hyperlink"/>
          <w:sz w:val="22"/>
          <w:szCs w:val="22"/>
          <w:color w:val="auto"/>
        </w:rPr>
        <w:instrText xml:space="preserve"> HYPERLINK "http://www.planalto.gov.br/ccivil_03/_ato2019-2022/2021/lei/L14133.htm" \l "art4%C2%A71"</w:instrText>
      </w:r>
      <w:r>
        <w:rPr>
          <w:rStyle w:val="Hyperlink"/>
          <w:sz w:val="22"/>
          <w:szCs w:val="22"/>
          <w:color w:val="auto"/>
        </w:rPr>
        <w:fldChar w:fldCharType="separate"/>
      </w:r>
      <w:r>
        <w:rPr>
          <w:rStyle w:val="Hyperlink"/>
          <w:color w:val="auto"/>
          <w:sz w:val="22"/>
          <w:szCs w:val="22"/>
        </w:rPr>
        <w:t>§§ 1º ao 3º do art. 4º, da Lei n.º 14.133, de 2021.</w:t>
      </w:r>
      <w:r>
        <w:rPr>
          <w:rStyle w:val="Hyperlink"/>
          <w:sz w:val="22"/>
          <w:szCs w:val="22"/>
          <w:color w:val="auto"/>
        </w:rPr>
        <w:fldChar w:fldCharType="end"/>
      </w:r>
      <w:bookmarkEnd w:id="10"/>
      <w:r>
        <w:rPr>
          <w:color w:val="auto"/>
          <w:sz w:val="22"/>
          <w:szCs w:val="22"/>
        </w:rPr>
        <w:t xml:space="preserve"> </w:t>
      </w:r>
    </w:p>
    <w:p>
      <w:pPr>
        <w:pStyle w:val="Nivel2"/>
        <w:numPr>
          <w:ilvl w:val="1"/>
          <w:numId w:val="4"/>
        </w:numPr>
        <w:spacing w:lineRule="auto" w:line="360" w:before="0" w:after="0"/>
        <w:ind w:hanging="0" w:left="0"/>
        <w:rPr>
          <w:color w:val="auto"/>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Hyperlink"/>
            <w:color w:val="auto"/>
            <w:sz w:val="22"/>
            <w:szCs w:val="22"/>
          </w:rPr>
          <w:t>Lei nº 14.133, de 2021</w:t>
        </w:r>
      </w:hyperlink>
      <w:r>
        <w:rPr>
          <w:color w:val="auto"/>
          <w:sz w:val="22"/>
          <w:szCs w:val="22"/>
        </w:rPr>
        <w:t>, e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4"/>
        </w:numPr>
        <w:spacing w:lineRule="auto" w:line="360" w:before="0" w:after="0"/>
        <w:ind w:hanging="0" w:left="0"/>
        <w:rPr>
          <w:color w:val="auto"/>
          <w:sz w:val="22"/>
          <w:szCs w:val="22"/>
        </w:rPr>
      </w:pPr>
      <w:r>
        <w:rPr>
          <w:color w:val="auto"/>
          <w:sz w:val="22"/>
          <w:szCs w:val="22"/>
        </w:rPr>
        <w:t>Serão disponibilizados para acesso público os documentos que compõem a proposta dos licitantes convocados para apresentação de propostas, após a fase de envio de lances.</w:t>
      </w:r>
    </w:p>
    <w:p>
      <w:pPr>
        <w:pStyle w:val="Nivel2"/>
        <w:numPr>
          <w:ilvl w:val="1"/>
          <w:numId w:val="4"/>
        </w:numPr>
        <w:spacing w:lineRule="auto" w:line="360" w:before="0" w:after="0"/>
        <w:ind w:hanging="0" w:left="0"/>
        <w:rPr>
          <w:color w:val="auto"/>
        </w:rPr>
      </w:pPr>
      <w:bookmarkStart w:id="11"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1"/>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hanging="0" w:left="567"/>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hanging="0" w:left="567"/>
        <w:rPr>
          <w:color w:val="auto"/>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hanging="0" w:left="0"/>
        <w:rPr>
          <w:color w:val="auto"/>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hanging="0" w:lef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hanging="0" w:lef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hanging="0" w:lef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hanging="0" w:left="0"/>
        <w:rPr>
          <w:color w:val="auto"/>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4"/>
        </w:numPr>
        <w:tabs>
          <w:tab w:val="clear" w:pos="0"/>
        </w:tabs>
        <w:spacing w:lineRule="auto" w:line="360" w:before="0" w:after="0"/>
        <w:ind w:hanging="0" w:left="0"/>
        <w:rPr>
          <w:color w:val="auto"/>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r>
    </w:p>
    <w:p>
      <w:pPr>
        <w:pStyle w:val="Nivel01"/>
        <w:numPr>
          <w:ilvl w:val="0"/>
          <w:numId w:val="4"/>
        </w:numPr>
        <w:spacing w:lineRule="auto" w:line="360" w:before="0" w:after="0"/>
        <w:ind w:hanging="0" w:left="0"/>
        <w:rPr>
          <w:sz w:val="22"/>
          <w:szCs w:val="22"/>
        </w:rPr>
      </w:pPr>
      <w:r>
        <w:rPr>
          <w:sz w:val="22"/>
          <w:szCs w:val="22"/>
        </w:rPr>
        <w:t>DO PREENCHIMENTO DA PROPOSTA</w:t>
      </w:r>
    </w:p>
    <w:p>
      <w:pPr>
        <w:pStyle w:val="Nivel2"/>
        <w:numPr>
          <w:ilvl w:val="1"/>
          <w:numId w:val="4"/>
        </w:numPr>
        <w:spacing w:lineRule="auto" w:line="360" w:before="0" w:after="0"/>
        <w:ind w:hanging="0" w:left="0"/>
        <w:rPr>
          <w:color w:val="auto"/>
        </w:rPr>
      </w:pPr>
      <w:r>
        <w:rPr>
          <w:color w:val="auto"/>
          <w:sz w:val="22"/>
          <w:szCs w:val="22"/>
        </w:rPr>
        <w:t>O licitante deverá enviar sua proposta mediante o preenchimento, no sistema eletrônico, do campo: VALOR UNITÁRIO DO ITEM.</w:t>
      </w:r>
      <w:r>
        <w:rPr>
          <w:i/>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Todas as especificações do objeto contidas na proposta vinculam o licitante.</w:t>
      </w:r>
    </w:p>
    <w:p>
      <w:pPr>
        <w:pStyle w:val="Nivel2"/>
        <w:numPr>
          <w:ilvl w:val="1"/>
          <w:numId w:val="4"/>
        </w:numPr>
        <w:spacing w:lineRule="auto" w:line="360" w:before="0" w:after="0"/>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4"/>
        </w:numPr>
        <w:spacing w:lineRule="auto" w:line="360" w:before="0" w:after="0"/>
        <w:ind w:hanging="0" w:left="0"/>
        <w:rPr>
          <w:color w:val="auto"/>
          <w:sz w:val="22"/>
          <w:szCs w:val="22"/>
        </w:rPr>
      </w:pPr>
      <w:r>
        <w:rPr>
          <w:color w:val="auto"/>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tabs>
          <w:tab w:val="clear" w:pos="0"/>
        </w:tabs>
        <w:spacing w:lineRule="auto" w:line="360" w:before="0" w:after="0"/>
        <w:ind w:hanging="0" w:left="0"/>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hanging="0" w:left="0"/>
        <w:rPr>
          <w:color w:val="auto"/>
        </w:rPr>
      </w:pPr>
      <w:r>
        <w:rPr>
          <w:color w:val="auto"/>
          <w:sz w:val="22"/>
          <w:szCs w:val="22"/>
        </w:rPr>
        <w:t xml:space="preserve">O prazo de validade da proposta é de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4"/>
        </w:numPr>
        <w:spacing w:lineRule="auto" w:line="360" w:before="0" w:after="0"/>
        <w:ind w:hanging="0" w:left="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spacing w:lineRule="auto" w:line="360"/>
        <w:jc w:val="both"/>
        <w:rPr>
          <w:rFonts w:ascii="Arial" w:hAnsi="Arial" w:cs="Arial"/>
          <w:sz w:val="22"/>
          <w:szCs w:val="22"/>
        </w:rPr>
      </w:pPr>
      <w:r>
        <w:rPr>
          <w:rFonts w:cs="Arial" w:ascii="Arial" w:hAnsi="Arial"/>
          <w:sz w:val="22"/>
          <w:szCs w:val="22"/>
          <w:u w:val="single"/>
        </w:rPr>
        <w:t>a) Empresário individual</w:t>
      </w:r>
      <w:r>
        <w:rPr>
          <w:rFonts w:cs="Arial" w:ascii="Arial" w:hAnsi="Arial"/>
          <w:sz w:val="22"/>
          <w:szCs w:val="22"/>
        </w:rPr>
        <w:t>: inscrição no Registro Público de Empresas Mercantis, a cargo da Junta Comercial da respectiva sede;</w:t>
      </w:r>
    </w:p>
    <w:p>
      <w:pPr>
        <w:pStyle w:val="Normal"/>
        <w:spacing w:lineRule="auto" w:line="360"/>
        <w:jc w:val="both"/>
        <w:rPr>
          <w:rFonts w:ascii="Arial" w:hAnsi="Arial" w:cs="Arial"/>
          <w:sz w:val="22"/>
          <w:szCs w:val="22"/>
        </w:rPr>
      </w:pPr>
      <w:r>
        <w:rPr>
          <w:rFonts w:cs="Arial" w:ascii="Arial" w:hAnsi="Arial"/>
          <w:sz w:val="22"/>
          <w:szCs w:val="22"/>
          <w:u w:val="single"/>
        </w:rPr>
        <w:t>b) 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u w:val="single"/>
        </w:rPr>
        <w:t>c) 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ivel01"/>
        <w:numPr>
          <w:ilvl w:val="0"/>
          <w:numId w:val="9"/>
        </w:numPr>
        <w:spacing w:lineRule="auto" w:line="360" w:before="0" w:after="0"/>
        <w:ind w:hanging="0" w:left="0"/>
        <w:rPr/>
      </w:pPr>
      <w:r>
        <w:rPr>
          <w:b w:val="false"/>
          <w:bCs w:val="false"/>
          <w:sz w:val="22"/>
          <w:szCs w:val="22"/>
          <w:u w:val="single"/>
        </w:rPr>
        <w:t xml:space="preserve"> </w:t>
      </w:r>
      <w:r>
        <w:rPr>
          <w:b w:val="false"/>
          <w:bCs w:val="false"/>
          <w:sz w:val="22"/>
          <w:szCs w:val="22"/>
          <w:u w:val="single"/>
        </w:rPr>
        <w:t>Sociedade empresária estrangeira</w:t>
      </w:r>
      <w:r>
        <w:rPr>
          <w:b w:val="false"/>
          <w:bCs w:val="false"/>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ivel01"/>
        <w:numPr>
          <w:ilvl w:val="0"/>
          <w:numId w:val="9"/>
        </w:numPr>
        <w:spacing w:lineRule="auto" w:line="360" w:before="0" w:after="0"/>
        <w:ind w:hanging="0" w:left="0"/>
        <w:rPr/>
      </w:pPr>
      <w:r>
        <w:rPr>
          <w:b w:val="false"/>
          <w:bCs w:val="false"/>
          <w:sz w:val="22"/>
          <w:szCs w:val="22"/>
          <w:u w:val="single"/>
        </w:rPr>
        <w:t>Sociedade simples</w:t>
      </w:r>
      <w:r>
        <w:rPr>
          <w:b w:val="false"/>
          <w:bCs w:val="false"/>
          <w:sz w:val="22"/>
          <w:szCs w:val="22"/>
        </w:rPr>
        <w:t>: inscrição do ato constitutivo no Registro Civil de Pessoas Jurídicas do local de sua sede, acompanhada de documento comprobatório de seus administradores;</w:t>
      </w:r>
    </w:p>
    <w:p>
      <w:pPr>
        <w:pStyle w:val="Nivel01"/>
        <w:numPr>
          <w:ilvl w:val="0"/>
          <w:numId w:val="9"/>
        </w:numPr>
        <w:spacing w:lineRule="auto" w:line="360" w:before="0" w:after="0"/>
        <w:ind w:hanging="0" w:left="0"/>
        <w:rPr/>
      </w:pPr>
      <w:r>
        <w:rPr>
          <w:b w:val="false"/>
          <w:bCs w:val="false"/>
          <w:sz w:val="22"/>
          <w:szCs w:val="22"/>
          <w:u w:val="single"/>
        </w:rPr>
        <w:t>Decreto de autorização</w:t>
      </w:r>
      <w:r>
        <w:rPr>
          <w:b w:val="false"/>
          <w:bCs w:val="false"/>
          <w:sz w:val="22"/>
          <w:szCs w:val="22"/>
        </w:rPr>
        <w:t>, em se tratando de empresa ou sociedade estrangeira em funcionamento no País, e ato de registro ou autorização para funcionamento expedidos pelo órgão competente, quando a atividade assim o exigir.</w:t>
      </w:r>
    </w:p>
    <w:p>
      <w:pPr>
        <w:pStyle w:val="Nivel01"/>
        <w:numPr>
          <w:ilvl w:val="0"/>
          <w:numId w:val="9"/>
        </w:numPr>
        <w:spacing w:lineRule="auto" w:line="360" w:before="0" w:after="0"/>
        <w:ind w:hanging="11" w:left="0"/>
        <w:rPr>
          <w:b w:val="false"/>
          <w:bCs w:val="false"/>
          <w:sz w:val="22"/>
          <w:szCs w:val="22"/>
        </w:rPr>
      </w:pPr>
      <w:r>
        <w:rPr>
          <w:b w:val="false"/>
          <w:bCs w:val="false"/>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t>5.6 - DISPOSIÇÕES GERAIS DA HABILITAÇÃO</w:t>
      </w:r>
    </w:p>
    <w:p>
      <w:pPr>
        <w:pStyle w:val="Normal"/>
        <w:spacing w:lineRule="auto" w:line="360"/>
        <w:ind w:right="-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ivel01"/>
        <w:numPr>
          <w:ilvl w:val="0"/>
          <w:numId w:val="4"/>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hanging="0"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Será desclassificada a proposta que identifique o licitante.</w:t>
      </w:r>
    </w:p>
    <w:p>
      <w:pPr>
        <w:pStyle w:val="Nivel2"/>
        <w:numPr>
          <w:ilvl w:val="1"/>
          <w:numId w:val="4"/>
        </w:numPr>
        <w:spacing w:lineRule="auto" w:line="360" w:before="0" w:after="0"/>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hanging="0" w:left="0"/>
        <w:rPr>
          <w:color w:val="auto"/>
          <w:sz w:val="22"/>
          <w:szCs w:val="22"/>
        </w:rPr>
      </w:pPr>
      <w:r>
        <w:rPr>
          <w:color w:val="auto"/>
          <w:sz w:val="22"/>
          <w:szCs w:val="22"/>
        </w:rPr>
        <w:t>O sistema disponibilizará campo próprio para troca de mensagens entre o Pregoeiro e os licitantes.</w:t>
      </w:r>
    </w:p>
    <w:p>
      <w:pPr>
        <w:pStyle w:val="Nivel2"/>
        <w:numPr>
          <w:ilvl w:val="1"/>
          <w:numId w:val="4"/>
        </w:numPr>
        <w:spacing w:lineRule="auto" w:line="360" w:before="0" w:after="0"/>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hanging="0" w:left="0"/>
        <w:rPr>
          <w:color w:val="auto"/>
          <w:sz w:val="22"/>
          <w:szCs w:val="22"/>
        </w:rPr>
      </w:pPr>
      <w:r>
        <w:rPr>
          <w:color w:val="auto"/>
          <w:sz w:val="22"/>
          <w:szCs w:val="22"/>
        </w:rPr>
        <w:t>O lance deverá ser ofertado pelo valor unitário do item.</w:t>
      </w:r>
    </w:p>
    <w:p>
      <w:pPr>
        <w:pStyle w:val="Nivel2"/>
        <w:numPr>
          <w:ilvl w:val="1"/>
          <w:numId w:val="4"/>
        </w:numPr>
        <w:spacing w:lineRule="auto" w:line="360"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hanging="0" w:left="0"/>
        <w:rPr>
          <w:color w:val="auto"/>
          <w:sz w:val="22"/>
          <w:szCs w:val="22"/>
        </w:rPr>
      </w:pPr>
      <w:r>
        <w:rPr>
          <w:color w:val="auto"/>
          <w:sz w:val="22"/>
          <w:szCs w:val="22"/>
        </w:rPr>
        <w:t>O procedimento seguirá de acordo com o modo de disputa adotado.</w:t>
      </w:r>
    </w:p>
    <w:p>
      <w:pPr>
        <w:pStyle w:val="Nivel2"/>
        <w:numPr>
          <w:ilvl w:val="1"/>
          <w:numId w:val="4"/>
        </w:numPr>
        <w:spacing w:lineRule="auto" w:line="360" w:before="0" w:after="0"/>
        <w:ind w:hanging="0" w:lef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hanging="0" w:left="0"/>
        <w:rPr>
          <w:color w:val="auto"/>
          <w:sz w:val="22"/>
          <w:szCs w:val="22"/>
        </w:rPr>
      </w:pPr>
      <w:bookmarkStart w:id="12" w:name="_Hlk113697759"/>
      <w:bookmarkEnd w:id="12"/>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hanging="0" w:left="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hanging="0" w:left="0"/>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4"/>
        </w:numPr>
        <w:spacing w:lineRule="auto" w:line="360" w:before="0" w:after="0"/>
        <w:ind w:hanging="0" w:left="0"/>
        <w:rPr>
          <w:color w:val="auto"/>
        </w:rPr>
      </w:pPr>
      <w:bookmarkStart w:id="13" w:name="_Hlk113697816"/>
      <w:bookmarkEnd w:id="13"/>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hanging="0" w:lef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hanging="0" w:lef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hanging="0" w:left="0"/>
        <w:rPr>
          <w:color w:val="auto"/>
          <w:sz w:val="22"/>
          <w:szCs w:val="22"/>
        </w:rPr>
      </w:pPr>
      <w:r>
        <w:rPr>
          <w:color w:val="auto"/>
          <w:sz w:val="22"/>
          <w:szCs w:val="22"/>
        </w:rPr>
        <w:t>Caso o licitante não apresente lances, concorrerá com o valor de sua proposta.</w:t>
      </w:r>
    </w:p>
    <w:p>
      <w:pPr>
        <w:pStyle w:val="Nivel2"/>
        <w:numPr>
          <w:ilvl w:val="1"/>
          <w:numId w:val="4"/>
        </w:numPr>
        <w:spacing w:lineRule="auto" w:line="360" w:before="0" w:after="0"/>
        <w:ind w:hanging="0" w:left="0"/>
        <w:rPr>
          <w:color w:val="auto"/>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0">
        <w:r>
          <w:rPr>
            <w:rStyle w:val="Hyperlink"/>
            <w:rFonts w:eastAsia="Zurich BT"/>
            <w:color w:val="auto"/>
            <w:sz w:val="22"/>
            <w:szCs w:val="22"/>
          </w:rPr>
          <w:t>Decreto nº 8.538, de 2015</w:t>
        </w:r>
      </w:hyperlink>
      <w:r>
        <w:rPr>
          <w:rFonts w:eastAsia="Zurich BT"/>
          <w:color w:val="auto"/>
          <w:sz w:val="22"/>
          <w:szCs w:val="22"/>
        </w:rPr>
        <w:t>.</w:t>
      </w:r>
    </w:p>
    <w:p>
      <w:pPr>
        <w:pStyle w:val="Nivel3"/>
        <w:numPr>
          <w:ilvl w:val="2"/>
          <w:numId w:val="4"/>
        </w:numPr>
        <w:spacing w:lineRule="auto" w:line="360" w:before="0" w:after="0"/>
        <w:ind w:hanging="0" w:left="0"/>
        <w:rPr>
          <w:color w:val="auto"/>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2"/>
          <w:numId w:val="4"/>
        </w:numPr>
        <w:spacing w:lineRule="auto" w:line="360" w:before="0" w:after="0"/>
        <w:ind w:hanging="0" w:left="0"/>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4"/>
        </w:numPr>
        <w:spacing w:lineRule="auto" w:line="360" w:before="0" w:after="0"/>
        <w:ind w:hanging="0" w:left="0"/>
        <w:rPr>
          <w:color w:val="auto"/>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2"/>
          <w:numId w:val="4"/>
        </w:numPr>
        <w:spacing w:lineRule="auto" w:line="360" w:before="0" w:after="0"/>
        <w:ind w:hanging="0" w:left="0"/>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4"/>
        </w:numPr>
        <w:spacing w:lineRule="auto" w:line="360" w:before="0" w:after="0"/>
        <w:ind w:hanging="0" w:left="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hanging="0" w:left="0"/>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hanging="0" w:left="0"/>
        <w:rPr>
          <w:color w:val="auto"/>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4"/>
        </w:numPr>
        <w:spacing w:lineRule="auto" w:line="360" w:before="0" w:after="0"/>
        <w:ind w:hanging="0" w:left="0"/>
        <w:rPr>
          <w:rFonts w:eastAsia="Times New Roman"/>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4"/>
        </w:numPr>
        <w:spacing w:lineRule="auto" w:line="360" w:before="0" w:after="0"/>
        <w:ind w:hanging="0" w:left="0"/>
        <w:rPr>
          <w:color w:val="auto"/>
        </w:rPr>
      </w:pPr>
      <w:bookmarkStart w:id="14" w:name="_Hlk114646655"/>
      <w:r>
        <w:rPr>
          <w:color w:val="auto"/>
          <w:sz w:val="22"/>
          <w:szCs w:val="22"/>
        </w:rPr>
        <w:t>Após a negociação do preço, o Pregoeiro iniciará a fase de aceitação e julgamento da proposta.</w:t>
      </w:r>
      <w:bookmarkEnd w:id="14"/>
      <w:r>
        <w:rPr>
          <w:color w:val="auto"/>
          <w:sz w:val="22"/>
          <w:szCs w:val="22"/>
        </w:rPr>
        <w:t xml:space="preserve"> </w:t>
      </w:r>
    </w:p>
    <w:p>
      <w:pPr>
        <w:pStyle w:val="ListParagraph"/>
        <w:widowControl w:val="false"/>
        <w:spacing w:lineRule="auto" w:line="360" w:before="0" w:after="0"/>
        <w:ind w:left="0"/>
        <w:jc w:val="both"/>
        <w:rPr>
          <w:rFonts w:ascii="Arial" w:hAnsi="Arial" w:cs="Arial"/>
        </w:rPr>
      </w:pPr>
      <w:bookmarkStart w:id="15" w:name="_Hlk204237234"/>
      <w:r>
        <w:rPr>
          <w:rFonts w:cs="Arial" w:ascii="Arial" w:hAnsi="Arial"/>
        </w:rPr>
        <w:t>6.23 - Havendo empate entre propostas ou lances, o critério de desempate será aquele previsto no art. 60 da Lei nº 14.133, de 2021, nesta ordem: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6.24 - Persistindo o empate, será assegurada preferência, sucessivamente, aos bens e serviços produzidos ou prestados por: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6"/>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16"/>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16"/>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jc w:val="both"/>
        <w:rPr>
          <w:rFonts w:ascii="Arial" w:hAnsi="Arial" w:cs="Arial"/>
          <w:highlight w:val="yellow"/>
        </w:rPr>
      </w:pPr>
      <w:r>
        <w:rPr>
          <w:rFonts w:cs="Arial" w:ascii="Arial" w:hAnsi="Arial"/>
        </w:rPr>
        <w:t> </w:t>
      </w:r>
      <w:r>
        <w:rPr>
          <w:rFonts w:cs="Arial" w:ascii="Arial" w:hAnsi="Arial"/>
        </w:rPr>
        <w:t xml:space="preserve">6.26 - Persistindo o empate após a aplicação dos critérios estabelecidos no artigo 60 da Lei nº 14.133, de 2021, poderá ser aplicado sorteio conforme disposto no artigo 28 da Instrução Normativa SEGES/MGI Nº 79, de 12 de setembro de 2024. </w:t>
      </w:r>
      <w:bookmarkEnd w:id="15"/>
    </w:p>
    <w:p>
      <w:pPr>
        <w:pStyle w:val="Nivel2"/>
        <w:tabs>
          <w:tab w:val="clear" w:pos="0"/>
        </w:tabs>
        <w:spacing w:lineRule="auto" w:line="360" w:before="0" w:after="0"/>
        <w:ind w:hanging="0" w:left="0"/>
        <w:rPr>
          <w:rFonts w:eastAsia="Times New Roman"/>
          <w:color w:val="auto"/>
          <w:sz w:val="22"/>
          <w:szCs w:val="22"/>
        </w:rPr>
      </w:pPr>
      <w:r>
        <w:rPr>
          <w:rFonts w:eastAsia="Times New Roman"/>
          <w:color w:val="auto"/>
          <w:sz w:val="22"/>
          <w:szCs w:val="22"/>
        </w:rPr>
      </w:r>
    </w:p>
    <w:p>
      <w:pPr>
        <w:pStyle w:val="Nivel01"/>
        <w:numPr>
          <w:ilvl w:val="0"/>
          <w:numId w:val="4"/>
        </w:numPr>
        <w:spacing w:lineRule="auto" w:line="360" w:before="0" w:after="0"/>
        <w:ind w:hanging="0" w:left="0"/>
        <w:rPr>
          <w:sz w:val="22"/>
          <w:szCs w:val="22"/>
        </w:rPr>
      </w:pPr>
      <w:r>
        <w:rPr>
          <w:sz w:val="22"/>
          <w:szCs w:val="22"/>
        </w:rPr>
        <w:t>DA FASE DE JULGAMENTO</w:t>
      </w:r>
    </w:p>
    <w:p>
      <w:pPr>
        <w:pStyle w:val="Nivel2"/>
        <w:numPr>
          <w:ilvl w:val="1"/>
          <w:numId w:val="4"/>
        </w:numPr>
        <w:spacing w:lineRule="auto" w:line="360" w:before="0" w:after="0"/>
        <w:ind w:hanging="0" w:left="0"/>
        <w:rPr>
          <w:color w:val="auto"/>
        </w:rPr>
      </w:pPr>
      <w:bookmarkStart w:id="16"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16"/>
      <w:r>
        <w:rPr>
          <w:color w:val="auto"/>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4"/>
        </w:numPr>
        <w:spacing w:lineRule="auto" w:line="360" w:before="0" w:after="0"/>
        <w:ind w:hanging="0" w:left="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pPr>
        <w:pStyle w:val="Nivel2"/>
        <w:numPr>
          <w:ilvl w:val="1"/>
          <w:numId w:val="4"/>
        </w:numPr>
        <w:spacing w:lineRule="auto" w:line="360" w:before="0" w:after="0"/>
        <w:ind w:hanging="0" w:left="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4"/>
        </w:numPr>
        <w:spacing w:lineRule="auto" w:line="360" w:before="0" w:after="0"/>
        <w:ind w:hanging="0" w:left="0"/>
        <w:rPr>
          <w:color w:val="auto"/>
          <w:sz w:val="22"/>
          <w:szCs w:val="22"/>
        </w:rPr>
      </w:pPr>
      <w:r>
        <w:rPr>
          <w:color w:val="auto"/>
          <w:sz w:val="22"/>
          <w:szCs w:val="22"/>
        </w:rPr>
        <w:t xml:space="preserve">Será desclassificada a proposta vencedora que: </w:t>
      </w:r>
    </w:p>
    <w:p>
      <w:pPr>
        <w:pStyle w:val="Nivel3"/>
        <w:numPr>
          <w:ilvl w:val="2"/>
          <w:numId w:val="4"/>
        </w:numPr>
        <w:spacing w:lineRule="auto" w:line="360" w:before="0" w:after="0"/>
        <w:ind w:hanging="0" w:left="0"/>
        <w:rPr>
          <w:color w:val="auto"/>
          <w:sz w:val="22"/>
          <w:szCs w:val="22"/>
        </w:rPr>
      </w:pPr>
      <w:r>
        <w:rPr>
          <w:color w:val="auto"/>
          <w:sz w:val="22"/>
          <w:szCs w:val="22"/>
        </w:rPr>
        <w:t>contiver vícios insanáveis;</w:t>
      </w:r>
    </w:p>
    <w:p>
      <w:pPr>
        <w:pStyle w:val="Nivel3"/>
        <w:numPr>
          <w:ilvl w:val="2"/>
          <w:numId w:val="4"/>
        </w:numPr>
        <w:spacing w:lineRule="auto" w:line="360" w:before="0" w:after="0"/>
        <w:ind w:hanging="0" w:left="0"/>
        <w:rPr>
          <w:color w:val="auto"/>
          <w:sz w:val="22"/>
          <w:szCs w:val="22"/>
        </w:rPr>
      </w:pPr>
      <w:r>
        <w:rPr>
          <w:color w:val="auto"/>
          <w:sz w:val="22"/>
          <w:szCs w:val="22"/>
        </w:rPr>
        <w:t>não obedecer às especificações técnicas contidas no Termo de Referência;</w:t>
      </w:r>
    </w:p>
    <w:p>
      <w:pPr>
        <w:pStyle w:val="Nivel3"/>
        <w:numPr>
          <w:ilvl w:val="2"/>
          <w:numId w:val="4"/>
        </w:numPr>
        <w:spacing w:lineRule="auto" w:line="360" w:before="0" w:after="0"/>
        <w:ind w:hanging="0" w:left="0"/>
        <w:rPr>
          <w:color w:val="auto"/>
          <w:sz w:val="22"/>
          <w:szCs w:val="22"/>
        </w:rPr>
      </w:pPr>
      <w:r>
        <w:rPr>
          <w:color w:val="auto"/>
          <w:sz w:val="22"/>
          <w:szCs w:val="22"/>
        </w:rPr>
        <w:t>apresentar preços inexequíveis ou permanecerem acima do preço máximo definido para a contratação;</w:t>
      </w:r>
    </w:p>
    <w:p>
      <w:pPr>
        <w:pStyle w:val="Nivel3"/>
        <w:numPr>
          <w:ilvl w:val="2"/>
          <w:numId w:val="4"/>
        </w:numPr>
        <w:spacing w:lineRule="auto" w:line="360" w:before="0" w:after="0"/>
        <w:ind w:hanging="0" w:left="0"/>
        <w:rPr>
          <w:color w:val="auto"/>
          <w:sz w:val="22"/>
          <w:szCs w:val="22"/>
        </w:rPr>
      </w:pPr>
      <w:r>
        <w:rPr>
          <w:color w:val="auto"/>
          <w:sz w:val="22"/>
          <w:szCs w:val="22"/>
        </w:rPr>
        <w:t>não tiverem sua exequibilidade demonstrada, quando exigido pela Administração;</w:t>
      </w:r>
    </w:p>
    <w:p>
      <w:pPr>
        <w:pStyle w:val="Nivel3"/>
        <w:numPr>
          <w:ilvl w:val="2"/>
          <w:numId w:val="4"/>
        </w:numPr>
        <w:spacing w:lineRule="auto" w:line="360" w:before="0" w:after="0"/>
        <w:ind w:hanging="0" w:left="0"/>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4"/>
        </w:numPr>
        <w:spacing w:lineRule="auto" w:line="360" w:before="0" w:after="0"/>
        <w:ind w:hanging="0" w:left="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4"/>
        </w:numPr>
        <w:spacing w:lineRule="auto" w:line="360" w:before="0" w:after="0"/>
        <w:ind w:hanging="0" w:left="0"/>
        <w:rPr>
          <w:color w:val="auto"/>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b/>
          <w:color w:val="auto"/>
          <w:sz w:val="22"/>
          <w:szCs w:val="22"/>
          <w:highlight w:val="yellow"/>
        </w:rPr>
      </w:pPr>
      <w:r>
        <w:rPr>
          <w:b/>
          <w:color w:val="auto"/>
          <w:sz w:val="22"/>
          <w:szCs w:val="22"/>
          <w:highlight w:val="yellow"/>
        </w:rPr>
      </w:r>
    </w:p>
    <w:p>
      <w:pPr>
        <w:pStyle w:val="Nivel01"/>
        <w:numPr>
          <w:ilvl w:val="0"/>
          <w:numId w:val="4"/>
        </w:numPr>
        <w:spacing w:lineRule="auto" w:line="360" w:before="0" w:after="0"/>
        <w:ind w:hanging="0" w:left="0"/>
        <w:rPr>
          <w:sz w:val="22"/>
          <w:szCs w:val="22"/>
        </w:rPr>
      </w:pPr>
      <w:r>
        <w:rPr>
          <w:sz w:val="22"/>
          <w:szCs w:val="22"/>
        </w:rPr>
        <w:t>DA FASE DE HABILITAÇÃO</w:t>
      </w:r>
    </w:p>
    <w:p>
      <w:pPr>
        <w:pStyle w:val="Nivel2"/>
        <w:numPr>
          <w:ilvl w:val="1"/>
          <w:numId w:val="4"/>
        </w:numPr>
        <w:spacing w:lineRule="auto" w:line="360" w:before="0" w:after="0"/>
        <w:ind w:hanging="0" w:left="0"/>
        <w:rPr>
          <w:color w:val="auto"/>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auto"/>
        </w:rPr>
        <w:instrText xml:space="preserve"> HYPERLINK "http://www.planalto.gov.br/ccivil_03/_ato2019-2022/2021/lei/L14133.htm" \l "art62"</w:instrText>
      </w:r>
      <w:r>
        <w:rPr>
          <w:rStyle w:val="Hyperlink"/>
          <w:sz w:val="22"/>
          <w:szCs w:val="22"/>
          <w:color w:val="auto"/>
        </w:rPr>
        <w:fldChar w:fldCharType="separate"/>
      </w:r>
      <w:r>
        <w:rPr>
          <w:rStyle w:val="Hyperlink"/>
          <w:color w:val="auto"/>
          <w:sz w:val="22"/>
          <w:szCs w:val="22"/>
        </w:rPr>
        <w:t>arts. 62 a 70 da Lei nº 14.133, de 2021</w:t>
      </w:r>
      <w:r>
        <w:rPr>
          <w:rStyle w:val="Hyperlink"/>
          <w:sz w:val="22"/>
          <w:szCs w:val="22"/>
          <w:color w:val="auto"/>
        </w:rPr>
        <w:fldChar w:fldCharType="end"/>
      </w:r>
      <w:r>
        <w:rPr>
          <w:rStyle w:val="InternetLink"/>
          <w:color w:val="auto"/>
          <w:sz w:val="22"/>
          <w:szCs w:val="22"/>
        </w:rPr>
        <w:t>.</w:t>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1"/>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Nivel2"/>
        <w:numPr>
          <w:ilvl w:val="1"/>
          <w:numId w:val="18"/>
        </w:numPr>
        <w:tabs>
          <w:tab w:val="clear" w:pos="0"/>
          <w:tab w:val="left" w:pos="-1055" w:leader="none"/>
        </w:tabs>
        <w:spacing w:lineRule="auto" w:line="360" w:before="0" w:after="0"/>
        <w:ind w:hanging="0" w:left="0"/>
        <w:rPr/>
      </w:pPr>
      <w:r>
        <w:rPr>
          <w:sz w:val="22"/>
          <w:szCs w:val="22"/>
        </w:rPr>
        <w:t>Os documentos exigidos para fins de habilitação poderão ser apresentados em original, por cópia autenticada, através do sistema da BBMnet.</w:t>
      </w:r>
    </w:p>
    <w:p>
      <w:pPr>
        <w:pStyle w:val="Nivel2"/>
        <w:numPr>
          <w:ilvl w:val="1"/>
          <w:numId w:val="18"/>
        </w:numPr>
        <w:tabs>
          <w:tab w:val="clear" w:pos="0"/>
        </w:tabs>
        <w:spacing w:lineRule="auto" w:line="360" w:before="0" w:after="0"/>
        <w:ind w:hanging="0" w:left="0"/>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8"/>
        </w:numPr>
        <w:tabs>
          <w:tab w:val="clear" w:pos="0"/>
        </w:tabs>
        <w:spacing w:lineRule="auto" w:line="360" w:before="0" w:after="0"/>
        <w:ind w:hanging="0" w:left="0"/>
        <w:rPr/>
      </w:pPr>
      <w:bookmarkStart w:id="17" w:name="_Hlk204237513"/>
      <w:bookmarkStart w:id="18"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8"/>
      <w:r>
        <w:rPr>
          <w:sz w:val="22"/>
          <w:szCs w:val="22"/>
        </w:rPr>
        <w:t>contado da solicitação do Agente de Contratação.</w:t>
      </w:r>
      <w:bookmarkEnd w:id="17"/>
    </w:p>
    <w:p>
      <w:pPr>
        <w:pStyle w:val="Nivel2"/>
        <w:numPr>
          <w:ilvl w:val="1"/>
          <w:numId w:val="18"/>
        </w:numPr>
        <w:tabs>
          <w:tab w:val="clear" w:pos="0"/>
        </w:tabs>
        <w:spacing w:lineRule="auto" w:line="360" w:before="0" w:after="0"/>
        <w:ind w:hanging="0" w:left="0"/>
        <w:rPr>
          <w:color w:val="auto"/>
        </w:rPr>
      </w:pPr>
      <w:r>
        <w:rPr>
          <w:sz w:val="22"/>
          <w:szCs w:val="22"/>
        </w:rPr>
        <w:t xml:space="preserve">A exigência das documentações de habilitação somente será feita em relação ao licitante </w:t>
      </w:r>
      <w:r>
        <w:rPr>
          <w:color w:val="auto"/>
          <w:sz w:val="22"/>
          <w:szCs w:val="22"/>
        </w:rPr>
        <w:t>vencedor.</w:t>
      </w:r>
    </w:p>
    <w:p>
      <w:pPr>
        <w:pStyle w:val="Nivel2"/>
        <w:numPr>
          <w:ilvl w:val="1"/>
          <w:numId w:val="18"/>
        </w:numPr>
        <w:tabs>
          <w:tab w:val="clear" w:pos="0"/>
        </w:tabs>
        <w:spacing w:lineRule="auto" w:line="360" w:before="0" w:after="0"/>
        <w:ind w:hanging="0" w:left="0"/>
        <w:rPr>
          <w:color w:val="auto"/>
          <w:sz w:val="22"/>
          <w:szCs w:val="22"/>
        </w:rPr>
      </w:pPr>
      <w:bookmarkStart w:id="19"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19"/>
    </w:p>
    <w:p>
      <w:pPr>
        <w:pStyle w:val="Nivel2"/>
        <w:numPr>
          <w:ilvl w:val="1"/>
          <w:numId w:val="18"/>
        </w:numPr>
        <w:tabs>
          <w:tab w:val="clear" w:pos="0"/>
        </w:tabs>
        <w:spacing w:lineRule="auto" w:line="360" w:before="0" w:after="0"/>
        <w:ind w:hanging="0" w:left="0"/>
        <w:rPr>
          <w:color w:val="auto"/>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InternetLink"/>
          <w:color w:val="auto"/>
          <w:sz w:val="22"/>
          <w:szCs w:val="22"/>
        </w:rPr>
        <w:t>)</w:t>
      </w:r>
    </w:p>
    <w:p>
      <w:pPr>
        <w:pStyle w:val="Nivel3"/>
        <w:numPr>
          <w:ilvl w:val="2"/>
          <w:numId w:val="18"/>
        </w:numPr>
        <w:tabs>
          <w:tab w:val="clear" w:pos="0"/>
        </w:tabs>
        <w:spacing w:lineRule="auto" w:line="360" w:before="0" w:after="0"/>
        <w:ind w:hanging="0" w:left="0"/>
        <w:rPr>
          <w:color w:val="auto"/>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18"/>
        </w:numPr>
        <w:tabs>
          <w:tab w:val="clear" w:pos="0"/>
        </w:tabs>
        <w:spacing w:lineRule="auto" w:line="360" w:before="0" w:after="0"/>
        <w:ind w:hanging="0" w:left="0"/>
        <w:rPr>
          <w:color w:val="auto"/>
        </w:rPr>
      </w:pPr>
      <w:r>
        <w:rPr>
          <w:color w:val="auto"/>
          <w:sz w:val="22"/>
          <w:szCs w:val="22"/>
        </w:rPr>
        <w:t>atualização de documentos cuja validade tenha expirado após a data de recebimento das propostas;</w:t>
      </w:r>
    </w:p>
    <w:p>
      <w:pPr>
        <w:pStyle w:val="Nivel2"/>
        <w:numPr>
          <w:ilvl w:val="1"/>
          <w:numId w:val="18"/>
        </w:numPr>
        <w:tabs>
          <w:tab w:val="clear" w:pos="0"/>
        </w:tabs>
        <w:spacing w:lineRule="auto" w:line="360" w:before="0" w:after="0"/>
        <w:ind w:hanging="0" w:left="0"/>
        <w:rPr>
          <w:color w:val="auto"/>
        </w:rPr>
      </w:pPr>
      <w:bookmarkStart w:id="20"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21" w:name="_Ref114665528"/>
      <w:bookmarkEnd w:id="20"/>
    </w:p>
    <w:p>
      <w:pPr>
        <w:pStyle w:val="Nivel2"/>
        <w:numPr>
          <w:ilvl w:val="1"/>
          <w:numId w:val="18"/>
        </w:numPr>
        <w:tabs>
          <w:tab w:val="clear" w:pos="0"/>
        </w:tabs>
        <w:spacing w:lineRule="auto" w:line="360" w:before="0" w:after="0"/>
        <w:ind w:hanging="0" w:left="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bookmarkEnd w:id="21"/>
    </w:p>
    <w:p>
      <w:pPr>
        <w:pStyle w:val="Nivel2"/>
        <w:numPr>
          <w:ilvl w:val="1"/>
          <w:numId w:val="18"/>
        </w:numPr>
        <w:tabs>
          <w:tab w:val="clear" w:pos="0"/>
        </w:tabs>
        <w:spacing w:lineRule="auto" w:line="360" w:before="0" w:after="0"/>
        <w:ind w:hanging="0" w:left="0"/>
        <w:rPr>
          <w:color w:val="auto"/>
        </w:rPr>
      </w:pPr>
      <w:bookmarkStart w:id="22"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22"/>
      <w:r>
        <w:rPr>
          <w:color w:val="auto"/>
          <w:sz w:val="22"/>
          <w:szCs w:val="22"/>
        </w:rPr>
        <w:t>.</w:t>
      </w:r>
      <w:bookmarkStart w:id="23" w:name="_Hlk204237715"/>
    </w:p>
    <w:p>
      <w:pPr>
        <w:pStyle w:val="Nivel2"/>
        <w:numPr>
          <w:ilvl w:val="1"/>
          <w:numId w:val="18"/>
        </w:numPr>
        <w:spacing w:lineRule="auto" w:line="360" w:before="0" w:after="0"/>
        <w:ind w:hanging="0" w:left="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jc w:val="both"/>
        <w:rPr>
          <w:rFonts w:ascii="Arial" w:hAnsi="Arial" w:cs="Arial"/>
          <w:sz w:val="22"/>
          <w:szCs w:val="22"/>
        </w:rPr>
      </w:pPr>
      <w:r>
        <w:rPr>
          <w:rFonts w:cs="Arial" w:ascii="Arial" w:hAnsi="Arial"/>
          <w:b/>
          <w:bCs/>
          <w:sz w:val="22"/>
          <w:szCs w:val="22"/>
          <w:u w:val="single"/>
        </w:rPr>
        <w:t>8.10.1 -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17"/>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7"/>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before="0" w:after="0"/>
        <w:ind w:left="0"/>
        <w:jc w:val="both"/>
        <w:rPr/>
      </w:pPr>
      <w:r>
        <w:rPr>
          <w:rFonts w:cs="Arial" w:ascii="Arial" w:hAnsi="Arial"/>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bookmarkEnd w:id="23"/>
    </w:p>
    <w:p>
      <w:pPr>
        <w:pStyle w:val="Nivel2"/>
        <w:tabs>
          <w:tab w:val="clear" w:pos="0"/>
        </w:tabs>
        <w:spacing w:lineRule="auto" w:line="360" w:before="0" w:after="0"/>
        <w:ind w:hanging="0" w:left="0"/>
        <w:rPr>
          <w:color w:val="auto"/>
        </w:rPr>
      </w:pPr>
      <w:r>
        <w:rPr>
          <w:color w:val="auto"/>
        </w:rPr>
      </w:r>
    </w:p>
    <w:p>
      <w:pPr>
        <w:pStyle w:val="Nivel01"/>
        <w:numPr>
          <w:ilvl w:val="0"/>
          <w:numId w:val="4"/>
        </w:numPr>
        <w:spacing w:lineRule="auto" w:line="360" w:before="0" w:after="0"/>
        <w:ind w:hanging="0" w:left="0"/>
        <w:rPr>
          <w:sz w:val="22"/>
          <w:szCs w:val="22"/>
        </w:rPr>
      </w:pPr>
      <w:r>
        <w:rPr>
          <w:sz w:val="22"/>
          <w:szCs w:val="22"/>
        </w:rPr>
        <w:t>DA ATA DE REGISTRO DE PREÇOS</w:t>
      </w:r>
    </w:p>
    <w:p>
      <w:pPr>
        <w:pStyle w:val="Nivel2"/>
        <w:numPr>
          <w:ilvl w:val="1"/>
          <w:numId w:val="4"/>
        </w:numPr>
        <w:spacing w:lineRule="auto" w:line="360" w:before="0" w:after="0"/>
        <w:ind w:hanging="0" w:left="0"/>
        <w:rPr>
          <w:color w:val="auto"/>
          <w:sz w:val="22"/>
          <w:szCs w:val="22"/>
        </w:rPr>
      </w:pPr>
      <w:r>
        <w:rPr>
          <w:color w:val="auto"/>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4"/>
        </w:numPr>
        <w:spacing w:lineRule="auto" w:line="360" w:before="0" w:after="0"/>
        <w:ind w:hanging="0" w:left="0"/>
        <w:rPr>
          <w:color w:val="auto"/>
          <w:sz w:val="22"/>
          <w:szCs w:val="22"/>
        </w:rPr>
      </w:pPr>
      <w:r>
        <w:rPr>
          <w:color w:val="auto"/>
          <w:sz w:val="22"/>
          <w:szCs w:val="22"/>
        </w:rPr>
        <w:t>O prazo de convocação poderá ser prorrogado uma vez, por igual período, mediante solicitação do licitante mais bem classificado ou do fornecedor convocado, desde que:</w:t>
      </w:r>
    </w:p>
    <w:p>
      <w:pPr>
        <w:pStyle w:val="Nivel2"/>
        <w:tabs>
          <w:tab w:val="clear" w:pos="0"/>
        </w:tabs>
        <w:spacing w:lineRule="auto" w:line="360" w:before="0" w:after="0"/>
        <w:ind w:hanging="0" w:left="0"/>
        <w:rPr>
          <w:iCs/>
          <w:color w:val="auto"/>
          <w:sz w:val="22"/>
          <w:szCs w:val="22"/>
        </w:rPr>
      </w:pPr>
      <w:r>
        <w:rPr>
          <w:iCs/>
          <w:color w:val="auto"/>
          <w:sz w:val="22"/>
          <w:szCs w:val="22"/>
        </w:rPr>
        <w:t>(a) a solicitação seja devidamente justificada e apresentada dentro do prazo; e</w:t>
      </w:r>
    </w:p>
    <w:p>
      <w:pPr>
        <w:pStyle w:val="Nivel2"/>
        <w:tabs>
          <w:tab w:val="clear" w:pos="0"/>
        </w:tabs>
        <w:spacing w:lineRule="auto" w:line="360" w:before="0" w:after="0"/>
        <w:ind w:hanging="0" w:left="0"/>
        <w:rPr>
          <w:iCs/>
          <w:color w:val="auto"/>
          <w:sz w:val="22"/>
          <w:szCs w:val="22"/>
        </w:rPr>
      </w:pPr>
      <w:r>
        <w:rPr>
          <w:iCs/>
          <w:color w:val="auto"/>
          <w:sz w:val="22"/>
          <w:szCs w:val="22"/>
        </w:rPr>
        <w:t>(b) a justificativa apresentada seja aceita pela Administração.</w:t>
      </w:r>
    </w:p>
    <w:p>
      <w:pPr>
        <w:pStyle w:val="Nivel2"/>
        <w:numPr>
          <w:ilvl w:val="1"/>
          <w:numId w:val="4"/>
        </w:numPr>
        <w:spacing w:lineRule="auto" w:line="360" w:before="0" w:after="0"/>
        <w:ind w:hanging="0" w:left="0"/>
        <w:rPr>
          <w:color w:val="auto"/>
          <w:sz w:val="22"/>
          <w:szCs w:val="22"/>
        </w:rPr>
      </w:pPr>
      <w:r>
        <w:rPr>
          <w:color w:val="auto"/>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4"/>
        </w:numPr>
        <w:spacing w:lineRule="auto" w:line="360" w:before="0" w:after="0"/>
        <w:ind w:hanging="0" w:left="0"/>
        <w:rPr>
          <w:color w:val="auto"/>
          <w:sz w:val="22"/>
          <w:szCs w:val="22"/>
        </w:rPr>
      </w:pPr>
      <w:r>
        <w:rPr>
          <w:color w:val="auto"/>
          <w:sz w:val="22"/>
          <w:szCs w:val="22"/>
        </w:rPr>
        <w:t>O preço registrado, com a indicação dos fornecedores, será divulgado no PNCP e disponibilizado durante a vigência da ata de registro de preços.</w:t>
      </w:r>
    </w:p>
    <w:p>
      <w:pPr>
        <w:pStyle w:val="Nivel2"/>
        <w:numPr>
          <w:ilvl w:val="1"/>
          <w:numId w:val="4"/>
        </w:numPr>
        <w:spacing w:lineRule="auto" w:line="360" w:before="0" w:after="0"/>
        <w:ind w:hanging="0" w:left="0"/>
        <w:rPr>
          <w:color w:val="auto"/>
          <w:sz w:val="22"/>
          <w:szCs w:val="22"/>
        </w:rPr>
      </w:pPr>
      <w:r>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4"/>
        </w:numPr>
        <w:spacing w:lineRule="auto" w:line="360" w:before="0" w:after="0"/>
        <w:ind w:hanging="0" w:left="0"/>
        <w:rPr>
          <w:color w:val="auto"/>
          <w:sz w:val="22"/>
          <w:szCs w:val="22"/>
        </w:rPr>
      </w:pPr>
      <w:r>
        <w:rPr>
          <w:color w:val="auto"/>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 xml:space="preserve">DA FORMAÇÃO DO CADASTRO DE RESERVA </w:t>
      </w:r>
    </w:p>
    <w:p>
      <w:pPr>
        <w:pStyle w:val="Nivel2"/>
        <w:numPr>
          <w:ilvl w:val="1"/>
          <w:numId w:val="4"/>
        </w:numPr>
        <w:spacing w:lineRule="auto" w:line="360" w:before="0" w:after="0"/>
        <w:ind w:hanging="0" w:left="0"/>
        <w:rPr>
          <w:color w:val="auto"/>
          <w:sz w:val="22"/>
          <w:szCs w:val="22"/>
        </w:rPr>
      </w:pPr>
      <w:r>
        <w:rPr>
          <w:color w:val="auto"/>
          <w:sz w:val="22"/>
          <w:szCs w:val="22"/>
        </w:rPr>
        <w:t>Após a homologação da licitação, será incluído na ata, na forma de anexo, o registro:</w:t>
      </w:r>
    </w:p>
    <w:p>
      <w:pPr>
        <w:pStyle w:val="Nivel3"/>
        <w:numPr>
          <w:ilvl w:val="2"/>
          <w:numId w:val="4"/>
        </w:numPr>
        <w:spacing w:lineRule="auto" w:line="360" w:before="0" w:after="0"/>
        <w:ind w:hanging="0" w:left="567"/>
        <w:rPr>
          <w:color w:val="auto"/>
        </w:rPr>
      </w:pPr>
      <w:r>
        <w:rPr>
          <w:color w:val="auto"/>
          <w:sz w:val="22"/>
          <w:szCs w:val="22"/>
        </w:rPr>
        <w:t xml:space="preserve">dos licitantes </w:t>
      </w:r>
      <w:bookmarkStart w:id="24" w:name="_Hlk132991372"/>
      <w:r>
        <w:rPr>
          <w:color w:val="auto"/>
          <w:sz w:val="22"/>
          <w:szCs w:val="22"/>
        </w:rPr>
        <w:t xml:space="preserve">que </w:t>
      </w:r>
      <w:bookmarkStart w:id="25" w:name="_Hlk132989696"/>
      <w:r>
        <w:rPr>
          <w:color w:val="auto"/>
          <w:sz w:val="22"/>
          <w:szCs w:val="22"/>
        </w:rPr>
        <w:t>aceitarem cotar o objeto com preço igual ao do adjudicatári</w:t>
      </w:r>
      <w:bookmarkEnd w:id="24"/>
      <w:r>
        <w:rPr>
          <w:color w:val="auto"/>
          <w:sz w:val="22"/>
          <w:szCs w:val="22"/>
        </w:rPr>
        <w:t>o</w:t>
      </w:r>
      <w:bookmarkEnd w:id="25"/>
      <w:r>
        <w:rPr>
          <w:color w:val="auto"/>
          <w:sz w:val="22"/>
          <w:szCs w:val="22"/>
        </w:rPr>
        <w:t xml:space="preserve">, observada a classificação na licitação; e </w:t>
      </w:r>
    </w:p>
    <w:p>
      <w:pPr>
        <w:pStyle w:val="Nivel3"/>
        <w:numPr>
          <w:ilvl w:val="2"/>
          <w:numId w:val="4"/>
        </w:numPr>
        <w:spacing w:lineRule="auto" w:line="360" w:before="0" w:after="0"/>
        <w:ind w:hanging="0" w:left="567"/>
        <w:rPr>
          <w:color w:val="auto"/>
          <w:sz w:val="22"/>
          <w:szCs w:val="22"/>
        </w:rPr>
      </w:pPr>
      <w:r>
        <w:rPr>
          <w:color w:val="auto"/>
          <w:sz w:val="22"/>
          <w:szCs w:val="22"/>
        </w:rPr>
        <w:t>dos licitantes que mantiverem sua proposta original</w:t>
      </w:r>
    </w:p>
    <w:p>
      <w:pPr>
        <w:pStyle w:val="Nivel2"/>
        <w:numPr>
          <w:ilvl w:val="1"/>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Será respeitada, nas contratações, a ordem de classificação dos licitantes ou fornecedores registrados na ata.</w:t>
      </w:r>
    </w:p>
    <w:p>
      <w:pPr>
        <w:pStyle w:val="Nivel3"/>
        <w:numPr>
          <w:ilvl w:val="2"/>
          <w:numId w:val="4"/>
        </w:numPr>
        <w:spacing w:lineRule="auto" w:line="360" w:before="0" w:after="0"/>
        <w:ind w:hanging="0" w:left="0"/>
        <w:rPr>
          <w:color w:val="auto"/>
          <w:sz w:val="22"/>
          <w:szCs w:val="22"/>
        </w:rPr>
      </w:pPr>
      <w:r>
        <w:rPr>
          <w:color w:val="auto"/>
          <w:sz w:val="22"/>
          <w:szCs w:val="22"/>
        </w:rPr>
        <w:t>A apresentação de novas propostas na forma deste item não prejudicará o resultado do certame em relação ao licitante mais bem classificado.</w:t>
      </w:r>
    </w:p>
    <w:p>
      <w:pPr>
        <w:pStyle w:val="Nivel3"/>
        <w:numPr>
          <w:ilvl w:val="2"/>
          <w:numId w:val="4"/>
        </w:numPr>
        <w:spacing w:lineRule="auto" w:line="360" w:before="0" w:after="0"/>
        <w:ind w:hanging="0" w:left="0"/>
        <w:rPr>
          <w:color w:val="auto"/>
          <w:sz w:val="22"/>
          <w:szCs w:val="22"/>
        </w:rPr>
      </w:pPr>
      <w:r>
        <w:rPr>
          <w:color w:val="auto"/>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color w:val="auto"/>
        </w:rPr>
      </w:pPr>
      <w:r>
        <w:rPr>
          <w:rFonts w:eastAsia="Arial"/>
          <w:color w:val="auto"/>
          <w:sz w:val="22"/>
          <w:szCs w:val="22"/>
        </w:rPr>
        <w:t xml:space="preserve"> </w:t>
      </w:r>
      <w:r>
        <w:rPr>
          <w:color w:val="auto"/>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4"/>
        </w:numPr>
        <w:spacing w:lineRule="auto" w:line="360" w:before="0" w:after="0"/>
        <w:ind w:hanging="0" w:left="0"/>
        <w:rPr>
          <w:color w:val="auto"/>
          <w:sz w:val="22"/>
          <w:szCs w:val="22"/>
        </w:rPr>
      </w:pPr>
      <w:r>
        <w:rPr>
          <w:color w:val="auto"/>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adjudicar e firmar o contrato nas condições ofertadas pelos licitantes remanescentes, observada a ordem de classificação, quando frustrada a negociação de melhor condição.</w:t>
      </w:r>
    </w:p>
    <w:p>
      <w:pPr>
        <w:pStyle w:val="Nivel2"/>
        <w:tabs>
          <w:tab w:val="clear" w:pos="0"/>
        </w:tabs>
        <w:spacing w:lineRule="auto" w:line="360" w:before="0" w:after="0"/>
        <w:ind w:hanging="0" w:left="0"/>
        <w:rPr>
          <w:i/>
          <w:i/>
          <w:color w:val="auto"/>
          <w:sz w:val="22"/>
          <w:szCs w:val="22"/>
        </w:rPr>
      </w:pPr>
      <w:r>
        <w:rPr>
          <w:i/>
          <w:color w:val="auto"/>
          <w:sz w:val="22"/>
          <w:szCs w:val="22"/>
        </w:rPr>
      </w:r>
    </w:p>
    <w:p>
      <w:pPr>
        <w:pStyle w:val="Nivel01"/>
        <w:numPr>
          <w:ilvl w:val="0"/>
          <w:numId w:val="4"/>
        </w:numPr>
        <w:spacing w:lineRule="auto" w:line="360" w:before="0" w:after="0"/>
        <w:ind w:hanging="0" w:left="0"/>
        <w:rPr>
          <w:sz w:val="22"/>
          <w:szCs w:val="22"/>
        </w:rPr>
      </w:pPr>
      <w:r>
        <w:rPr>
          <w:sz w:val="22"/>
          <w:szCs w:val="22"/>
        </w:rPr>
        <w:t>DOS RECURSOS</w:t>
      </w:r>
    </w:p>
    <w:p>
      <w:pPr>
        <w:pStyle w:val="Nivel2"/>
        <w:numPr>
          <w:ilvl w:val="1"/>
          <w:numId w:val="4"/>
        </w:numPr>
        <w:spacing w:lineRule="auto" w:line="360" w:before="0" w:after="0"/>
        <w:ind w:hanging="0" w:left="0"/>
        <w:rPr>
          <w:color w:val="auto"/>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10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4"/>
        </w:numPr>
        <w:tabs>
          <w:tab w:val="clear" w:pos="709"/>
          <w:tab w:val="left" w:pos="786" w:leader="none"/>
        </w:tabs>
        <w:suppressAutoHyphens w:val="false"/>
        <w:spacing w:lineRule="auto" w:line="360" w:before="0" w:after="0"/>
        <w:ind w:hanging="0" w:left="0"/>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4"/>
        </w:numPr>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4"/>
        </w:numPr>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4"/>
        </w:numPr>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4"/>
        </w:numPr>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4"/>
        </w:numPr>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4"/>
        </w:numPr>
        <w:spacing w:lineRule="auto" w:line="360" w:before="0" w:after="0"/>
        <w:ind w:hanging="0"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INFRAÇÕES ADMINISTRATIVAS E SANÇÕES</w:t>
      </w:r>
    </w:p>
    <w:p>
      <w:pPr>
        <w:pStyle w:val="Nivel2"/>
        <w:numPr>
          <w:ilvl w:val="1"/>
          <w:numId w:val="4"/>
        </w:numPr>
        <w:spacing w:lineRule="auto" w:line="360" w:before="0" w:after="0"/>
        <w:ind w:hanging="0" w:left="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4"/>
        </w:numPr>
        <w:spacing w:lineRule="auto" w:line="360" w:before="0" w:after="0"/>
        <w:ind w:hanging="0" w:left="567"/>
        <w:rPr>
          <w:color w:val="auto"/>
          <w:sz w:val="22"/>
          <w:szCs w:val="22"/>
        </w:rPr>
      </w:pPr>
      <w:bookmarkStart w:id="26" w:name="_Ref114668085"/>
      <w:r>
        <w:rPr>
          <w:color w:val="auto"/>
          <w:sz w:val="22"/>
          <w:szCs w:val="22"/>
        </w:rPr>
        <w:t>deixar de entregar a documentação exigida para o certame ou não entregar qualquer documento que tenha sido solicitado pelo/a pregoeiro/a durante o certame;</w:t>
      </w:r>
      <w:bookmarkEnd w:id="26"/>
    </w:p>
    <w:p>
      <w:pPr>
        <w:pStyle w:val="Nivel3"/>
        <w:numPr>
          <w:ilvl w:val="2"/>
          <w:numId w:val="4"/>
        </w:numPr>
        <w:spacing w:lineRule="auto" w:line="360" w:before="0" w:after="0"/>
        <w:ind w:hanging="0" w:left="567"/>
        <w:rPr>
          <w:color w:val="auto"/>
          <w:sz w:val="22"/>
          <w:szCs w:val="22"/>
        </w:rPr>
      </w:pPr>
      <w:bookmarkStart w:id="27" w:name="_Ref114668108"/>
      <w:r>
        <w:rPr>
          <w:color w:val="auto"/>
          <w:sz w:val="22"/>
          <w:szCs w:val="22"/>
        </w:rPr>
        <w:t>Salvo em decorrência de fato superveniente devidamente justificado, não mantiver a proposta em especial quando:</w:t>
      </w:r>
      <w:bookmarkEnd w:id="27"/>
    </w:p>
    <w:p>
      <w:pPr>
        <w:pStyle w:val="Nivel4"/>
        <w:numPr>
          <w:ilvl w:val="3"/>
          <w:numId w:val="4"/>
        </w:numPr>
        <w:spacing w:lineRule="auto" w:line="360" w:before="0" w:after="0"/>
        <w:ind w:hanging="0" w:left="1134"/>
        <w:rPr>
          <w:color w:val="auto"/>
          <w:sz w:val="22"/>
          <w:szCs w:val="22"/>
        </w:rPr>
      </w:pPr>
      <w:r>
        <w:rPr>
          <w:color w:val="auto"/>
          <w:sz w:val="22"/>
          <w:szCs w:val="22"/>
        </w:rPr>
        <w:t xml:space="preserve">não enviar a proposta adequada ao último lance ofertado ou após a negociação; </w:t>
      </w:r>
    </w:p>
    <w:p>
      <w:pPr>
        <w:pStyle w:val="Nivel4"/>
        <w:numPr>
          <w:ilvl w:val="3"/>
          <w:numId w:val="4"/>
        </w:numPr>
        <w:spacing w:lineRule="auto" w:line="360" w:before="0" w:after="0"/>
        <w:ind w:hanging="0" w:left="1134"/>
        <w:rPr>
          <w:color w:val="auto"/>
          <w:sz w:val="22"/>
          <w:szCs w:val="22"/>
        </w:rPr>
      </w:pPr>
      <w:r>
        <w:rPr>
          <w:color w:val="auto"/>
          <w:sz w:val="22"/>
          <w:szCs w:val="22"/>
        </w:rPr>
        <w:t xml:space="preserve">recusar-se a enviar o detalhamento da proposta quando exigível; </w:t>
      </w:r>
    </w:p>
    <w:p>
      <w:pPr>
        <w:pStyle w:val="Nivel4"/>
        <w:numPr>
          <w:ilvl w:val="3"/>
          <w:numId w:val="4"/>
        </w:numPr>
        <w:spacing w:lineRule="auto" w:line="360" w:before="0" w:after="0"/>
        <w:ind w:hanging="0" w:left="1134"/>
        <w:rPr>
          <w:color w:val="auto"/>
          <w:sz w:val="22"/>
          <w:szCs w:val="22"/>
        </w:rPr>
      </w:pPr>
      <w:r>
        <w:rPr>
          <w:color w:val="auto"/>
          <w:sz w:val="22"/>
          <w:szCs w:val="22"/>
        </w:rPr>
        <w:t xml:space="preserve">pedir para ser desclassificado quando encerrada a etapa competitiva; ou </w:t>
      </w:r>
    </w:p>
    <w:p>
      <w:pPr>
        <w:pStyle w:val="Nivel3"/>
        <w:numPr>
          <w:ilvl w:val="2"/>
          <w:numId w:val="4"/>
        </w:numPr>
        <w:spacing w:lineRule="auto" w:line="360" w:before="0" w:after="0"/>
        <w:ind w:hanging="0" w:left="1134"/>
        <w:rPr>
          <w:color w:val="auto"/>
          <w:sz w:val="22"/>
          <w:szCs w:val="22"/>
        </w:rPr>
      </w:pPr>
      <w:bookmarkStart w:id="28" w:name="_Ref114668139"/>
      <w:r>
        <w:rPr>
          <w:color w:val="auto"/>
          <w:sz w:val="22"/>
          <w:szCs w:val="22"/>
        </w:rPr>
        <w:t>não celebrar o contrato ou não entregar a documentação exigida para a contratação, quando convocado dentro do prazo de validade de sua proposta;</w:t>
      </w:r>
      <w:bookmarkEnd w:id="28"/>
    </w:p>
    <w:p>
      <w:pPr>
        <w:pStyle w:val="Nivel4"/>
        <w:numPr>
          <w:ilvl w:val="3"/>
          <w:numId w:val="4"/>
        </w:numPr>
        <w:spacing w:lineRule="auto" w:line="360" w:before="0" w:after="0"/>
        <w:ind w:hanging="0" w:left="1134"/>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4"/>
        </w:numPr>
        <w:spacing w:lineRule="auto" w:line="360" w:before="0" w:after="0"/>
        <w:ind w:hanging="0" w:left="1134"/>
        <w:rPr>
          <w:color w:val="auto"/>
          <w:sz w:val="22"/>
          <w:szCs w:val="22"/>
        </w:rPr>
      </w:pPr>
      <w:bookmarkStart w:id="29" w:name="_Ref114668249"/>
      <w:r>
        <w:rPr>
          <w:color w:val="auto"/>
          <w:sz w:val="22"/>
          <w:szCs w:val="22"/>
        </w:rPr>
        <w:t>apresentar declaração ou documentação falsa exigida para o certame ou prestar declaração falsa durante a licitação</w:t>
      </w:r>
      <w:bookmarkEnd w:id="29"/>
    </w:p>
    <w:p>
      <w:pPr>
        <w:pStyle w:val="Nivel3"/>
        <w:numPr>
          <w:ilvl w:val="2"/>
          <w:numId w:val="4"/>
        </w:numPr>
        <w:spacing w:lineRule="auto" w:line="360" w:before="0" w:after="0"/>
        <w:ind w:hanging="0" w:left="1134"/>
        <w:rPr>
          <w:color w:val="auto"/>
          <w:sz w:val="22"/>
          <w:szCs w:val="22"/>
        </w:rPr>
      </w:pPr>
      <w:bookmarkStart w:id="30" w:name="_Ref114668245"/>
      <w:r>
        <w:rPr>
          <w:color w:val="auto"/>
          <w:sz w:val="22"/>
          <w:szCs w:val="22"/>
        </w:rPr>
        <w:t>fraudar a licitação</w:t>
      </w:r>
      <w:bookmarkEnd w:id="30"/>
    </w:p>
    <w:p>
      <w:pPr>
        <w:pStyle w:val="Nivel3"/>
        <w:numPr>
          <w:ilvl w:val="2"/>
          <w:numId w:val="4"/>
        </w:numPr>
        <w:spacing w:lineRule="auto" w:line="360" w:before="0" w:after="0"/>
        <w:ind w:hanging="0" w:left="1134"/>
        <w:rPr>
          <w:color w:val="auto"/>
          <w:sz w:val="22"/>
          <w:szCs w:val="22"/>
        </w:rPr>
      </w:pPr>
      <w:bookmarkStart w:id="31" w:name="_Ref114668247"/>
      <w:r>
        <w:rPr>
          <w:color w:val="auto"/>
          <w:sz w:val="22"/>
          <w:szCs w:val="22"/>
        </w:rPr>
        <w:t>comportar-se de modo inidôneo ou cometer fraude de qualquer natureza, em especial quando:</w:t>
      </w:r>
      <w:bookmarkEnd w:id="31"/>
    </w:p>
    <w:p>
      <w:pPr>
        <w:pStyle w:val="Nivel4"/>
        <w:numPr>
          <w:ilvl w:val="3"/>
          <w:numId w:val="4"/>
        </w:numPr>
        <w:spacing w:lineRule="auto" w:line="360" w:before="0" w:after="0"/>
        <w:ind w:hanging="0" w:left="1134"/>
        <w:rPr>
          <w:color w:val="auto"/>
          <w:sz w:val="22"/>
          <w:szCs w:val="22"/>
        </w:rPr>
      </w:pPr>
      <w:r>
        <w:rPr>
          <w:color w:val="auto"/>
          <w:sz w:val="22"/>
          <w:szCs w:val="22"/>
        </w:rPr>
        <w:t xml:space="preserve">agir em conluio ou em desconformidade com a lei; </w:t>
      </w:r>
    </w:p>
    <w:p>
      <w:pPr>
        <w:pStyle w:val="Nivel4"/>
        <w:numPr>
          <w:ilvl w:val="3"/>
          <w:numId w:val="4"/>
        </w:numPr>
        <w:spacing w:lineRule="auto" w:line="360" w:before="0" w:after="0"/>
        <w:ind w:hanging="0" w:left="1134"/>
        <w:rPr>
          <w:color w:val="auto"/>
          <w:sz w:val="22"/>
          <w:szCs w:val="22"/>
        </w:rPr>
      </w:pPr>
      <w:r>
        <w:rPr>
          <w:color w:val="auto"/>
          <w:sz w:val="22"/>
          <w:szCs w:val="22"/>
        </w:rPr>
        <w:t xml:space="preserve">induzir deliberadamente a erro no julgamento; </w:t>
      </w:r>
    </w:p>
    <w:p>
      <w:pPr>
        <w:pStyle w:val="Nivel4"/>
        <w:numPr>
          <w:ilvl w:val="3"/>
          <w:numId w:val="4"/>
        </w:numPr>
        <w:spacing w:lineRule="auto" w:line="360" w:before="0" w:after="0"/>
        <w:ind w:hanging="0" w:left="1134"/>
        <w:rPr>
          <w:color w:val="auto"/>
          <w:sz w:val="22"/>
          <w:szCs w:val="22"/>
        </w:rPr>
      </w:pPr>
      <w:r>
        <w:rPr>
          <w:color w:val="auto"/>
          <w:sz w:val="22"/>
          <w:szCs w:val="22"/>
        </w:rPr>
        <w:t xml:space="preserve">apresentar amostra falsificada ou deteriorada; </w:t>
      </w:r>
    </w:p>
    <w:p>
      <w:pPr>
        <w:pStyle w:val="Nivel3"/>
        <w:numPr>
          <w:ilvl w:val="2"/>
          <w:numId w:val="4"/>
        </w:numPr>
        <w:spacing w:lineRule="auto" w:line="360" w:before="0" w:after="0"/>
        <w:ind w:hanging="0" w:left="1134"/>
        <w:rPr>
          <w:color w:val="auto"/>
          <w:sz w:val="22"/>
          <w:szCs w:val="22"/>
        </w:rPr>
      </w:pPr>
      <w:bookmarkStart w:id="32" w:name="_Ref114668251"/>
      <w:r>
        <w:rPr>
          <w:color w:val="auto"/>
          <w:sz w:val="22"/>
          <w:szCs w:val="22"/>
        </w:rPr>
        <w:t>praticar atos ilícitos com vistas a frustrar os objetivos da licitação</w:t>
      </w:r>
      <w:bookmarkEnd w:id="32"/>
    </w:p>
    <w:p>
      <w:pPr>
        <w:pStyle w:val="Nivel3"/>
        <w:numPr>
          <w:ilvl w:val="2"/>
          <w:numId w:val="4"/>
        </w:numPr>
        <w:spacing w:lineRule="auto" w:line="360" w:before="0" w:after="0"/>
        <w:ind w:hanging="0" w:left="1134"/>
        <w:rPr>
          <w:color w:val="auto"/>
        </w:rPr>
      </w:pPr>
      <w:bookmarkStart w:id="33" w:name="_Ref114668252"/>
      <w:r>
        <w:rPr>
          <w:color w:val="auto"/>
          <w:sz w:val="22"/>
          <w:szCs w:val="22"/>
        </w:rPr>
        <w:t xml:space="preserve">praticar ato lesivo previsto no </w:t>
      </w:r>
      <w:r>
        <w:fldChar w:fldCharType="begin"/>
      </w:r>
      <w:r>
        <w:rPr>
          <w:rStyle w:val="Hyperlink"/>
          <w:sz w:val="22"/>
          <w:szCs w:val="22"/>
          <w:color w:val="auto"/>
        </w:rPr>
        <w:instrText xml:space="preserve"> HYPERLINK "https://www.planalto.gov.br/ccivil_03/_ato2011-2014/2013/lei/l12846.htm" \l "art5"</w:instrText>
      </w:r>
      <w:r>
        <w:rPr>
          <w:rStyle w:val="Hyperlink"/>
          <w:sz w:val="22"/>
          <w:szCs w:val="22"/>
          <w:color w:val="auto"/>
        </w:rPr>
        <w:fldChar w:fldCharType="separate"/>
      </w:r>
      <w:r>
        <w:rPr>
          <w:rStyle w:val="Hyperlink"/>
          <w:color w:val="auto"/>
          <w:sz w:val="22"/>
          <w:szCs w:val="22"/>
        </w:rPr>
        <w:t>art. 5º da Lei n.º 12.846, de 2013</w:t>
      </w:r>
      <w:r>
        <w:rPr>
          <w:rStyle w:val="Hyperlink"/>
          <w:sz w:val="22"/>
          <w:szCs w:val="22"/>
          <w:color w:val="auto"/>
        </w:rPr>
        <w:fldChar w:fldCharType="end"/>
      </w:r>
      <w:r>
        <w:rPr>
          <w:color w:val="auto"/>
          <w:sz w:val="22"/>
          <w:szCs w:val="22"/>
        </w:rPr>
        <w:t>.</w:t>
      </w:r>
      <w:bookmarkEnd w:id="33"/>
    </w:p>
    <w:p>
      <w:pPr>
        <w:pStyle w:val="Nivel2"/>
        <w:numPr>
          <w:ilvl w:val="1"/>
          <w:numId w:val="4"/>
        </w:numPr>
        <w:spacing w:lineRule="auto" w:line="360" w:before="0" w:after="0"/>
        <w:ind w:hanging="0" w:left="0"/>
        <w:rPr>
          <w:color w:val="auto"/>
        </w:rPr>
      </w:pPr>
      <w:bookmarkStart w:id="34" w:name="_Hlk114652595"/>
      <w:bookmarkEnd w:id="34"/>
      <w:r>
        <w:rPr>
          <w:color w:val="auto"/>
          <w:sz w:val="22"/>
          <w:szCs w:val="22"/>
        </w:rPr>
        <w:t xml:space="preserve">Com fulcro na </w:t>
      </w:r>
      <w:hyperlink r:id="rId11">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0" w:left="567"/>
        <w:rPr>
          <w:color w:val="auto"/>
          <w:sz w:val="22"/>
          <w:szCs w:val="22"/>
        </w:rPr>
      </w:pPr>
      <w:r>
        <w:rPr>
          <w:color w:val="auto"/>
          <w:sz w:val="22"/>
          <w:szCs w:val="22"/>
        </w:rPr>
        <w:t xml:space="preserve">advertência; </w:t>
      </w:r>
    </w:p>
    <w:p>
      <w:pPr>
        <w:pStyle w:val="Nivel3"/>
        <w:numPr>
          <w:ilvl w:val="2"/>
          <w:numId w:val="4"/>
        </w:numPr>
        <w:spacing w:lineRule="auto" w:line="360" w:before="0" w:after="0"/>
        <w:ind w:hanging="0" w:left="567"/>
        <w:rPr>
          <w:color w:val="auto"/>
          <w:sz w:val="22"/>
          <w:szCs w:val="22"/>
        </w:rPr>
      </w:pPr>
      <w:r>
        <w:rPr>
          <w:color w:val="auto"/>
          <w:sz w:val="22"/>
          <w:szCs w:val="22"/>
        </w:rPr>
        <w:t>multa;</w:t>
      </w:r>
    </w:p>
    <w:p>
      <w:pPr>
        <w:pStyle w:val="Nivel3"/>
        <w:numPr>
          <w:ilvl w:val="2"/>
          <w:numId w:val="4"/>
        </w:numPr>
        <w:spacing w:lineRule="auto" w:line="360" w:before="0" w:after="0"/>
        <w:ind w:hanging="0" w:left="567"/>
        <w:rPr>
          <w:color w:val="auto"/>
          <w:sz w:val="22"/>
          <w:szCs w:val="22"/>
        </w:rPr>
      </w:pPr>
      <w:r>
        <w:rPr>
          <w:color w:val="auto"/>
          <w:sz w:val="22"/>
          <w:szCs w:val="22"/>
        </w:rPr>
        <w:t>impedimento de licitar e contratar e</w:t>
      </w:r>
    </w:p>
    <w:p>
      <w:pPr>
        <w:pStyle w:val="Nivel3"/>
        <w:numPr>
          <w:ilvl w:val="2"/>
          <w:numId w:val="4"/>
        </w:numPr>
        <w:spacing w:lineRule="auto" w:line="360" w:before="0" w:after="0"/>
        <w:ind w:hanging="0" w:left="567"/>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0" w:left="0"/>
        <w:rPr>
          <w:color w:val="auto"/>
          <w:sz w:val="22"/>
          <w:szCs w:val="22"/>
        </w:rPr>
      </w:pPr>
      <w:r>
        <w:rPr>
          <w:color w:val="auto"/>
          <w:sz w:val="22"/>
          <w:szCs w:val="22"/>
        </w:rPr>
        <w:t>Na aplicação das sanções serão considerados:</w:t>
      </w:r>
    </w:p>
    <w:p>
      <w:pPr>
        <w:pStyle w:val="Nivel3"/>
        <w:numPr>
          <w:ilvl w:val="2"/>
          <w:numId w:val="4"/>
        </w:numPr>
        <w:spacing w:lineRule="auto" w:line="360" w:before="0" w:after="0"/>
        <w:ind w:hanging="0" w:left="567"/>
        <w:rPr>
          <w:color w:val="auto"/>
          <w:sz w:val="22"/>
          <w:szCs w:val="22"/>
        </w:rPr>
      </w:pPr>
      <w:r>
        <w:rPr>
          <w:color w:val="auto"/>
          <w:sz w:val="22"/>
          <w:szCs w:val="22"/>
        </w:rPr>
        <w:t>a natureza e a gravidade da infração cometida.</w:t>
      </w:r>
    </w:p>
    <w:p>
      <w:pPr>
        <w:pStyle w:val="Nivel3"/>
        <w:numPr>
          <w:ilvl w:val="2"/>
          <w:numId w:val="4"/>
        </w:numPr>
        <w:spacing w:lineRule="auto" w:line="360" w:before="0" w:after="0"/>
        <w:ind w:hanging="0" w:left="567"/>
        <w:rPr>
          <w:color w:val="auto"/>
          <w:sz w:val="22"/>
          <w:szCs w:val="22"/>
        </w:rPr>
      </w:pPr>
      <w:r>
        <w:rPr>
          <w:color w:val="auto"/>
          <w:sz w:val="22"/>
          <w:szCs w:val="22"/>
        </w:rPr>
        <w:t>as peculiaridades do caso concreto</w:t>
      </w:r>
    </w:p>
    <w:p>
      <w:pPr>
        <w:pStyle w:val="Nivel3"/>
        <w:numPr>
          <w:ilvl w:val="2"/>
          <w:numId w:val="4"/>
        </w:numPr>
        <w:spacing w:lineRule="auto" w:line="360" w:before="0" w:after="0"/>
        <w:ind w:hanging="0" w:left="567"/>
        <w:rPr>
          <w:color w:val="auto"/>
          <w:sz w:val="22"/>
          <w:szCs w:val="22"/>
        </w:rPr>
      </w:pPr>
      <w:r>
        <w:rPr>
          <w:color w:val="auto"/>
          <w:sz w:val="22"/>
          <w:szCs w:val="22"/>
        </w:rPr>
        <w:t>as circunstâncias agravantes ou atenuantes</w:t>
      </w:r>
    </w:p>
    <w:p>
      <w:pPr>
        <w:pStyle w:val="Nivel3"/>
        <w:numPr>
          <w:ilvl w:val="2"/>
          <w:numId w:val="4"/>
        </w:numPr>
        <w:spacing w:lineRule="auto" w:line="360" w:before="0" w:after="0"/>
        <w:ind w:hanging="0" w:left="567"/>
        <w:rPr>
          <w:color w:val="auto"/>
          <w:sz w:val="22"/>
          <w:szCs w:val="22"/>
        </w:rPr>
      </w:pPr>
      <w:r>
        <w:rPr>
          <w:color w:val="auto"/>
          <w:sz w:val="22"/>
          <w:szCs w:val="22"/>
        </w:rPr>
        <w:t>os danos que dela provierem para a Administração Pública</w:t>
      </w:r>
    </w:p>
    <w:p>
      <w:pPr>
        <w:pStyle w:val="Nivel3"/>
        <w:numPr>
          <w:ilvl w:val="2"/>
          <w:numId w:val="4"/>
        </w:numPr>
        <w:spacing w:lineRule="auto" w:line="360" w:before="0" w:after="0"/>
        <w:ind w:hanging="0" w:left="567"/>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0" w:left="0"/>
        <w:rPr>
          <w:color w:val="auto"/>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pPr>
        <w:pStyle w:val="Nivel3"/>
        <w:numPr>
          <w:ilvl w:val="2"/>
          <w:numId w:val="4"/>
        </w:numPr>
        <w:spacing w:lineRule="auto" w:line="360" w:before="0" w:after="0"/>
        <w:ind w:hanging="0" w:left="0"/>
        <w:rPr>
          <w:color w:val="auto"/>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a multa será de 0,5% a 15% do valor do contrato licitado.</w:t>
      </w:r>
    </w:p>
    <w:p>
      <w:pPr>
        <w:pStyle w:val="Nivel3"/>
        <w:numPr>
          <w:ilvl w:val="2"/>
          <w:numId w:val="4"/>
        </w:numPr>
        <w:spacing w:lineRule="auto" w:line="360" w:before="0" w:after="0"/>
        <w:ind w:hanging="0" w:left="0"/>
        <w:rPr>
          <w:color w:val="auto"/>
        </w:rPr>
      </w:pPr>
      <w:bookmarkStart w:id="35" w:name="_Hlk113876035"/>
      <w:bookmarkEnd w:id="35"/>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a multa será de 15% a 30% do valor do contrato licitado.</w:t>
      </w:r>
    </w:p>
    <w:p>
      <w:pPr>
        <w:pStyle w:val="Nivel2"/>
        <w:numPr>
          <w:ilvl w:val="1"/>
          <w:numId w:val="4"/>
        </w:numPr>
        <w:spacing w:lineRule="auto" w:line="360" w:before="0" w:after="0"/>
        <w:ind w:hanging="0" w:lef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0" w:left="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0" w:left="0"/>
        <w:rPr>
          <w:color w:val="auto"/>
        </w:rPr>
      </w:pPr>
      <w:bookmarkStart w:id="36" w:name="_Hlk159229867"/>
      <w:bookmarkEnd w:id="36"/>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0" w:left="0"/>
        <w:rPr>
          <w:color w:val="auto"/>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auto"/>
        </w:rPr>
        <w:instrText xml:space="preserve"> HYPERLINK "http://www.planalto.gov.br/ccivil_03/_ato2019-2022/2021/lei/L14133.htm" \l "art156%C2%A75"</w:instrText>
      </w:r>
      <w:r>
        <w:rPr>
          <w:rStyle w:val="Hyperlink"/>
          <w:sz w:val="22"/>
          <w:szCs w:val="22"/>
          <w:color w:val="auto"/>
        </w:rPr>
        <w:fldChar w:fldCharType="separate"/>
      </w:r>
      <w:r>
        <w:rPr>
          <w:rStyle w:val="Hyperlink"/>
          <w:color w:val="auto"/>
          <w:sz w:val="22"/>
          <w:szCs w:val="22"/>
        </w:rPr>
        <w:t>art. 156, §5º, da Lei n.º 14.133/2021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auto"/>
            <w:sz w:val="22"/>
            <w:szCs w:val="22"/>
          </w:rPr>
          <w:t>art. 45, §4º da IN SEGES/ME n.º 73, de 2022</w:t>
        </w:r>
      </w:hyperlink>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0" w:lef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0" w:lef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0" w:lef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numPr>
          <w:ilvl w:val="1"/>
          <w:numId w:val="4"/>
        </w:numPr>
        <w:spacing w:lineRule="auto" w:line="360" w:before="0" w:after="0"/>
        <w:ind w:hanging="0" w:lef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IMPUGNAÇÃO AO EDITAL E DO PEDIDO DE ESCLARECIMENTO</w:t>
      </w:r>
    </w:p>
    <w:p>
      <w:pPr>
        <w:pStyle w:val="Nivel2"/>
        <w:numPr>
          <w:ilvl w:val="1"/>
          <w:numId w:val="4"/>
        </w:numPr>
        <w:spacing w:lineRule="auto" w:line="360" w:before="0" w:after="0"/>
        <w:ind w:hanging="0" w:left="0"/>
        <w:rPr>
          <w:color w:val="auto"/>
        </w:rPr>
      </w:pPr>
      <w:r>
        <w:rPr>
          <w:color w:val="auto"/>
          <w:sz w:val="22"/>
          <w:szCs w:val="22"/>
        </w:rPr>
        <w:t xml:space="preserve">Qualquer pessoa é parte legítima para impugnar este Edital por irregularidade na aplicação da </w:t>
      </w:r>
      <w:hyperlink r:id="rId13">
        <w:r>
          <w:rPr>
            <w:rStyle w:val="Hyperlink"/>
            <w:color w:val="auto"/>
            <w:sz w:val="22"/>
            <w:szCs w:val="22"/>
          </w:rPr>
          <w:t>Lei nº 14.133, de 2021</w:t>
        </w:r>
      </w:hyperlink>
      <w:r>
        <w:rPr>
          <w:color w:val="auto"/>
          <w:sz w:val="22"/>
          <w:szCs w:val="22"/>
        </w:rPr>
        <w:t>, devendo protocolar o pedido até 3 (cinco) dias úteis antes da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4"/>
        </w:numPr>
        <w:spacing w:lineRule="auto" w:line="360" w:before="0" w:after="0"/>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left="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DISPOSIÇÕES GERAIS</w:t>
      </w:r>
    </w:p>
    <w:p>
      <w:pPr>
        <w:pStyle w:val="Nivel2"/>
        <w:numPr>
          <w:ilvl w:val="1"/>
          <w:numId w:val="4"/>
        </w:numPr>
        <w:spacing w:lineRule="auto" w:line="360" w:before="0" w:after="0"/>
        <w:ind w:hanging="0" w:left="0"/>
        <w:rPr>
          <w:color w:val="auto"/>
          <w:sz w:val="22"/>
          <w:szCs w:val="22"/>
        </w:rPr>
      </w:pPr>
      <w:r>
        <w:rPr>
          <w:color w:val="auto"/>
          <w:sz w:val="22"/>
          <w:szCs w:val="22"/>
        </w:rPr>
        <w:t>Será divulgada ata da sessão pública no sistema eletrônico.</w:t>
      </w:r>
    </w:p>
    <w:p>
      <w:pPr>
        <w:pStyle w:val="Nivel2"/>
        <w:numPr>
          <w:ilvl w:val="1"/>
          <w:numId w:val="4"/>
        </w:numPr>
        <w:spacing w:lineRule="auto" w:line="360" w:before="0" w:after="0"/>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4"/>
        </w:numPr>
        <w:spacing w:lineRule="auto" w:line="360" w:before="0" w:after="0"/>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lef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left="0"/>
        <w:rPr>
          <w:color w:val="auto"/>
          <w:sz w:val="22"/>
          <w:szCs w:val="22"/>
        </w:rPr>
      </w:pPr>
      <w:r>
        <w:rPr>
          <w:color w:val="auto"/>
          <w:sz w:val="22"/>
          <w:szCs w:val="22"/>
        </w:rPr>
        <w:t>Integram este Edital, para todos os fins e efeitos, os seguintes anexos:</w:t>
      </w:r>
    </w:p>
    <w:p>
      <w:pPr>
        <w:pStyle w:val="Nivel3"/>
        <w:numPr>
          <w:ilvl w:val="2"/>
          <w:numId w:val="4"/>
        </w:numPr>
        <w:spacing w:lineRule="auto" w:line="360" w:before="0" w:after="0"/>
        <w:ind w:hanging="0" w:left="567"/>
        <w:rPr>
          <w:color w:val="auto"/>
          <w:sz w:val="22"/>
          <w:szCs w:val="22"/>
        </w:rPr>
      </w:pPr>
      <w:r>
        <w:rPr>
          <w:color w:val="auto"/>
          <w:sz w:val="22"/>
          <w:szCs w:val="22"/>
        </w:rPr>
        <w:t>ANEXO I - Termo de Referência</w:t>
      </w:r>
    </w:p>
    <w:p>
      <w:pPr>
        <w:pStyle w:val="Nivel3"/>
        <w:numPr>
          <w:ilvl w:val="2"/>
          <w:numId w:val="4"/>
        </w:numPr>
        <w:spacing w:lineRule="auto" w:line="360" w:before="0" w:after="0"/>
        <w:ind w:hanging="0" w:left="567" w:right="-54"/>
        <w:rPr>
          <w:color w:val="auto"/>
          <w:sz w:val="22"/>
          <w:szCs w:val="22"/>
        </w:rPr>
      </w:pPr>
      <w:r>
        <w:rPr>
          <w:color w:val="auto"/>
          <w:sz w:val="22"/>
          <w:szCs w:val="22"/>
        </w:rPr>
        <w:t>ANEXO II – Modelo de Procuração</w:t>
      </w:r>
    </w:p>
    <w:p>
      <w:pPr>
        <w:pStyle w:val="Nivel3"/>
        <w:numPr>
          <w:ilvl w:val="2"/>
          <w:numId w:val="4"/>
        </w:numPr>
        <w:spacing w:lineRule="auto" w:line="360" w:before="0" w:after="0"/>
        <w:ind w:hanging="0" w:left="567" w:right="-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hanging="0" w:left="567" w:right="-54"/>
        <w:rPr>
          <w:color w:val="auto"/>
          <w:sz w:val="22"/>
          <w:szCs w:val="22"/>
        </w:rPr>
      </w:pPr>
      <w:r>
        <w:rPr>
          <w:color w:val="auto"/>
          <w:sz w:val="22"/>
          <w:szCs w:val="22"/>
        </w:rPr>
        <w:t>ANEXO IV – Modelo de Declaração de qualificação microempresa ou empresa de pequeno porte</w:t>
      </w:r>
    </w:p>
    <w:p>
      <w:pPr>
        <w:pStyle w:val="Nivel3"/>
        <w:numPr>
          <w:ilvl w:val="2"/>
          <w:numId w:val="4"/>
        </w:numPr>
        <w:spacing w:lineRule="auto" w:line="360" w:before="0" w:after="0"/>
        <w:ind w:hanging="0" w:left="567"/>
        <w:rPr>
          <w:color w:val="auto"/>
          <w:sz w:val="22"/>
          <w:szCs w:val="22"/>
        </w:rPr>
      </w:pPr>
      <w:r>
        <w:rPr>
          <w:color w:val="auto"/>
          <w:sz w:val="22"/>
          <w:szCs w:val="22"/>
        </w:rPr>
        <w:t>ANEXO V – Modelo de Proposta</w:t>
      </w:r>
    </w:p>
    <w:p>
      <w:pPr>
        <w:pStyle w:val="Nivel3"/>
        <w:numPr>
          <w:ilvl w:val="2"/>
          <w:numId w:val="4"/>
        </w:numPr>
        <w:spacing w:lineRule="auto" w:line="360" w:before="0" w:after="0"/>
        <w:ind w:hanging="0" w:left="567"/>
        <w:rPr>
          <w:color w:val="auto"/>
          <w:sz w:val="22"/>
          <w:szCs w:val="22"/>
        </w:rPr>
      </w:pPr>
      <w:r>
        <w:rPr>
          <w:color w:val="auto"/>
          <w:sz w:val="22"/>
          <w:szCs w:val="22"/>
        </w:rPr>
        <w:t>ANEXO VI - Minuta de Ata de Registro de Preços</w:t>
      </w:r>
    </w:p>
    <w:p>
      <w:pPr>
        <w:pStyle w:val="Nivel3"/>
        <w:numPr>
          <w:ilvl w:val="2"/>
          <w:numId w:val="4"/>
        </w:numPr>
        <w:spacing w:lineRule="auto" w:line="360" w:before="0" w:after="0"/>
        <w:ind w:hanging="0" w:left="567"/>
        <w:rPr>
          <w:color w:val="auto"/>
          <w:sz w:val="22"/>
          <w:szCs w:val="22"/>
        </w:rPr>
      </w:pPr>
      <w:r>
        <w:rPr>
          <w:color w:val="auto"/>
          <w:sz w:val="22"/>
          <w:szCs w:val="22"/>
        </w:rPr>
        <w:t>ANEXO VII – Minuta de Ordem de Serviço</w:t>
      </w:r>
    </w:p>
    <w:p>
      <w:pPr>
        <w:pStyle w:val="Nivel3"/>
        <w:numPr>
          <w:ilvl w:val="2"/>
          <w:numId w:val="4"/>
        </w:numPr>
        <w:spacing w:lineRule="auto" w:line="360" w:before="0" w:after="0"/>
        <w:ind w:hanging="0" w:left="567"/>
        <w:rPr>
          <w:color w:val="auto"/>
          <w:sz w:val="22"/>
          <w:szCs w:val="22"/>
        </w:rPr>
      </w:pPr>
      <w:r>
        <w:rPr>
          <w:color w:val="auto"/>
          <w:sz w:val="22"/>
          <w:szCs w:val="22"/>
        </w:rPr>
        <w:t>ANEXO VIII – Minuta de Contrato</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Itatiba, 04 de março de 2026.</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color w:val="222222"/>
          <w:sz w:val="22"/>
          <w:szCs w:val="22"/>
        </w:rPr>
        <w:t>LUIS SOARES DE CAMARGO</w:t>
      </w:r>
    </w:p>
    <w:p>
      <w:pPr>
        <w:pStyle w:val="Normal"/>
        <w:spacing w:lineRule="auto" w:line="276"/>
        <w:jc w:val="center"/>
        <w:rPr>
          <w:rFonts w:ascii="Arial" w:hAnsi="Arial" w:cs="Arial"/>
          <w:b/>
          <w:bCs/>
          <w:sz w:val="22"/>
          <w:szCs w:val="22"/>
        </w:rPr>
      </w:pPr>
      <w:r>
        <w:rPr>
          <w:rFonts w:cs="Arial" w:ascii="Arial" w:hAnsi="Arial"/>
          <w:b/>
          <w:bCs/>
          <w:color w:val="222222"/>
          <w:sz w:val="22"/>
          <w:szCs w:val="22"/>
        </w:rPr>
        <w:t>Secretário Municipal de Cultura e Turismo</w:t>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b/>
          <w:bCs/>
          <w:sz w:val="22"/>
          <w:szCs w:val="22"/>
        </w:rPr>
      </w:pPr>
      <w:r>
        <w:rPr>
          <w:b/>
          <w:bCs/>
          <w:sz w:val="22"/>
          <w:szCs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10/2026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14/2026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1.575/2026</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ivel01"/>
        <w:numPr>
          <w:ilvl w:val="0"/>
          <w:numId w:val="7"/>
        </w:numPr>
        <w:spacing w:lineRule="auto" w:line="360" w:before="0" w:after="0"/>
        <w:ind w:hanging="0" w:left="0"/>
        <w:rPr>
          <w:sz w:val="22"/>
          <w:szCs w:val="22"/>
        </w:rPr>
      </w:pPr>
      <w:r>
        <w:rPr>
          <w:sz w:val="22"/>
          <w:szCs w:val="22"/>
        </w:rPr>
        <w:t>CONDIÇÕES GERAIS DA CONTRATAÇÃO</w:t>
      </w:r>
    </w:p>
    <w:p>
      <w:pPr>
        <w:pStyle w:val="Nivel2"/>
        <w:numPr>
          <w:ilvl w:val="1"/>
          <w:numId w:val="8"/>
        </w:numPr>
        <w:spacing w:lineRule="auto" w:line="360" w:before="0" w:after="0"/>
        <w:ind w:hanging="0" w:left="0"/>
        <w:rPr>
          <w:color w:val="auto"/>
        </w:rPr>
      </w:pPr>
      <w:r>
        <w:rPr>
          <w:color w:val="auto"/>
          <w:sz w:val="22"/>
          <w:szCs w:val="22"/>
        </w:rPr>
        <w:t>- Constitui objeto deste Termo de Referência o Registro de Preços com vistas à eventual Contratação de serviços de som, de acordo com as especificações, quantitativos máximos e condições mínimas abaixo apresentadas.</w:t>
      </w:r>
    </w:p>
    <w:p>
      <w:pPr>
        <w:pStyle w:val="Nivel2"/>
        <w:tabs>
          <w:tab w:val="clear" w:pos="0"/>
        </w:tabs>
        <w:spacing w:lineRule="auto" w:line="360" w:before="0" w:after="0"/>
        <w:ind w:hanging="0" w:left="0"/>
        <w:rPr>
          <w:color w:val="auto"/>
        </w:rPr>
      </w:pPr>
      <w:r>
        <w:rPr>
          <w:color w:val="auto"/>
        </w:rPr>
      </w:r>
    </w:p>
    <w:p>
      <w:pPr>
        <w:pStyle w:val="Normal"/>
        <w:jc w:val="both"/>
        <w:rPr>
          <w:rFonts w:ascii="Arial Narrow" w:hAnsi="Arial Narrow"/>
          <w:sz w:val="18"/>
          <w:szCs w:val="36"/>
        </w:rPr>
      </w:pPr>
      <w:r>
        <w:rPr>
          <w:rFonts w:ascii="Arial Narrow" w:hAnsi="Arial Narrow"/>
          <w:sz w:val="18"/>
          <w:szCs w:val="36"/>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970"/>
        <w:gridCol w:w="1134"/>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397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3970"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2.03.03.0425-0 - P.A. E LUZ MÉDIO PORTE</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5.909,50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88.642,50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 E LUZ MÉDIO PORTE Montagem em palco com estrutura fly e housemix P.A. Line Array, configuração mínima 6 células por lado totalizando 12 caixas. As caixas deverão conter como configuração mínima dois falantes de 12" e drivers totalizando 1000W, 04 Subwoofers por lado totalizando 08 caixas com configuração mínima de 02 falantes de 18" e 2000W cada caixa. Amplificação e processamento condizente com o sistema.02 Consoles Digitais 48 canais "in" e no mínimo 16 auxiliares (Yamaha ou similar superior)01 Player com repertório de músicas variadas.Monitor.01 Bateria Completa01 Amplificador para Guitarra Marshall, Fender ou similar superior com dois falantes de 10" mínimo01 Amplificador para Baixo completo com as duas caixas, Gallien, Hartkey ou similar superior06 praticáveis pantográficos12 Monitores SM400 ou superior, devidamente amplificados01 Side Fill duplo 4 KF850 e 4 SB850 ou similar superior24 Pedestais de Mic08 Garras Clamp12 Direct Box32 Microfones Diversos, Shure, Senheiser, Akg ou similar superior08 Microfones específicos para captação de coral12 Microfones com fio para captação de instrumentos diversos (condenser para sopro, palheta, cordas etc) AKG 451 ou KM184, SHURE SM57, SM81 e similar superior.04 Headset04 Microfones sem fio UHF multicanal Shure, Senheiser, Akg ou similar superior.Iluminação.01 Grid em treliça Q30 Linha Pesada de no mínimo 8m x6m a 10m x 8m com 5m de altura(Devidamente aterrado)32 Canhões Par Led, com 12 Leds de 3Watts cada02 Mini-Brut com 6 lampadas03 Strobo Atomic 300012 Moving Head Bean 20002 Máquinas de Fumaça 1000W01 Mesa de iluminação Avolites ou similar superior01 Cortina de led nas medidas 6mx4m DMX ou compatível com tamanho de fundo 01 Cortina preta para fundo de palco02 Araras com 6 Par 64 "quente" por lado01 Pró Power - Luz01 Main Power - Som01 Rack Dimmer02 Extintores de incêndio Classe ABC com carga mínima de 8KG cada. Equipe mínima: 03 técnicos de Som/Luz e 02 ajudantes de palco. O contratado deverá providenciar a ART de seu equipamento, confeccionada por um Engenheiro Eletricista. Necessário ter na equipe integrantes com certificação NR35(trabalho em altura) devidamente equipados com EPI para montagens em altura.</w:t>
            </w:r>
          </w:p>
        </w:tc>
      </w:tr>
    </w:tbl>
    <w:p>
      <w:pPr>
        <w:pStyle w:val="Nivel2"/>
        <w:tabs>
          <w:tab w:val="clear" w:pos="0"/>
        </w:tabs>
        <w:spacing w:lineRule="auto" w:line="360" w:before="0" w:after="0"/>
        <w:ind w:hanging="0" w:left="0"/>
        <w:rPr>
          <w:color w:val="auto"/>
        </w:rPr>
      </w:pPr>
      <w:r>
        <w:rPr>
          <w:color w:val="auto"/>
        </w:rPr>
      </w:r>
    </w:p>
    <w:p>
      <w:pPr>
        <w:pStyle w:val="Nivel2"/>
        <w:tabs>
          <w:tab w:val="clear" w:pos="0"/>
        </w:tabs>
        <w:spacing w:lineRule="auto" w:line="360" w:before="0" w:after="0"/>
        <w:ind w:hanging="0" w:left="0"/>
        <w:rPr>
          <w:color w:val="auto"/>
        </w:rPr>
      </w:pPr>
      <w:r>
        <w:rPr>
          <w:color w:val="auto"/>
        </w:rPr>
      </w:r>
    </w:p>
    <w:p>
      <w:pPr>
        <w:pStyle w:val="Standard"/>
        <w:numPr>
          <w:ilvl w:val="0"/>
          <w:numId w:val="5"/>
        </w:numPr>
        <w:spacing w:lineRule="auto" w:line="360" w:before="0" w:after="0"/>
        <w:jc w:val="both"/>
        <w:rPr>
          <w:rFonts w:ascii="Arial" w:hAnsi="Arial" w:cs="Arial"/>
          <w:b/>
          <w:bCs/>
        </w:rPr>
      </w:pPr>
      <w:r>
        <w:rPr>
          <w:rFonts w:cs="Arial" w:ascii="Arial" w:hAnsi="Arial"/>
          <w:b/>
          <w:bCs/>
        </w:rPr>
        <w:t xml:space="preserve">– </w:t>
      </w:r>
      <w:r>
        <w:rPr>
          <w:rFonts w:cs="Arial" w:ascii="Arial" w:hAnsi="Arial"/>
          <w:b/>
          <w:bCs/>
        </w:rPr>
        <w:t>ESPECIFICAÇÃO DA CONTRATAÇÃO</w:t>
      </w:r>
    </w:p>
    <w:p>
      <w:pPr>
        <w:pStyle w:val="ListParagraph"/>
        <w:numPr>
          <w:ilvl w:val="1"/>
          <w:numId w:val="5"/>
        </w:numPr>
        <w:spacing w:lineRule="auto" w:line="360" w:before="0" w:after="0"/>
        <w:jc w:val="both"/>
        <w:rPr>
          <w:rFonts w:ascii="Arial" w:hAnsi="Arial" w:cs="Arial"/>
        </w:rPr>
      </w:pPr>
      <w:r>
        <w:rPr>
          <w:rFonts w:cs="Arial" w:ascii="Arial" w:hAnsi="Arial"/>
        </w:rPr>
        <w:t xml:space="preserve">– </w:t>
      </w:r>
      <w:r>
        <w:rPr>
          <w:rFonts w:cs="Arial" w:ascii="Arial" w:hAnsi="Arial"/>
        </w:rPr>
        <w:t>O item deve atender os parâmetros da ITCB nº 12/11.</w:t>
      </w:r>
    </w:p>
    <w:p>
      <w:pPr>
        <w:pStyle w:val="Normal"/>
        <w:spacing w:lineRule="auto" w:line="360"/>
        <w:jc w:val="both"/>
        <w:rPr>
          <w:rFonts w:ascii="Arial" w:hAnsi="Arial" w:cs="Arial"/>
          <w:sz w:val="22"/>
          <w:szCs w:val="22"/>
        </w:rPr>
      </w:pPr>
      <w:r>
        <w:rPr>
          <w:rFonts w:cs="Arial" w:ascii="Arial" w:hAnsi="Arial"/>
          <w:sz w:val="22"/>
          <w:szCs w:val="22"/>
        </w:rPr>
        <w:t xml:space="preserve">2.2-  As contratações decorrentes da ata de registro de preços serão formalizadas por Contrato ou Ordem de Serviço (OS). O quantitativo solicitado será utilizado para as Festas do Caqui e São Pedro deste ano de 2026, ou para outra festa oficial desta Municipalidade que ocorra dentro do prazo de 12 (doze) meses e poderá ser prorrogado, por igual período, bem como as quantidades iniciais por tratar-se de previsão para doze meses. </w:t>
      </w:r>
    </w:p>
    <w:p>
      <w:pPr>
        <w:pStyle w:val="ListParagraph"/>
        <w:spacing w:lineRule="auto" w:line="360" w:before="0" w:after="0"/>
        <w:ind w:left="0"/>
        <w:jc w:val="both"/>
        <w:rPr>
          <w:rFonts w:ascii="Arial" w:hAnsi="Arial" w:cs="Arial"/>
        </w:rPr>
      </w:pPr>
      <w:r>
        <w:rPr>
          <w:rFonts w:cs="Arial" w:ascii="Arial" w:hAnsi="Arial"/>
        </w:rPr>
        <w:t>2.3 – Tendo em vista que as contratações em questão, tratam-se de serviços, a equipe designada pela contratada para execução deverá estar sempre uniformizada de modo que seja facilmente identificada e em hipótese alguma poderá dar acesso as áreas restritas de quaisquer eventos para amigos, familiares e ou conhecidos.</w:t>
      </w:r>
    </w:p>
    <w:p>
      <w:pPr>
        <w:pStyle w:val="ListParagraph"/>
        <w:spacing w:lineRule="auto" w:line="360" w:before="0" w:after="0"/>
        <w:ind w:left="0"/>
        <w:jc w:val="both"/>
        <w:rPr>
          <w:rFonts w:ascii="Arial" w:hAnsi="Arial" w:cs="Arial"/>
        </w:rPr>
      </w:pPr>
      <w:r>
        <w:rPr>
          <w:rFonts w:cs="Arial" w:ascii="Arial" w:hAnsi="Arial"/>
        </w:rPr>
        <w:t xml:space="preserve">2.4 – A contratada é responsável por reparar, corrigir, substituir qualquer equipamento imediatamente, assim como atenuar qualquer adversidade com a mão de obra que por ventura ocorra durante a realização do serviço. Fica ainda a cargo da contratada toda a responsabilidade de alimentação, hidratação, honorários e encargos com a equipe prestadora dos serviços possa necessitar. </w:t>
      </w:r>
    </w:p>
    <w:p>
      <w:pPr>
        <w:pStyle w:val="ListParagraph"/>
        <w:spacing w:lineRule="auto" w:line="360" w:before="0" w:after="0"/>
        <w:ind w:left="0"/>
        <w:jc w:val="both"/>
        <w:rPr>
          <w:rFonts w:ascii="Arial" w:hAnsi="Arial" w:cs="Arial"/>
          <w:b/>
          <w:bCs/>
        </w:rPr>
      </w:pPr>
      <w:r>
        <w:rPr>
          <w:rFonts w:cs="Arial" w:ascii="Arial" w:hAnsi="Arial"/>
          <w:b/>
          <w:bCs/>
        </w:rPr>
      </w:r>
    </w:p>
    <w:p>
      <w:pPr>
        <w:pStyle w:val="ListParagraph"/>
        <w:spacing w:lineRule="auto" w:line="360" w:before="0" w:after="0"/>
        <w:ind w:left="0"/>
        <w:jc w:val="both"/>
        <w:rPr>
          <w:rFonts w:ascii="Arial" w:hAnsi="Arial" w:cs="Arial"/>
          <w:b/>
          <w:bCs/>
        </w:rPr>
      </w:pPr>
      <w:r>
        <w:rPr>
          <w:rFonts w:cs="Arial" w:ascii="Arial" w:hAnsi="Arial"/>
          <w:b/>
          <w:bCs/>
        </w:rPr>
        <w:t>3 – PRAZO E LOCAL DE ENTREGA</w:t>
      </w:r>
    </w:p>
    <w:p>
      <w:pPr>
        <w:pStyle w:val="Corpodetexto21"/>
        <w:spacing w:lineRule="auto" w:line="360" w:before="0" w:after="0"/>
        <w:jc w:val="both"/>
        <w:rPr>
          <w:sz w:val="22"/>
          <w:szCs w:val="22"/>
        </w:rPr>
      </w:pPr>
      <w:r>
        <w:rPr>
          <w:rFonts w:cs="Arial" w:ascii="Arial" w:hAnsi="Arial"/>
          <w:sz w:val="22"/>
          <w:szCs w:val="22"/>
        </w:rPr>
        <w:t>3.1 - Os quantitativos totais expressos neste Anexo, são estimados e representa a previsão da Secretaria requisitante, pelo prazo de 12 (doze) meses e poderá ser prorrogado, por igual período, bem como as quantidades iniciais por tratar-se de previsão para doze meses.</w:t>
      </w:r>
    </w:p>
    <w:p>
      <w:pPr>
        <w:pStyle w:val="Normal"/>
        <w:widowControl w:val="false"/>
        <w:tabs>
          <w:tab w:val="clear" w:pos="709"/>
          <w:tab w:val="center" w:pos="5405" w:leader="none"/>
          <w:tab w:val="right" w:pos="10715" w:leader="none"/>
        </w:tabs>
        <w:spacing w:lineRule="auto" w:line="360"/>
        <w:jc w:val="both"/>
        <w:rPr>
          <w:rFonts w:ascii="Arial" w:hAnsi="Arial" w:eastAsia="@Arial Unicode MS" w:cs="Arial"/>
          <w:sz w:val="22"/>
          <w:szCs w:val="22"/>
        </w:rPr>
      </w:pPr>
      <w:r>
        <w:rPr>
          <w:rFonts w:cs="Arial" w:ascii="Arial" w:hAnsi="Arial"/>
          <w:sz w:val="22"/>
          <w:szCs w:val="22"/>
        </w:rPr>
        <w:t xml:space="preserve">3.2 - </w:t>
      </w:r>
      <w:r>
        <w:rPr>
          <w:rFonts w:eastAsia="@Arial Unicode MS" w:cs="Arial" w:ascii="Arial" w:hAnsi="Arial"/>
          <w:sz w:val="22"/>
          <w:szCs w:val="22"/>
        </w:rPr>
        <w:t>A execução do objeto efetivamente contratado deverá estar testado e pronto pra uso com no mínimo 3 (três) horas antes do horário marcado para início do evento, com a presença de um Técnico de Áudio Profissional e um técnico de luz profissional que estará disponível durante todo o evento, a depender do serviço solicitado.</w:t>
      </w:r>
    </w:p>
    <w:p>
      <w:pPr>
        <w:pStyle w:val="Normal"/>
        <w:widowControl w:val="false"/>
        <w:tabs>
          <w:tab w:val="clear" w:pos="709"/>
          <w:tab w:val="center" w:pos="5405" w:leader="none"/>
          <w:tab w:val="right" w:pos="10715" w:leader="none"/>
        </w:tabs>
        <w:spacing w:lineRule="auto" w:line="360"/>
        <w:jc w:val="both"/>
        <w:rPr>
          <w:rFonts w:ascii="Arial" w:hAnsi="Arial" w:eastAsia="@Arial Unicode MS" w:cs="Arial"/>
          <w:sz w:val="22"/>
          <w:szCs w:val="22"/>
        </w:rPr>
      </w:pPr>
      <w:r>
        <w:rPr>
          <w:rFonts w:eastAsia="@Arial Unicode MS" w:cs="Arial" w:ascii="Arial" w:hAnsi="Arial"/>
          <w:sz w:val="22"/>
          <w:szCs w:val="22"/>
        </w:rPr>
        <w:t>3.3 – Considerando também que toda infraestrutura para o funcionamento do equipamento como cabos de energia, cabos de sinal, e demais é de total responsabilidade da empresa vencedora do certame. A empresa, ainda, deverá apresentar equipamentos em bom estado, tanto de conservação quanto de funcionamento.</w:t>
      </w:r>
    </w:p>
    <w:p>
      <w:pPr>
        <w:pStyle w:val="Normal"/>
        <w:widowControl w:val="false"/>
        <w:tabs>
          <w:tab w:val="clear" w:pos="709"/>
          <w:tab w:val="center" w:pos="5405" w:leader="none"/>
          <w:tab w:val="right" w:pos="10715" w:leader="none"/>
        </w:tabs>
        <w:spacing w:lineRule="auto" w:line="360"/>
        <w:jc w:val="both"/>
        <w:rPr>
          <w:rFonts w:ascii="Arial" w:hAnsi="Arial" w:eastAsia="@Arial Unicode MS" w:cs="Arial"/>
          <w:sz w:val="22"/>
          <w:szCs w:val="22"/>
        </w:rPr>
      </w:pPr>
      <w:r>
        <w:rPr>
          <w:rFonts w:eastAsia="@Arial Unicode MS" w:cs="Arial" w:ascii="Arial" w:hAnsi="Arial"/>
          <w:sz w:val="22"/>
          <w:szCs w:val="22"/>
        </w:rPr>
        <w:t>3.4 – As contratações decorrentes de ata de registro de preços serão formalizadas por contrato ou Ordem de Serviço (OS).</w:t>
      </w:r>
    </w:p>
    <w:p>
      <w:pPr>
        <w:pStyle w:val="Normal"/>
        <w:widowControl w:val="false"/>
        <w:tabs>
          <w:tab w:val="clear" w:pos="709"/>
          <w:tab w:val="center" w:pos="5405" w:leader="none"/>
          <w:tab w:val="right" w:pos="10715" w:leader="none"/>
        </w:tabs>
        <w:spacing w:lineRule="auto" w:line="360"/>
        <w:jc w:val="both"/>
        <w:rPr>
          <w:rFonts w:ascii="Arial" w:hAnsi="Arial" w:eastAsia="@Arial Unicode MS" w:cs="Arial"/>
          <w:sz w:val="22"/>
          <w:szCs w:val="22"/>
        </w:rPr>
      </w:pPr>
      <w:r>
        <w:rPr>
          <w:rFonts w:eastAsia="@Arial Unicode MS" w:cs="Arial" w:ascii="Arial" w:hAnsi="Arial"/>
          <w:sz w:val="22"/>
          <w:szCs w:val="22"/>
        </w:rPr>
        <w:t>3.5 – Deverão ser apresentadas todas as respectivas ART’s, quando solicitadas, referentes aos materiais utilizados, as guias devidamente recolhidas, do engenheiro responsável e todos os itens contratados.</w:t>
      </w:r>
    </w:p>
    <w:p>
      <w:pPr>
        <w:pStyle w:val="Normal"/>
        <w:widowControl w:val="false"/>
        <w:tabs>
          <w:tab w:val="clear" w:pos="709"/>
          <w:tab w:val="center" w:pos="5405" w:leader="none"/>
          <w:tab w:val="right" w:pos="10715" w:leader="none"/>
        </w:tabs>
        <w:spacing w:lineRule="auto" w:line="360"/>
        <w:jc w:val="both"/>
        <w:rPr>
          <w:rFonts w:ascii="Arial" w:hAnsi="Arial" w:cs="Arial"/>
          <w:sz w:val="22"/>
          <w:szCs w:val="22"/>
        </w:rPr>
      </w:pPr>
      <w:r>
        <w:rPr>
          <w:rFonts w:eastAsia="@Arial Unicode MS" w:cs="Arial" w:ascii="Arial" w:hAnsi="Arial"/>
          <w:sz w:val="22"/>
          <w:szCs w:val="22"/>
        </w:rPr>
        <w:t xml:space="preserve">3.6 – </w:t>
      </w:r>
      <w:r>
        <w:rPr>
          <w:rFonts w:eastAsia="@Arial Unicode MS" w:cs="Arial" w:ascii="Arial" w:hAnsi="Arial"/>
          <w:b/>
          <w:bCs/>
          <w:sz w:val="22"/>
          <w:szCs w:val="22"/>
        </w:rPr>
        <w:t>Equipamentos defeituosos deverão ser substituídos imediatamente a ponto de não prejudicarem o evento.</w:t>
      </w:r>
    </w:p>
    <w:p>
      <w:pPr>
        <w:pStyle w:val="ListParagraph"/>
        <w:spacing w:lineRule="auto" w:line="360" w:before="0" w:after="0"/>
        <w:ind w:left="0"/>
        <w:jc w:val="both"/>
        <w:rPr>
          <w:rFonts w:ascii="Arial" w:hAnsi="Arial" w:cs="Arial"/>
        </w:rPr>
      </w:pPr>
      <w:r>
        <w:rPr>
          <w:rFonts w:cs="Arial" w:ascii="Arial" w:hAnsi="Arial"/>
        </w:rPr>
      </w:r>
    </w:p>
    <w:p>
      <w:pPr>
        <w:pStyle w:val="Nivel01"/>
        <w:numPr>
          <w:ilvl w:val="0"/>
          <w:numId w:val="0"/>
        </w:numPr>
        <w:spacing w:lineRule="auto" w:line="360" w:before="0" w:after="0"/>
        <w:ind w:hanging="0" w:left="0"/>
        <w:rPr>
          <w:sz w:val="22"/>
          <w:szCs w:val="22"/>
        </w:rPr>
      </w:pPr>
      <w:r>
        <w:rPr>
          <w:sz w:val="22"/>
          <w:szCs w:val="22"/>
        </w:rPr>
        <w:t>4- CRITÉRIOS DE PAGAMENTO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4.1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4.2 Os pagamentos serão realizados mediante procedimento bancário, em conta do fornecedor contratado.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4.3 Havendo erro na NFe ou descumprimento das condições pactuadas, a tramitação da NFe será suspensa para que a Contratada adote as providências necessárias à sua correção. Passará a ser considerada, para efeito de pagamento, a data do aceite da NFe, reapresentada nos mesmos termos do item 4.1. </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4.4 Quaisquer pagamentos não isentarão a Contratada das responsabilidades contratuais. </w:t>
      </w:r>
    </w:p>
    <w:p>
      <w:pPr>
        <w:pStyle w:val="Normal"/>
        <w:tabs>
          <w:tab w:val="clear" w:pos="709"/>
          <w:tab w:val="left" w:pos="1620"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spacing w:lineRule="auto" w:line="360"/>
        <w:jc w:val="both"/>
        <w:rPr/>
      </w:pPr>
      <w:bookmarkStart w:id="37" w:name="_Hlk82471863"/>
      <w:bookmarkEnd w:id="37"/>
      <w:r>
        <w:rPr>
          <w:rFonts w:eastAsia="Arial" w:cs="Arial" w:ascii="Arial" w:hAnsi="Arial"/>
          <w:b/>
          <w:color w:val="000000"/>
          <w:sz w:val="22"/>
          <w:szCs w:val="22"/>
        </w:rPr>
        <w:t>5 - OBRIGAÇÕES DA CONTRATANTE</w:t>
      </w:r>
    </w:p>
    <w:p>
      <w:pPr>
        <w:pStyle w:val="Normal"/>
        <w:spacing w:lineRule="auto" w:line="360"/>
        <w:jc w:val="both"/>
        <w:rPr/>
      </w:pPr>
      <w:r>
        <w:rPr>
          <w:rFonts w:eastAsia="Arial" w:cs="Arial" w:ascii="Arial" w:hAnsi="Arial"/>
          <w:color w:val="000000"/>
          <w:sz w:val="22"/>
          <w:szCs w:val="22"/>
        </w:rPr>
        <w:t>5.1 -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suppressAutoHyphens w:val="true"/>
        <w:spacing w:lineRule="auto" w:line="360" w:before="0" w:after="0"/>
        <w:ind w:hanging="0" w:lef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left="0"/>
        <w:jc w:val="both"/>
        <w:rPr>
          <w:rFonts w:ascii="Arial" w:hAnsi="Arial" w:eastAsia="Arial" w:cs="Arial"/>
          <w:b/>
          <w:color w:val="000000"/>
        </w:rPr>
      </w:pPr>
      <w:r>
        <w:rPr>
          <w:rFonts w:eastAsia="Arial" w:cs="Arial" w:ascii="Arial" w:hAnsi="Arial"/>
          <w:b/>
          <w:color w:val="000000"/>
        </w:rPr>
      </w:r>
    </w:p>
    <w:p>
      <w:pPr>
        <w:pStyle w:val="ListParagraph"/>
        <w:widowControl w:val="false"/>
        <w:tabs>
          <w:tab w:val="left" w:pos="709" w:leader="none"/>
        </w:tabs>
        <w:spacing w:lineRule="auto" w:line="360" w:before="0" w:after="0"/>
        <w:ind w:left="0"/>
        <w:jc w:val="both"/>
        <w:rPr/>
      </w:pPr>
      <w:r>
        <w:rPr>
          <w:rFonts w:eastAsia="Arial" w:cs="Arial" w:ascii="Arial" w:hAnsi="Arial"/>
          <w:b/>
          <w:color w:val="000000"/>
        </w:rPr>
        <w:t>6- DAS OBRIGAÇÕES DA CONTRATADA</w:t>
      </w:r>
    </w:p>
    <w:p>
      <w:pPr>
        <w:pStyle w:val="ListParagraph"/>
        <w:spacing w:lineRule="auto" w:line="360" w:before="0" w:after="0"/>
        <w:ind w:lef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pPr>
      <w:r>
        <w:rPr>
          <w:rFonts w:eastAsia="Arial" w:cs="Arial" w:ascii="Arial" w:hAnsi="Arial"/>
          <w:color w:val="000000"/>
        </w:rPr>
        <w:t>b) - Responsabilizar-se pelos vícios e danos decorrentes do objeto, de acordo com o Código de Defesa do Consumidor (</w:t>
      </w:r>
      <w:hyperlink r:id="rId14">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before="0" w:after="0"/>
        <w:ind w:lef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360"/>
        <w:jc w:val="both"/>
        <w:rPr/>
      </w:pPr>
      <w:r>
        <w:rPr>
          <w:rFonts w:eastAsia="Arial" w:cs="Arial" w:ascii="Arial" w:hAnsi="Arial"/>
          <w:b/>
          <w:color w:val="000000"/>
          <w:sz w:val="22"/>
          <w:szCs w:val="22"/>
        </w:rPr>
        <w:t>9 - GARANTIA CONTRATUAL</w:t>
      </w:r>
    </w:p>
    <w:p>
      <w:pPr>
        <w:pStyle w:val="Normal"/>
        <w:spacing w:lineRule="auto" w:line="360"/>
        <w:jc w:val="both"/>
        <w:rPr/>
      </w:pPr>
      <w:r>
        <w:rPr>
          <w:rFonts w:eastAsia="Arial" w:cs="Arial" w:ascii="Arial" w:hAnsi="Arial"/>
          <w:color w:val="000000"/>
          <w:sz w:val="22"/>
          <w:szCs w:val="22"/>
        </w:rPr>
        <w:t>9.1 -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pPr>
      <w:r>
        <w:rPr>
          <w:rFonts w:cs="Arial" w:ascii="Arial" w:hAnsi="Arial"/>
          <w:b/>
          <w:sz w:val="22"/>
          <w:szCs w:val="22"/>
        </w:rPr>
        <w:t>10 – SANÇÕES</w:t>
      </w:r>
    </w:p>
    <w:p>
      <w:pPr>
        <w:pStyle w:val="Nivel2"/>
        <w:tabs>
          <w:tab w:val="clear" w:pos="0"/>
        </w:tabs>
        <w:spacing w:lineRule="auto" w:line="360" w:before="0" w:after="0"/>
        <w:ind w:hanging="0" w:left="0"/>
        <w:rPr/>
      </w:pPr>
      <w:r>
        <w:rPr>
          <w:sz w:val="22"/>
          <w:szCs w:val="22"/>
        </w:rPr>
        <w:t xml:space="preserve">10.1 - Comete infração administrativa, nos termos da </w:t>
      </w:r>
      <w:hyperlink r:id="rId15">
        <w:r>
          <w:rPr>
            <w:rStyle w:val="Hyperlink"/>
            <w:szCs w:val="22"/>
          </w:rPr>
          <w:t>Lei nº 14.133, de 2021</w:t>
        </w:r>
      </w:hyperlink>
      <w:r>
        <w:rPr>
          <w:sz w:val="22"/>
          <w:szCs w:val="22"/>
        </w:rPr>
        <w:t>, o contratado que:</w:t>
      </w:r>
    </w:p>
    <w:p>
      <w:pPr>
        <w:pStyle w:val="Normal"/>
        <w:tabs>
          <w:tab w:val="clear" w:pos="709"/>
          <w:tab w:val="left" w:pos="0" w:leader="none"/>
        </w:tabs>
        <w:spacing w:lineRule="auto" w:line="360"/>
        <w:jc w:val="both"/>
        <w:rPr/>
      </w:pPr>
      <w:r>
        <w:rPr>
          <w:rFonts w:eastAsia="Arial" w:cs="Arial" w:ascii="Arial" w:hAnsi="Arial"/>
          <w:sz w:val="22"/>
          <w:szCs w:val="22"/>
        </w:rPr>
        <w:t>a) der causa à inexecução parcial do contrato;</w:t>
      </w:r>
    </w:p>
    <w:p>
      <w:pPr>
        <w:pStyle w:val="Normal"/>
        <w:tabs>
          <w:tab w:val="clear" w:pos="709"/>
          <w:tab w:val="left" w:pos="0" w:leader="none"/>
        </w:tabs>
        <w:spacing w:lineRule="auto" w:line="360"/>
        <w:jc w:val="both"/>
        <w:rPr/>
      </w:pPr>
      <w:r>
        <w:rPr>
          <w:rFonts w:eastAsia="Arial" w:cs="Arial" w:ascii="Arial" w:hAnsi="Arial"/>
          <w:sz w:val="22"/>
          <w:szCs w:val="22"/>
        </w:rPr>
        <w:t>b) der causa à inexecução parcial do contrato que cause grave dano à Administração ou ao funcionamento dos serviços públicos ou ao interesse coletivo;</w:t>
      </w:r>
    </w:p>
    <w:p>
      <w:pPr>
        <w:pStyle w:val="Normal"/>
        <w:tabs>
          <w:tab w:val="clear" w:pos="709"/>
          <w:tab w:val="left" w:pos="0" w:leader="none"/>
        </w:tabs>
        <w:spacing w:lineRule="auto" w:line="360"/>
        <w:jc w:val="both"/>
        <w:rPr/>
      </w:pPr>
      <w:r>
        <w:rPr>
          <w:rFonts w:eastAsia="Arial" w:cs="Arial" w:ascii="Arial" w:hAnsi="Arial"/>
          <w:sz w:val="22"/>
          <w:szCs w:val="22"/>
        </w:rPr>
        <w:t>c) der causa à inexecução total do contrato;</w:t>
      </w:r>
    </w:p>
    <w:p>
      <w:pPr>
        <w:pStyle w:val="Normal"/>
        <w:tabs>
          <w:tab w:val="clear" w:pos="709"/>
          <w:tab w:val="left" w:pos="0" w:leader="none"/>
        </w:tabs>
        <w:spacing w:lineRule="auto" w:line="360"/>
        <w:jc w:val="both"/>
        <w:rPr/>
      </w:pPr>
      <w:r>
        <w:rPr>
          <w:rFonts w:eastAsia="Arial" w:cs="Arial" w:ascii="Arial" w:hAnsi="Arial"/>
          <w:sz w:val="22"/>
          <w:szCs w:val="22"/>
        </w:rPr>
        <w:t>d) ensejar o retardamento da execução ou da entrega do objeto da contratação sem motivo justificado;</w:t>
      </w:r>
    </w:p>
    <w:p>
      <w:pPr>
        <w:pStyle w:val="Normal"/>
        <w:tabs>
          <w:tab w:val="clear" w:pos="709"/>
          <w:tab w:val="left" w:pos="0" w:leader="none"/>
        </w:tabs>
        <w:spacing w:lineRule="auto" w:line="360"/>
        <w:jc w:val="both"/>
        <w:rPr/>
      </w:pPr>
      <w:r>
        <w:rPr>
          <w:rFonts w:eastAsia="Arial" w:cs="Arial" w:ascii="Arial" w:hAnsi="Arial"/>
          <w:sz w:val="22"/>
          <w:szCs w:val="22"/>
        </w:rPr>
        <w:t>e) apresentar documentação falsa ou prestar declaração falsa durante a execução do contrato;</w:t>
      </w:r>
    </w:p>
    <w:p>
      <w:pPr>
        <w:pStyle w:val="Normal"/>
        <w:tabs>
          <w:tab w:val="clear" w:pos="709"/>
          <w:tab w:val="left" w:pos="0" w:leader="none"/>
        </w:tabs>
        <w:spacing w:lineRule="auto" w:line="360"/>
        <w:jc w:val="both"/>
        <w:rPr/>
      </w:pPr>
      <w:r>
        <w:rPr>
          <w:rFonts w:eastAsia="Arial" w:cs="Arial" w:ascii="Arial" w:hAnsi="Arial"/>
          <w:sz w:val="22"/>
          <w:szCs w:val="22"/>
        </w:rPr>
        <w:t>f) praticar ato fraudulento na execução do contrato;</w:t>
      </w:r>
    </w:p>
    <w:p>
      <w:pPr>
        <w:pStyle w:val="Normal"/>
        <w:tabs>
          <w:tab w:val="clear" w:pos="709"/>
          <w:tab w:val="left" w:pos="0" w:leader="none"/>
        </w:tabs>
        <w:spacing w:lineRule="auto" w:line="360"/>
        <w:jc w:val="both"/>
        <w:rPr/>
      </w:pPr>
      <w:r>
        <w:rPr>
          <w:rFonts w:eastAsia="Arial" w:cs="Arial" w:ascii="Arial" w:hAnsi="Arial"/>
          <w:sz w:val="22"/>
          <w:szCs w:val="22"/>
        </w:rPr>
        <w:t>g) comportar-se de modo inidôneo ou cometer fraude de qualquer natureza;</w:t>
      </w:r>
    </w:p>
    <w:p>
      <w:pPr>
        <w:pStyle w:val="Normal"/>
        <w:tabs>
          <w:tab w:val="clear" w:pos="709"/>
          <w:tab w:val="left" w:pos="0" w:leader="none"/>
        </w:tabs>
        <w:spacing w:lineRule="auto" w:line="360"/>
        <w:jc w:val="both"/>
        <w:rPr/>
      </w:pPr>
      <w:r>
        <w:rPr>
          <w:rFonts w:eastAsia="Arial" w:cs="Arial" w:ascii="Arial" w:hAnsi="Arial"/>
          <w:sz w:val="22"/>
          <w:szCs w:val="22"/>
        </w:rPr>
        <w:t xml:space="preserve">h) 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tabs>
          <w:tab w:val="clear" w:pos="0"/>
        </w:tabs>
        <w:spacing w:lineRule="auto" w:line="360" w:before="0" w:after="0"/>
        <w:ind w:hanging="0" w:left="0"/>
        <w:rPr/>
      </w:pPr>
      <w:r>
        <w:rPr>
          <w:sz w:val="22"/>
          <w:szCs w:val="22"/>
        </w:rPr>
        <w:t>Serão aplicadas ao contratado que incorrer nas infrações acima descritas as seguintes sanções:</w:t>
      </w:r>
    </w:p>
    <w:p>
      <w:pPr>
        <w:pStyle w:val="ListParagraph"/>
        <w:spacing w:lineRule="auto" w:line="360"/>
        <w:ind w:left="0"/>
        <w:jc w:val="both"/>
        <w:rPr/>
      </w:pPr>
      <w:r>
        <w:rPr>
          <w:rFonts w:eastAsia="Arial" w:cs="Arial" w:ascii="Arial" w:hAnsi="Arial"/>
          <w:b/>
          <w:bCs/>
        </w:rPr>
        <w:t>- 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8" w:name="_Hlk114504069"/>
      <w:r>
        <w:rPr>
          <w:rStyle w:val="InternetLink"/>
          <w:rFonts w:eastAsia="Arial" w:cs="Arial" w:ascii="Arial" w:hAnsi="Arial"/>
        </w:rPr>
        <w:t>Lei nº 14.133, de 2021</w:t>
      </w:r>
      <w:bookmarkEnd w:id="38"/>
      <w:r>
        <w:rPr>
          <w:rFonts w:eastAsia="Arial" w:cs="Arial" w:ascii="Arial" w:hAnsi="Arial"/>
        </w:rPr>
        <w:t>);</w:t>
      </w:r>
    </w:p>
    <w:p>
      <w:pPr>
        <w:pStyle w:val="ListParagraph"/>
        <w:spacing w:lineRule="auto" w:line="360"/>
        <w:ind w:left="0"/>
        <w:jc w:val="both"/>
        <w:rPr/>
      </w:pPr>
      <w:r>
        <w:rPr>
          <w:rFonts w:eastAsia="Arial" w:cs="Arial" w:ascii="Arial" w:hAnsi="Arial"/>
          <w:b/>
          <w:bCs/>
        </w:rPr>
        <w:t>- 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spacing w:lineRule="auto" w:line="360" w:before="0" w:after="0"/>
        <w:ind w:left="0"/>
        <w:jc w:val="both"/>
        <w:rPr/>
      </w:pPr>
      <w:r>
        <w:rPr>
          <w:rFonts w:eastAsia="Arial" w:cs="Arial" w:ascii="Arial" w:hAnsi="Arial"/>
          <w:b/>
          <w:bCs/>
        </w:rPr>
        <w:t>- 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spacing w:lineRule="auto" w:line="360" w:before="0" w:after="0"/>
        <w:ind w:left="0"/>
        <w:jc w:val="both"/>
        <w:rPr/>
      </w:pPr>
      <w:r>
        <w:rPr>
          <w:rFonts w:eastAsia="Arial" w:cs="Arial" w:ascii="Arial" w:hAnsi="Arial"/>
          <w:b/>
          <w:bCs/>
        </w:rPr>
        <w:t>- Multa:</w:t>
      </w:r>
    </w:p>
    <w:p>
      <w:pPr>
        <w:pStyle w:val="Normal"/>
        <w:numPr>
          <w:ilvl w:val="0"/>
          <w:numId w:val="12"/>
        </w:numPr>
        <w:spacing w:lineRule="auto" w:line="360"/>
        <w:ind w:hanging="0" w:left="0"/>
        <w:rPr/>
      </w:pPr>
      <w:r>
        <w:rPr>
          <w:rFonts w:eastAsia="Arial" w:cs="Arial" w:ascii="Arial" w:hAnsi="Arial"/>
          <w:sz w:val="22"/>
          <w:szCs w:val="22"/>
        </w:rPr>
        <w:t>1% (um por cento) sobre o valor global do contrato por desatendimento de exigência formulada pela Fiscalização;</w:t>
      </w:r>
    </w:p>
    <w:p>
      <w:pPr>
        <w:pStyle w:val="Normal"/>
        <w:numPr>
          <w:ilvl w:val="0"/>
          <w:numId w:val="12"/>
        </w:numPr>
        <w:spacing w:lineRule="auto" w:line="360"/>
        <w:ind w:hanging="0" w:left="0"/>
        <w:rPr/>
      </w:pPr>
      <w:r>
        <w:rPr>
          <w:rFonts w:eastAsia="Arial" w:cs="Arial" w:ascii="Arial" w:hAnsi="Arial"/>
          <w:sz w:val="22"/>
          <w:szCs w:val="22"/>
        </w:rPr>
        <w:t>3% (três por cento) sobre o valor global do contrato no caso de atraso superior a 30 (trinta) minutos na entrega dos serviços;</w:t>
      </w:r>
    </w:p>
    <w:p>
      <w:pPr>
        <w:pStyle w:val="Normal"/>
        <w:numPr>
          <w:ilvl w:val="0"/>
          <w:numId w:val="12"/>
        </w:numPr>
        <w:spacing w:lineRule="auto" w:line="360"/>
        <w:ind w:hanging="0" w:left="0"/>
        <w:rPr/>
      </w:pPr>
      <w:r>
        <w:rPr>
          <w:rFonts w:eastAsia="Arial" w:cs="Arial" w:ascii="Arial" w:hAnsi="Arial"/>
          <w:sz w:val="22"/>
          <w:szCs w:val="22"/>
        </w:rPr>
        <w:t>5% (cinco por cento) sobre o valor global do contrato no caso de descumprimento de cláusula ou condição que torne insatisfatória a execução dos serviços e que não tenha sido especificada nas demais alíneas desta cláusula;</w:t>
      </w:r>
    </w:p>
    <w:p>
      <w:pPr>
        <w:pStyle w:val="Normal"/>
        <w:numPr>
          <w:ilvl w:val="0"/>
          <w:numId w:val="12"/>
        </w:numPr>
        <w:spacing w:lineRule="auto" w:line="360"/>
        <w:ind w:hanging="0" w:left="0"/>
        <w:rPr/>
      </w:pPr>
      <w:r>
        <w:rPr>
          <w:rFonts w:eastAsia="Arial" w:cs="Arial" w:ascii="Arial" w:hAnsi="Arial"/>
          <w:sz w:val="22"/>
          <w:szCs w:val="22"/>
        </w:rPr>
        <w:t>15% (quinze por cento) sobre o valor global do contrato no caso de descumprimento da especificação mínima exigida no edital em percentual igual ou inferior a 3%;</w:t>
      </w:r>
    </w:p>
    <w:p>
      <w:pPr>
        <w:pStyle w:val="Normal"/>
        <w:numPr>
          <w:ilvl w:val="0"/>
          <w:numId w:val="12"/>
        </w:numPr>
        <w:spacing w:lineRule="auto" w:line="360"/>
        <w:ind w:hanging="0" w:left="0"/>
        <w:rPr/>
      </w:pPr>
      <w:r>
        <w:rPr>
          <w:rFonts w:eastAsia="Arial" w:cs="Arial" w:ascii="Arial" w:hAnsi="Arial"/>
          <w:sz w:val="22"/>
          <w:szCs w:val="22"/>
        </w:rPr>
        <w:t>30% (trinta por cento) sobre o valor global do contrato no caso de descumprimento da especificação exigida no edital em percentual superior a 3%;</w:t>
      </w:r>
    </w:p>
    <w:p>
      <w:pPr>
        <w:pStyle w:val="Normal"/>
        <w:numPr>
          <w:ilvl w:val="0"/>
          <w:numId w:val="12"/>
        </w:numPr>
        <w:spacing w:lineRule="auto" w:line="360"/>
        <w:ind w:hanging="0" w:left="0"/>
        <w:rPr/>
      </w:pPr>
      <w:r>
        <w:rPr>
          <w:rFonts w:eastAsia="Arial" w:cs="Arial" w:ascii="Arial" w:hAnsi="Arial"/>
          <w:sz w:val="22"/>
          <w:szCs w:val="22"/>
        </w:rPr>
        <w:t>45% (quarenta e cinco por cento) sobre o valor global do contrato no caso de inadimplemento total.</w:t>
      </w:r>
    </w:p>
    <w:p>
      <w:pPr>
        <w:pStyle w:val="ListParagraph"/>
        <w:numPr>
          <w:ilvl w:val="0"/>
          <w:numId w:val="13"/>
        </w:numPr>
        <w:spacing w:lineRule="auto" w:line="360" w:before="0" w:after="0"/>
        <w:ind w:hanging="0" w:left="0"/>
        <w:rPr>
          <w:rFonts w:ascii="Arial" w:hAnsi="Arial" w:cs="Arial"/>
        </w:rPr>
      </w:pPr>
      <w:r>
        <w:rPr>
          <w:rFonts w:cs="Arial" w:ascii="Arial" w:hAnsi="Arial"/>
        </w:rPr>
        <w:t>A aplicação das sanções previstas neste Contrato não exclui, em hipótese alguma, a obrigação de reparação integral do dano causado ao Contratante (</w:t>
      </w:r>
      <w:r>
        <w:fldChar w:fldCharType="begin"/>
      </w:r>
      <w:r>
        <w:rPr>
          <w:rStyle w:val="Hyperlink"/>
          <w:rFonts w:cs="Arial" w:ascii="Arial" w:hAnsi="Arial"/>
        </w:rPr>
        <w:instrText xml:space="preserve"> HYPERLINK "http://www.planalto.gov.br/ccivil_03/_ato2019-2022/2021/lei/L14133.htm" \l "art156%C2%A79"</w:instrText>
      </w:r>
      <w:r>
        <w:rPr>
          <w:rStyle w:val="Hyperlink"/>
          <w:rFonts w:cs="Arial" w:ascii="Arial" w:hAnsi="Arial"/>
        </w:rPr>
        <w:fldChar w:fldCharType="separate"/>
      </w:r>
      <w:r>
        <w:rPr>
          <w:rStyle w:val="Hyperlink"/>
          <w:rFonts w:cs="Arial" w:ascii="Arial" w:hAnsi="Arial"/>
        </w:rPr>
        <w:t>art. 156, §9º, da Lei nº 14.133, de 2021</w:t>
      </w:r>
      <w:r>
        <w:rPr>
          <w:rStyle w:val="Hyperlink"/>
          <w:rFonts w:cs="Arial" w:ascii="Arial" w:hAnsi="Arial"/>
        </w:rPr>
        <w:fldChar w:fldCharType="end"/>
      </w:r>
      <w:r>
        <w:rPr>
          <w:rFonts w:cs="Arial" w:ascii="Arial" w:hAnsi="Arial"/>
        </w:rPr>
        <w:t>).</w:t>
      </w:r>
    </w:p>
    <w:p>
      <w:pPr>
        <w:pStyle w:val="Nivel2"/>
        <w:numPr>
          <w:ilvl w:val="0"/>
          <w:numId w:val="13"/>
        </w:numPr>
        <w:tabs>
          <w:tab w:val="clear" w:pos="0"/>
        </w:tabs>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3"/>
        </w:numPr>
        <w:tabs>
          <w:tab w:val="clear" w:pos="0"/>
        </w:tabs>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3"/>
        </w:numPr>
        <w:tabs>
          <w:tab w:val="clear" w:pos="0"/>
        </w:tabs>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3"/>
        </w:numPr>
        <w:tabs>
          <w:tab w:val="clear" w:pos="0"/>
        </w:tabs>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39" w:name="_Hlk78351618"/>
      <w:bookmarkEnd w:id="39"/>
    </w:p>
    <w:p>
      <w:pPr>
        <w:pStyle w:val="Nivel2"/>
        <w:numPr>
          <w:ilvl w:val="0"/>
          <w:numId w:val="13"/>
        </w:numPr>
        <w:tabs>
          <w:tab w:val="clear" w:pos="0"/>
        </w:tabs>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tabs>
          <w:tab w:val="clear" w:pos="0"/>
        </w:tabs>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ListParagraph"/>
        <w:numPr>
          <w:ilvl w:val="0"/>
          <w:numId w:val="11"/>
        </w:numPr>
        <w:spacing w:lineRule="auto" w:line="360"/>
        <w:jc w:val="both"/>
        <w:rPr/>
      </w:pPr>
      <w:r>
        <w:rPr>
          <w:rFonts w:eastAsia="Arial" w:cs="Arial" w:ascii="Arial" w:hAnsi="Arial"/>
        </w:rPr>
        <w:t>a natureza e a gravidade da infração cometida;</w:t>
      </w:r>
    </w:p>
    <w:p>
      <w:pPr>
        <w:pStyle w:val="Normal"/>
        <w:numPr>
          <w:ilvl w:val="0"/>
          <w:numId w:val="11"/>
        </w:numPr>
        <w:spacing w:lineRule="auto" w:line="360"/>
        <w:ind w:hanging="0" w:left="0"/>
        <w:jc w:val="both"/>
        <w:rPr/>
      </w:pPr>
      <w:r>
        <w:rPr>
          <w:rFonts w:eastAsia="Arial" w:cs="Arial" w:ascii="Arial" w:hAnsi="Arial"/>
          <w:sz w:val="22"/>
          <w:szCs w:val="22"/>
        </w:rPr>
        <w:t>as peculiaridades do caso concreto;</w:t>
      </w:r>
    </w:p>
    <w:p>
      <w:pPr>
        <w:pStyle w:val="Normal"/>
        <w:numPr>
          <w:ilvl w:val="0"/>
          <w:numId w:val="11"/>
        </w:numPr>
        <w:spacing w:lineRule="auto" w:line="360"/>
        <w:ind w:hanging="0" w:left="0"/>
        <w:jc w:val="both"/>
        <w:rPr/>
      </w:pPr>
      <w:r>
        <w:rPr>
          <w:rFonts w:eastAsia="Arial" w:cs="Arial" w:ascii="Arial" w:hAnsi="Arial"/>
          <w:sz w:val="22"/>
          <w:szCs w:val="22"/>
        </w:rPr>
        <w:t>as circunstâncias agravantes ou atenuantes;</w:t>
      </w:r>
    </w:p>
    <w:p>
      <w:pPr>
        <w:pStyle w:val="Normal"/>
        <w:numPr>
          <w:ilvl w:val="0"/>
          <w:numId w:val="11"/>
        </w:numPr>
        <w:spacing w:lineRule="auto" w:line="360"/>
        <w:ind w:hanging="0" w:left="0"/>
        <w:jc w:val="both"/>
        <w:rPr/>
      </w:pPr>
      <w:r>
        <w:rPr>
          <w:rFonts w:eastAsia="Arial" w:cs="Arial" w:ascii="Arial" w:hAnsi="Arial"/>
          <w:sz w:val="22"/>
          <w:szCs w:val="22"/>
        </w:rPr>
        <w:t>os danos que dela provierem para o Contratante;</w:t>
      </w:r>
    </w:p>
    <w:p>
      <w:pPr>
        <w:pStyle w:val="Normal"/>
        <w:numPr>
          <w:ilvl w:val="0"/>
          <w:numId w:val="11"/>
        </w:numPr>
        <w:spacing w:lineRule="auto" w:line="360"/>
        <w:ind w:hanging="0" w:lef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3"/>
        </w:numPr>
        <w:tabs>
          <w:tab w:val="clear" w:pos="0"/>
        </w:tabs>
        <w:suppressAutoHyphens w:val="true"/>
        <w:spacing w:lineRule="auto" w:line="360" w:before="0" w:after="0"/>
        <w:ind w:hanging="0" w:left="0"/>
        <w:rPr/>
      </w:pPr>
      <w:r>
        <w:rPr>
          <w:sz w:val="22"/>
          <w:szCs w:val="22"/>
        </w:rPr>
        <w:t xml:space="preserve">Os atos previstos como infrações administrativas na </w:t>
      </w:r>
      <w:hyperlink r:id="rId16">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7">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8">
        <w:r>
          <w:rPr>
            <w:rStyle w:val="Hyperlink"/>
            <w:sz w:val="22"/>
            <w:szCs w:val="22"/>
          </w:rPr>
          <w:t>art. 159</w:t>
        </w:r>
      </w:hyperlink>
      <w:r>
        <w:rPr>
          <w:sz w:val="22"/>
          <w:szCs w:val="22"/>
        </w:rPr>
        <w:t>).</w:t>
      </w:r>
    </w:p>
    <w:p>
      <w:pPr>
        <w:pStyle w:val="Nivel2"/>
        <w:numPr>
          <w:ilvl w:val="0"/>
          <w:numId w:val="13"/>
        </w:numPr>
        <w:tabs>
          <w:tab w:val="clear" w:pos="0"/>
        </w:tabs>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rPr>
        <w:instrText xml:space="preserve"> HYPERLINK "http://www.planalto.gov.br/ccivil_03/_ato2019-2022/2021/lei/L14133.htm" \l "art160"</w:instrText>
      </w:r>
      <w:r>
        <w:rPr>
          <w:rStyle w:val="Hyperlink"/>
          <w:szCs w:val="22"/>
        </w:rPr>
        <w:fldChar w:fldCharType="separate"/>
      </w:r>
      <w:r>
        <w:rPr>
          <w:rStyle w:val="Hyperlink"/>
          <w:szCs w:val="22"/>
        </w:rPr>
        <w:t>art. 160, da Lei nº 14.133, de 2021</w:t>
      </w:r>
      <w:r>
        <w:rPr>
          <w:rStyle w:val="Hyperlink"/>
          <w:szCs w:val="22"/>
        </w:rPr>
        <w:fldChar w:fldCharType="end"/>
      </w:r>
      <w:r>
        <w:rPr>
          <w:sz w:val="22"/>
          <w:szCs w:val="22"/>
        </w:rPr>
        <w:t>).</w:t>
      </w:r>
    </w:p>
    <w:p>
      <w:pPr>
        <w:pStyle w:val="Nivel2"/>
        <w:numPr>
          <w:ilvl w:val="0"/>
          <w:numId w:val="13"/>
        </w:numPr>
        <w:tabs>
          <w:tab w:val="clear" w:pos="0"/>
        </w:tabs>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rPr>
        <w:instrText xml:space="preserve"> HYPERLINK "http://www.planalto.gov.br/ccivil_03/_ato2019-2022/2021/lei/L14133.htm" \l "art161"</w:instrText>
      </w:r>
      <w:r>
        <w:rPr>
          <w:rStyle w:val="Hyperlink"/>
          <w:szCs w:val="22"/>
        </w:rPr>
        <w:fldChar w:fldCharType="separate"/>
      </w:r>
      <w:r>
        <w:rPr>
          <w:rStyle w:val="Hyperlink"/>
          <w:szCs w:val="22"/>
        </w:rPr>
        <w:t>Art. 161, da Lei nº 14.133, de 2021</w:t>
      </w:r>
      <w:r>
        <w:rPr>
          <w:rStyle w:val="Hyperlink"/>
          <w:szCs w:val="22"/>
        </w:rPr>
        <w:fldChar w:fldCharType="end"/>
      </w:r>
      <w:r>
        <w:rPr>
          <w:sz w:val="22"/>
          <w:szCs w:val="22"/>
        </w:rPr>
        <w:t>).</w:t>
      </w:r>
    </w:p>
    <w:p>
      <w:pPr>
        <w:pStyle w:val="Nivel2"/>
        <w:numPr>
          <w:ilvl w:val="0"/>
          <w:numId w:val="13"/>
        </w:numPr>
        <w:tabs>
          <w:tab w:val="clear" w:pos="0"/>
        </w:tabs>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Cs w:val="22"/>
        </w:rPr>
        <w:instrText xml:space="preserve"> HYPERLINK "http://www.planalto.gov.br/ccivil_03/_ato2019-2022/2021/lei/L14133.htm" \l "163"</w:instrText>
      </w:r>
      <w:r>
        <w:rPr>
          <w:rStyle w:val="Hyperlink"/>
          <w:szCs w:val="22"/>
        </w:rPr>
        <w:fldChar w:fldCharType="separate"/>
      </w:r>
      <w:r>
        <w:rPr>
          <w:rStyle w:val="Hyperlink"/>
          <w:szCs w:val="22"/>
        </w:rPr>
        <w:t>art. 163 da Lei nº 14.133/21</w:t>
      </w:r>
      <w:r>
        <w:rPr>
          <w:rStyle w:val="Hyperlink"/>
          <w:szCs w:val="22"/>
        </w:rPr>
        <w:fldChar w:fldCharType="end"/>
      </w:r>
      <w:r>
        <w:rPr>
          <w:sz w:val="22"/>
          <w:szCs w:val="22"/>
        </w:rPr>
        <w:t>.</w:t>
      </w:r>
    </w:p>
    <w:p>
      <w:pPr>
        <w:pStyle w:val="Nivel2"/>
        <w:numPr>
          <w:ilvl w:val="0"/>
          <w:numId w:val="13"/>
        </w:numPr>
        <w:tabs>
          <w:tab w:val="clear" w:pos="0"/>
        </w:tabs>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Style w:val="Hyperlink"/>
            <w:szCs w:val="22"/>
          </w:rPr>
          <w:t>Normativa SEGES/ME nº 26, de 13 de abril de 2022</w:t>
        </w:r>
      </w:hyperlink>
      <w:r>
        <w:rPr>
          <w:sz w:val="22"/>
          <w:szCs w:val="22"/>
        </w:rPr>
        <w:t xml:space="preserve">. </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rPr>
      </w:pPr>
      <w:r>
        <w:rPr>
          <w:rFonts w:cs="Arial" w:ascii="Arial" w:hAnsi="Arial"/>
          <w:b/>
          <w:sz w:val="22"/>
          <w:szCs w:val="22"/>
        </w:rPr>
        <w:t>11 – PRAZO DE EXECUÇÃO CONTRATUAL</w:t>
      </w:r>
    </w:p>
    <w:p>
      <w:pPr>
        <w:pStyle w:val="Normal"/>
        <w:spacing w:lineRule="auto" w:line="360"/>
        <w:jc w:val="both"/>
        <w:rPr>
          <w:rFonts w:ascii="Arial" w:hAnsi="Arial" w:cs="Arial"/>
          <w:bCs/>
          <w:sz w:val="22"/>
          <w:szCs w:val="22"/>
        </w:rPr>
      </w:pPr>
      <w:r>
        <w:rPr>
          <w:rFonts w:cs="Arial" w:ascii="Arial" w:hAnsi="Arial"/>
          <w:bCs/>
          <w:sz w:val="22"/>
          <w:szCs w:val="22"/>
        </w:rPr>
        <w:t>11.1 – Registro de Preços por doze meses.</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vel2-Red"/>
        <w:tabs>
          <w:tab w:val="clear" w:pos="0"/>
        </w:tabs>
        <w:spacing w:lineRule="auto" w:line="360" w:before="0" w:after="0"/>
        <w:rPr/>
      </w:pPr>
      <w:r>
        <w:rPr>
          <w:b/>
          <w:bCs/>
          <w:i w:val="false"/>
          <w:iCs w:val="false"/>
          <w:color w:val="000000"/>
          <w:sz w:val="22"/>
          <w:szCs w:val="22"/>
        </w:rPr>
        <w:t>12. MODELO DE GESTÃO DO CONTRATO</w:t>
      </w:r>
    </w:p>
    <w:p>
      <w:pPr>
        <w:pStyle w:val="Nvel2-Red"/>
        <w:tabs>
          <w:tab w:val="clear" w:pos="0"/>
        </w:tabs>
        <w:spacing w:lineRule="auto" w:line="360" w:before="0" w:after="0"/>
        <w:rPr/>
      </w:pPr>
      <w:r>
        <w:rPr>
          <w:i w:val="false"/>
          <w:iCs w:val="false"/>
          <w:color w:val="000000"/>
          <w:sz w:val="22"/>
          <w:szCs w:val="22"/>
        </w:rPr>
        <w:t>12.1</w:t>
      </w:r>
      <w:r>
        <w:rPr>
          <w:b/>
          <w:bCs/>
          <w:i w:val="false"/>
          <w:iCs w:val="false"/>
          <w:color w:val="000000"/>
          <w:sz w:val="22"/>
          <w:szCs w:val="22"/>
        </w:rPr>
        <w:t xml:space="preserve"> - </w:t>
      </w:r>
      <w:r>
        <w:rPr>
          <w:i w:val="false"/>
          <w:iCs w:val="false"/>
          <w:color w:val="000000"/>
          <w:sz w:val="22"/>
          <w:szCs w:val="22"/>
        </w:rPr>
        <w:t>O contrato deverá ser executado fielmente pelas partes, de acordo com as cláusulas avençadas e as normas da Lei nº 14.133, de 2021, e cada parte responderá pelas consequências de sua inexecução total ou parcial</w:t>
      </w:r>
      <w:r>
        <w:rPr>
          <w:rFonts w:eastAsia="Arial"/>
          <w:i w:val="false"/>
          <w:iCs w:val="false"/>
          <w:color w:val="000000"/>
          <w:sz w:val="22"/>
          <w:szCs w:val="22"/>
        </w:rPr>
        <w:t>.</w:t>
      </w:r>
    </w:p>
    <w:p>
      <w:pPr>
        <w:pStyle w:val="Nvel2-Red"/>
        <w:tabs>
          <w:tab w:val="clear" w:pos="0"/>
        </w:tabs>
        <w:spacing w:lineRule="auto" w:line="360" w:before="0" w:after="0"/>
        <w:rPr/>
      </w:pPr>
      <w:r>
        <w:rPr>
          <w:rFonts w:eastAsia="Arial"/>
          <w:i w:val="false"/>
          <w:iCs w:val="false"/>
          <w:color w:val="000000"/>
          <w:sz w:val="22"/>
          <w:szCs w:val="22"/>
        </w:rPr>
        <w:t xml:space="preserve">12.2 - </w:t>
      </w:r>
      <w:r>
        <w:rPr>
          <w:i w:val="false"/>
          <w:iCs w:val="false"/>
          <w:color w:val="000000"/>
          <w:sz w:val="22"/>
          <w:szCs w:val="22"/>
        </w:rPr>
        <w:t>Em caso de impedimento, ordem de paralisação ou suspensão do contrato, o cronograma de execução será prorrogado automaticamente pelo tempo correspondente, anotadas tais circunstâncias mediante simples apostila.</w:t>
      </w:r>
    </w:p>
    <w:p>
      <w:pPr>
        <w:pStyle w:val="Nvel2-Red"/>
        <w:tabs>
          <w:tab w:val="clear" w:pos="0"/>
        </w:tabs>
        <w:spacing w:lineRule="auto" w:line="360" w:before="0" w:after="0"/>
        <w:rPr/>
      </w:pPr>
      <w:r>
        <w:rPr>
          <w:i w:val="false"/>
          <w:iCs w:val="false"/>
          <w:color w:val="000000"/>
          <w:sz w:val="22"/>
          <w:szCs w:val="22"/>
        </w:rPr>
        <w:t xml:space="preserve">12.3 - As comunicações entre o órgão ou entidade e a contratada devem ser realizadas por escrito sempre que o ato exigir tal formalidade, admitindo-se o uso de mensagem eletrônica para esse fim. </w:t>
      </w:r>
    </w:p>
    <w:p>
      <w:pPr>
        <w:pStyle w:val="Nvel2-Red"/>
        <w:tabs>
          <w:tab w:val="clear" w:pos="0"/>
        </w:tabs>
        <w:spacing w:lineRule="auto" w:line="360" w:before="0" w:after="0"/>
        <w:rPr/>
      </w:pPr>
      <w:r>
        <w:rPr>
          <w:i w:val="false"/>
          <w:iCs w:val="false"/>
          <w:color w:val="000000"/>
          <w:sz w:val="22"/>
          <w:szCs w:val="22"/>
        </w:rPr>
        <w:t>12.4 - O órgão ou entidade poderá convocar representante da empresa para adoção de providências que devam ser cumpridas de imediato.</w:t>
      </w:r>
    </w:p>
    <w:p>
      <w:pPr>
        <w:pStyle w:val="Nvel2-Red"/>
        <w:tabs>
          <w:tab w:val="clear" w:pos="0"/>
        </w:tabs>
        <w:spacing w:lineRule="auto" w:line="360" w:before="0" w:after="0"/>
        <w:rPr/>
      </w:pPr>
      <w:r>
        <w:rPr>
          <w:i w:val="false"/>
          <w:iCs w:val="false"/>
          <w:color w:val="000000"/>
          <w:sz w:val="22"/>
          <w:szCs w:val="22"/>
        </w:rPr>
        <w:t>12.5 -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vel2-Red"/>
        <w:tabs>
          <w:tab w:val="clear" w:pos="0"/>
        </w:tabs>
        <w:spacing w:lineRule="auto" w:line="360" w:before="0" w:after="0"/>
        <w:rPr/>
      </w:pPr>
      <w:r>
        <w:rPr>
          <w:i w:val="false"/>
          <w:iCs w:val="false"/>
          <w:color w:val="000000"/>
          <w:sz w:val="22"/>
          <w:szCs w:val="22"/>
        </w:rPr>
        <w:t xml:space="preserve">12.6 - </w:t>
      </w:r>
      <w:r>
        <w:rPr>
          <w:color w:val="000000"/>
          <w:sz w:val="22"/>
          <w:szCs w:val="22"/>
        </w:rPr>
        <w:t xml:space="preserve">A execução do contrato deverá ser acompanhada e fiscalizada pelo(s) fiscal(is) do contrato, </w:t>
      </w:r>
      <w:r>
        <w:rPr>
          <w:i w:val="false"/>
          <w:iCs w:val="false"/>
          <w:color w:val="000000"/>
          <w:sz w:val="22"/>
          <w:szCs w:val="22"/>
        </w:rPr>
        <w:t xml:space="preserve">ou pelos respectivos substitutos </w:t>
      </w:r>
      <w:r>
        <w:fldChar w:fldCharType="begin"/>
      </w:r>
      <w:r>
        <w:rPr>
          <w:rStyle w:val="Hyperlink"/>
          <w:sz w:val="22"/>
          <w:szCs w:val="22"/>
          <w:color w:val="000000"/>
        </w:rPr>
        <w:instrText xml:space="preserve"> HYPERLINK "http://www.planalto.gov.br/ccivil_03/_ato2019-2022/2021/lei/L14133.htm" \l "art117"</w:instrText>
      </w:r>
      <w:r>
        <w:rPr>
          <w:rStyle w:val="Hyperlink"/>
          <w:sz w:val="22"/>
          <w:szCs w:val="22"/>
          <w:color w:val="000000"/>
        </w:rPr>
        <w:fldChar w:fldCharType="separate"/>
      </w:r>
      <w:r>
        <w:rPr>
          <w:rStyle w:val="Hyperlink"/>
          <w:color w:val="000000"/>
          <w:sz w:val="22"/>
          <w:szCs w:val="22"/>
        </w:rPr>
        <w:t>(Lei nº 14.133, de 2021, art. 117, caput</w:t>
      </w:r>
      <w:r>
        <w:rPr>
          <w:rStyle w:val="Hyperlink"/>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pPr>
      <w:r>
        <w:rPr>
          <w:i w:val="false"/>
          <w:iCs w:val="false"/>
          <w:color w:val="000000"/>
          <w:sz w:val="22"/>
          <w:szCs w:val="22"/>
        </w:rPr>
        <w:t xml:space="preserve">12.7 - O fiscal técnico do contrato acompanhará a execução do contrato, para que sejam cumpridas todas as condições estabelecidas no contrato, de modo a assegurar os melhores resultados para a Administração. </w:t>
      </w:r>
    </w:p>
    <w:p>
      <w:pPr>
        <w:pStyle w:val="Nvel2-Red"/>
        <w:tabs>
          <w:tab w:val="clear" w:pos="0"/>
        </w:tabs>
        <w:spacing w:lineRule="auto" w:line="360" w:before="0" w:after="0"/>
        <w:rPr/>
      </w:pPr>
      <w:r>
        <w:rPr>
          <w:i w:val="false"/>
          <w:iCs w:val="false"/>
          <w:color w:val="000000"/>
          <w:sz w:val="22"/>
          <w:szCs w:val="22"/>
        </w:rPr>
        <w:t>12.7.1 -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Hyperlink"/>
          <w:sz w:val="22"/>
          <w:szCs w:val="22"/>
          <w:color w:val="000000"/>
        </w:rPr>
        <w:instrText xml:space="preserve"> HYPERLINK "http://www.planalto.gov.br/ccivil_03/_ato2019-2022/2021/lei/L14133.htm" \l "art117%C2%A71"</w:instrText>
      </w:r>
      <w:r>
        <w:rPr>
          <w:rStyle w:val="Hyperlink"/>
          <w:sz w:val="22"/>
          <w:szCs w:val="22"/>
          <w:color w:val="000000"/>
        </w:rPr>
        <w:fldChar w:fldCharType="separate"/>
      </w:r>
      <w:r>
        <w:rPr>
          <w:rStyle w:val="Hyperlink"/>
          <w:color w:val="000000"/>
          <w:sz w:val="22"/>
          <w:szCs w:val="22"/>
        </w:rPr>
        <w:t>Lei nº 14.133, de 2021, art. 117, §1º</w:t>
      </w:r>
      <w:r>
        <w:rPr>
          <w:rStyle w:val="Hyperlink"/>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pPr>
      <w:r>
        <w:rPr>
          <w:i w:val="false"/>
          <w:iCs w:val="false"/>
          <w:color w:val="000000"/>
          <w:sz w:val="22"/>
          <w:szCs w:val="22"/>
        </w:rPr>
        <w:t xml:space="preserve">12.7.2 - Identificada qualquer inexatidão ou irregularidade, o fiscal técnico do contrato emitirá notificações para a correção da execução do contrato, determinando prazo para a correção. </w:t>
      </w:r>
    </w:p>
    <w:p>
      <w:pPr>
        <w:pStyle w:val="Nvel2-Red"/>
        <w:tabs>
          <w:tab w:val="clear" w:pos="0"/>
        </w:tabs>
        <w:spacing w:lineRule="auto" w:line="360" w:before="0" w:after="0"/>
        <w:rPr/>
      </w:pPr>
      <w:r>
        <w:rPr>
          <w:i w:val="false"/>
          <w:iCs w:val="false"/>
          <w:color w:val="000000"/>
          <w:sz w:val="22"/>
          <w:szCs w:val="22"/>
        </w:rPr>
        <w:t>12.7.3 - O fiscal técnico do contrato informará ao gestor do contato, em tempo hábil, a situação que demandar decisão ou adoção de medidas que ultrapassem sua competência, para que adote as medidas necessárias e saneadoras, se for o caso.</w:t>
      </w:r>
    </w:p>
    <w:p>
      <w:pPr>
        <w:pStyle w:val="Nvel2-Red"/>
        <w:tabs>
          <w:tab w:val="clear" w:pos="0"/>
        </w:tabs>
        <w:spacing w:lineRule="auto" w:line="360" w:before="0" w:after="0"/>
        <w:rPr/>
      </w:pPr>
      <w:r>
        <w:rPr>
          <w:i w:val="false"/>
          <w:iCs w:val="false"/>
          <w:color w:val="000000"/>
          <w:sz w:val="22"/>
          <w:szCs w:val="22"/>
        </w:rPr>
        <w:t xml:space="preserve">12.7.4 - No caso de ocorrências que possam inviabilizar a execução do contrato nas datas aprazadas, o fiscal técnico do contrato comunicará o fato imediatamente ao gestor do contrato. </w:t>
      </w:r>
    </w:p>
    <w:p>
      <w:pPr>
        <w:pStyle w:val="Nvel2-Red"/>
        <w:tabs>
          <w:tab w:val="clear" w:pos="0"/>
        </w:tabs>
        <w:spacing w:lineRule="auto" w:line="360" w:before="0" w:after="0"/>
        <w:rPr/>
      </w:pPr>
      <w:r>
        <w:rPr>
          <w:i w:val="false"/>
          <w:iCs w:val="false"/>
          <w:color w:val="000000"/>
          <w:sz w:val="22"/>
          <w:szCs w:val="22"/>
        </w:rPr>
        <w:t xml:space="preserve">12.7.5 - O fiscal técnico do contrato comunicará ao gestor do contrato, em tempo hábil, o término do contrato sob sua responsabilidade, com vistas à tempestiva renovação ou à prorrogação contratual </w:t>
      </w:r>
    </w:p>
    <w:p>
      <w:pPr>
        <w:pStyle w:val="Nvel2-Red"/>
        <w:tabs>
          <w:tab w:val="clear" w:pos="0"/>
        </w:tabs>
        <w:spacing w:lineRule="auto" w:line="360" w:before="0" w:after="0"/>
        <w:rPr/>
      </w:pPr>
      <w:r>
        <w:rPr>
          <w:i w:val="false"/>
          <w:iCs w:val="false"/>
          <w:color w:val="000000"/>
          <w:sz w:val="22"/>
          <w:szCs w:val="22"/>
        </w:rPr>
        <w:t xml:space="preserve">12.7.6 - 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vel2-Red"/>
        <w:tabs>
          <w:tab w:val="clear" w:pos="0"/>
        </w:tabs>
        <w:spacing w:lineRule="auto" w:line="360" w:before="0" w:after="0"/>
        <w:rPr/>
      </w:pPr>
      <w:r>
        <w:rPr>
          <w:i w:val="false"/>
          <w:iCs w:val="false"/>
          <w:color w:val="000000"/>
          <w:sz w:val="22"/>
          <w:szCs w:val="22"/>
        </w:rPr>
        <w:t>12.7.7 -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vel2-Red"/>
        <w:tabs>
          <w:tab w:val="clear" w:pos="0"/>
        </w:tabs>
        <w:spacing w:lineRule="auto" w:line="360" w:before="0" w:after="0"/>
        <w:rPr/>
      </w:pPr>
      <w:r>
        <w:rPr>
          <w:i w:val="false"/>
          <w:iCs w:val="false"/>
          <w:color w:val="000000"/>
          <w:sz w:val="22"/>
          <w:szCs w:val="22"/>
        </w:rPr>
        <w:t>12.7.8 - Caso ocorram descumprimento das obrigações contratuais, o fiscal administrativo do contrato atuará tempestivamente na solução do problema, reportando ao gestor do contrato para que tome as providências cabíveis, quando ultrapassar a sua competência.</w:t>
      </w:r>
    </w:p>
    <w:p>
      <w:pPr>
        <w:pStyle w:val="Nvel2-Red"/>
        <w:tabs>
          <w:tab w:val="clear" w:pos="0"/>
        </w:tabs>
        <w:spacing w:lineRule="auto" w:line="360" w:before="0" w:after="0"/>
        <w:rPr/>
      </w:pPr>
      <w:r>
        <w:rPr>
          <w:i w:val="false"/>
          <w:iCs w:val="false"/>
          <w:color w:val="000000"/>
          <w:sz w:val="22"/>
          <w:szCs w:val="22"/>
        </w:rPr>
        <w:t xml:space="preserve">12.8 -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vel2-Red"/>
        <w:tabs>
          <w:tab w:val="clear" w:pos="0"/>
        </w:tabs>
        <w:spacing w:lineRule="auto" w:line="360" w:before="0" w:after="0"/>
        <w:rPr/>
      </w:pPr>
      <w:r>
        <w:rPr>
          <w:i w:val="false"/>
          <w:iCs w:val="false"/>
          <w:color w:val="000000"/>
          <w:sz w:val="22"/>
          <w:szCs w:val="22"/>
        </w:rPr>
        <w:t xml:space="preserve">12.8.1 -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vel2-Red"/>
        <w:tabs>
          <w:tab w:val="clear" w:pos="0"/>
        </w:tabs>
        <w:spacing w:lineRule="auto" w:line="360" w:before="0" w:after="0"/>
        <w:rPr/>
      </w:pPr>
      <w:r>
        <w:rPr>
          <w:i w:val="false"/>
          <w:iCs w:val="false"/>
          <w:color w:val="000000"/>
          <w:sz w:val="22"/>
          <w:szCs w:val="22"/>
        </w:rPr>
        <w:t>12.8.2 -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vel2-Red"/>
        <w:tabs>
          <w:tab w:val="clear" w:pos="0"/>
        </w:tabs>
        <w:spacing w:lineRule="auto" w:line="360" w:before="0" w:after="0"/>
        <w:rPr/>
      </w:pPr>
      <w:r>
        <w:rPr>
          <w:i w:val="false"/>
          <w:iCs w:val="false"/>
          <w:color w:val="000000"/>
          <w:sz w:val="22"/>
          <w:szCs w:val="22"/>
        </w:rPr>
        <w:t xml:space="preserve">12.8.3 - O gestor do contrato tomará providências para a formalização de processo administrativo de responsabilização para fins de aplicação de sanções, a ser conduzido pela comissão de que trata o </w:t>
      </w:r>
      <w:r>
        <w:fldChar w:fldCharType="begin"/>
      </w:r>
      <w:r>
        <w:rPr>
          <w:rStyle w:val="Hyperlink"/>
          <w:sz w:val="22"/>
          <w:szCs w:val="22"/>
          <w:color w:val="000000"/>
        </w:rPr>
        <w:instrText xml:space="preserve"> HYPERLINK "http://www.planalto.gov.br/ccivil_03/_ato2019-2022/2021/lei/L14133.htm" \l "art158"</w:instrText>
      </w:r>
      <w:r>
        <w:rPr>
          <w:rStyle w:val="Hyperlink"/>
          <w:sz w:val="22"/>
          <w:szCs w:val="22"/>
          <w:color w:val="000000"/>
        </w:rPr>
        <w:fldChar w:fldCharType="separate"/>
      </w:r>
      <w:r>
        <w:rPr>
          <w:rStyle w:val="Hyperlink"/>
          <w:color w:val="000000"/>
          <w:sz w:val="22"/>
          <w:szCs w:val="22"/>
        </w:rPr>
        <w:t>art. 158 da Lei nº 14.133, de 2021</w:t>
      </w:r>
      <w:r>
        <w:rPr>
          <w:rStyle w:val="Hyperlink"/>
          <w:sz w:val="22"/>
          <w:szCs w:val="22"/>
          <w:color w:val="000000"/>
        </w:rPr>
        <w:fldChar w:fldCharType="end"/>
      </w:r>
      <w:r>
        <w:rPr>
          <w:i w:val="false"/>
          <w:iCs w:val="false"/>
          <w:color w:val="000000"/>
          <w:sz w:val="22"/>
          <w:szCs w:val="22"/>
        </w:rPr>
        <w:t>, ou pelo agente ou pelo setor com competência para tal, conforme o caso.</w:t>
      </w:r>
    </w:p>
    <w:p>
      <w:pPr>
        <w:pStyle w:val="Nvel2-Red"/>
        <w:tabs>
          <w:tab w:val="clear" w:pos="0"/>
        </w:tabs>
        <w:spacing w:lineRule="auto" w:line="360" w:before="0" w:after="0"/>
        <w:rPr/>
      </w:pPr>
      <w:r>
        <w:rPr>
          <w:i w:val="false"/>
          <w:iCs w:val="false"/>
          <w:color w:val="000000"/>
          <w:sz w:val="22"/>
          <w:szCs w:val="22"/>
        </w:rPr>
        <w:t>12.9 - O fiscal administrativo do contrato comunicará ao gestor do contrato, em tempo hábil, o término do contrato sob sua responsabilidade, com vistas à tempestiva renovação ou prorrogação contratual.</w:t>
      </w:r>
    </w:p>
    <w:p>
      <w:pPr>
        <w:pStyle w:val="Nvel2-Red"/>
        <w:tabs>
          <w:tab w:val="clear" w:pos="0"/>
        </w:tabs>
        <w:spacing w:lineRule="auto" w:line="360" w:before="0" w:after="0"/>
        <w:rPr/>
      </w:pPr>
      <w:r>
        <w:rPr>
          <w:i w:val="false"/>
          <w:iCs w:val="false"/>
          <w:color w:val="000000"/>
          <w:sz w:val="22"/>
          <w:szCs w:val="22"/>
        </w:rPr>
        <w:t>125.10 - O gestor do contrato deverá elaborar relató</w:t>
      </w:r>
      <w:r>
        <w:rPr>
          <w:rFonts w:eastAsia="Arial"/>
          <w:i w:val="false"/>
          <w:iCs w:val="false"/>
          <w:color w:val="000000"/>
          <w:sz w:val="22"/>
          <w:szCs w:val="22"/>
        </w:rPr>
        <w:t xml:space="preserve">rio final com informações sobre a consecução dos objetivos que tenham justificado a contratação e eventuais condutas a serem adotadas para o aprimoramento das atividades da Administração. </w:t>
      </w:r>
    </w:p>
    <w:p>
      <w:pPr>
        <w:pStyle w:val="Nvel2-Red"/>
        <w:tabs>
          <w:tab w:val="clear" w:pos="0"/>
        </w:tabs>
        <w:spacing w:lineRule="auto" w:line="360" w:before="0" w:after="0"/>
        <w:rPr/>
      </w:pPr>
      <w:r>
        <w:rPr>
          <w:rFonts w:eastAsia="Arial"/>
          <w:i w:val="false"/>
          <w:iCs w:val="false"/>
          <w:color w:val="000000"/>
          <w:sz w:val="22"/>
          <w:szCs w:val="22"/>
        </w:rPr>
        <w:t xml:space="preserve">12.11 - </w:t>
      </w:r>
      <w:r>
        <w:rPr>
          <w:i w:val="false"/>
          <w:iCs w:val="false"/>
          <w:color w:val="000000"/>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Normal"/>
        <w:tabs>
          <w:tab w:val="clear" w:pos="709"/>
          <w:tab w:val="left" w:pos="1620" w:leader="none"/>
        </w:tabs>
        <w:spacing w:lineRule="auto" w:line="360"/>
        <w:jc w:val="both"/>
        <w:rPr>
          <w:rFonts w:ascii="Arial" w:hAnsi="Arial" w:eastAsia="MS Mincho" w:cs="Arial"/>
          <w:i/>
          <w:i/>
          <w:iCs/>
          <w:color w:val="000000"/>
          <w:kern w:val="0"/>
          <w:sz w:val="22"/>
          <w:szCs w:val="22"/>
          <w:lang w:eastAsia="en-US"/>
        </w:rPr>
      </w:pPr>
      <w:r>
        <w:rPr>
          <w:rFonts w:eastAsia="MS Mincho" w:cs="Arial" w:ascii="Arial" w:hAnsi="Arial"/>
          <w:i/>
          <w:iCs/>
          <w:color w:val="000000"/>
          <w:kern w:val="0"/>
          <w:sz w:val="22"/>
          <w:szCs w:val="22"/>
          <w:lang w:eastAsia="en-US"/>
        </w:rPr>
      </w:r>
    </w:p>
    <w:p>
      <w:pPr>
        <w:pStyle w:val="Nivel01"/>
        <w:numPr>
          <w:ilvl w:val="0"/>
          <w:numId w:val="0"/>
        </w:numPr>
        <w:spacing w:lineRule="auto" w:line="360" w:before="0" w:after="0"/>
        <w:ind w:hanging="0" w:left="0"/>
        <w:rPr/>
      </w:pPr>
      <w:r>
        <w:rPr>
          <w:sz w:val="22"/>
          <w:szCs w:val="22"/>
        </w:rPr>
        <w:t>13. DA CONTRATAÇÃO</w:t>
      </w:r>
    </w:p>
    <w:p>
      <w:pPr>
        <w:pStyle w:val="Nivel2"/>
        <w:tabs>
          <w:tab w:val="clear" w:pos="0"/>
        </w:tabs>
        <w:spacing w:lineRule="auto" w:line="360" w:before="0" w:after="0"/>
        <w:ind w:hanging="0" w:left="0"/>
        <w:rPr/>
      </w:pPr>
      <w:r>
        <w:rPr>
          <w:sz w:val="22"/>
          <w:szCs w:val="22"/>
        </w:rPr>
        <w:t>13.1 - A Contratação decorrente da presente licitação vigorará por 12 (doze) meses, podendo ser prorrogado, por igual período.</w:t>
      </w:r>
    </w:p>
    <w:p>
      <w:pPr>
        <w:pStyle w:val="Nivel2"/>
        <w:tabs>
          <w:tab w:val="clear" w:pos="0"/>
        </w:tabs>
        <w:spacing w:lineRule="auto" w:line="360" w:before="0" w:after="0"/>
        <w:ind w:hanging="0" w:left="0"/>
        <w:rPr/>
      </w:pPr>
      <w:r>
        <w:rPr>
          <w:sz w:val="22"/>
          <w:szCs w:val="22"/>
        </w:rPr>
        <w:t>13.2 -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14"/>
        </w:numPr>
        <w:spacing w:lineRule="auto" w:line="360" w:before="0" w:after="0"/>
        <w:rPr/>
      </w:pPr>
      <w:r>
        <w:rPr>
          <w:sz w:val="22"/>
          <w:szCs w:val="22"/>
        </w:rPr>
        <w:t>Indicação, por escrito, de endereço de e-mail para a realização de quaisquer comunicações sobre a execução do contrato;</w:t>
      </w:r>
    </w:p>
    <w:p>
      <w:pPr>
        <w:pStyle w:val="Nivel2"/>
        <w:numPr>
          <w:ilvl w:val="0"/>
          <w:numId w:val="14"/>
        </w:numPr>
        <w:spacing w:lineRule="auto" w:line="360" w:before="0" w:after="0"/>
        <w:rPr/>
      </w:pPr>
      <w:r>
        <w:rPr>
          <w:sz w:val="22"/>
          <w:szCs w:val="22"/>
        </w:rPr>
        <w:t>Apresentar o(s) documento(s) de identidade, R.G. e CPF, do(s) sócio(s) ou procurador(es) que assinará(ao) o contrato com a Prefeitura do Município de Itatiba;</w:t>
      </w:r>
    </w:p>
    <w:p>
      <w:pPr>
        <w:pStyle w:val="Nivel2"/>
        <w:numPr>
          <w:ilvl w:val="0"/>
          <w:numId w:val="14"/>
        </w:numPr>
        <w:spacing w:lineRule="auto" w:line="360" w:before="0" w:after="0"/>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14"/>
        </w:numPr>
        <w:tabs>
          <w:tab w:val="left" w:pos="0" w:leader="none"/>
          <w:tab w:val="left" w:pos="1620" w:leader="none"/>
          <w:tab w:val="left" w:pos="3857" w:leader="none"/>
        </w:tabs>
        <w:spacing w:lineRule="auto" w:line="360" w:before="0" w:after="0"/>
        <w:ind w:hanging="360" w:left="720" w:right="-54"/>
        <w:rPr>
          <w:b/>
          <w:sz w:val="22"/>
          <w:szCs w:val="22"/>
          <w:u w:val="single"/>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10/2026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14/2026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1.575/2026</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10/2026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14/2026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1.575/2026</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tabs>
          <w:tab w:val="clear" w:pos="709"/>
          <w:tab w:val="center" w:pos="4704" w:leader="none"/>
        </w:tabs>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10/2026),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10/2026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14/2026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1.575/2026</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nº 10/2026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1.575/2026</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970"/>
        <w:gridCol w:w="1134"/>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397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3970"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2.03.03.0425-0 - P.A. E LUZ MÉDIO PORTE</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P.A. E LUZ MÉDIO PORTE Montagem em palco com estrutura fly e housemix P.A. Line Array, configuração mínima 6 células por lado totalizando 12 caixas. As caixas deverão conter como configuração mínima dois falantes de 12" e drivers totalizando 1000W, 04 Subwoofers por lado totalizando 08 caixas com configuração mínima de 02 falantes de 18" e 2000W cada caixa. Amplificação e processamento condizente com o sistema.02 Consoles Digitais 48 canais "in" e no mínimo 16 auxiliares (Yamaha ou similar superior)01 Player com repertório de músicas variadas.Monitor.01 Bateria Completa01 Amplificador para Guitarra Marshall, Fender ou similar superior com dois falantes de 10" mínimo01 Amplificador para Baixo completo com as duas caixas, Gallien, Hartkey ou similar superior06 praticáveis pantográficos12 Monitores SM400 ou superior, devidamente amplificados01 Side Fill duplo 4 KF850 e 4 SB850 ou similar superior24 Pedestais de Mic08 Garras Clamp12 Direct Box32 Microfones Diversos, Shure, Senheiser, Akg ou similar superior08 Microfones específicos para captação de coral12 Microfones com fio para captação de instrumentos diversos (condenser para sopro, palheta, cordas etc) AKG 451 ou KM184, SHURE SM57, SM81 e similar superior.04 Headset04 Microfones sem fio UHF multicanal Shure, Senheiser, Akg ou similar superior.Iluminação.01 Grid em treliça Q30 Linha Pesada de no mínimo 8m x6m a 10m x 8m com 5m de altura(Devidamente aterrado)32 Canhões Par Led, com 12 Leds de 3Watts cada02 Mini-Brut com 6 lampadas03 Strobo Atomic 300012 Moving Head Bean 20002 Máquinas de Fumaça 1000W01 Mesa de iluminação Avolites ou similar superior01 Cortina de led nas medidas 6mx4m DMX ou compatível com tamanho de fundo 01 Cortina preta para fundo de palco02 Araras com 6 Par 64 "quente" por lado01 Pró Power - Luz01 Main Power - Som01 Rack Dimmer02 Extintores de incêndio Classe ABC com carga mínima de 8KG cada. Equipe mínima: 03 técnicos de Som/Luz e 02 ajudantes de palco. O contratado deverá providenciar a ART de seu equipamento, confeccionada por um Engenheiro Eletricista. Necessário ter na equipe integrantes com certificação NR35(trabalho em altura) devidamente equipados com EPI para montagens em altura.</w:t>
            </w:r>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ivel2"/>
        <w:tabs>
          <w:tab w:val="clear" w:pos="0"/>
        </w:tabs>
        <w:spacing w:lineRule="auto" w:line="360" w:before="0" w:after="0"/>
        <w:ind w:hanging="0" w:left="0"/>
        <w:rPr>
          <w:color w:val="auto"/>
        </w:rPr>
      </w:pPr>
      <w:r>
        <w:rPr>
          <w:color w:val="auto"/>
        </w:rPr>
      </w:r>
    </w:p>
    <w:p>
      <w:pPr>
        <w:pStyle w:val="Nivel2"/>
        <w:tabs>
          <w:tab w:val="clear" w:pos="0"/>
        </w:tabs>
        <w:spacing w:lineRule="auto" w:line="360" w:before="0" w:after="0"/>
        <w:ind w:hanging="0" w:left="0"/>
        <w:rPr>
          <w:color w:val="auto"/>
        </w:rPr>
      </w:pPr>
      <w:r>
        <w:rPr>
          <w:color w:val="auto"/>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 xml:space="preserve">Nome                 </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MINUTA DA ATA DE REGISTRO DE PREÇO nº XX/2026</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PREGÃO ELETRÔNICO nº XX/2026</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PROCESSO nº 1.575/2026</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2026,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xx/2026,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numPr>
          <w:ilvl w:val="0"/>
          <w:numId w:val="0"/>
        </w:numPr>
        <w:tabs>
          <w:tab w:val="left" w:pos="0" w:leader="none"/>
          <w:tab w:val="left" w:pos="567" w:leader="none"/>
        </w:tabs>
        <w:spacing w:lineRule="auto" w:line="360"/>
        <w:ind w:hanging="0" w:left="360"/>
        <w:rPr>
          <w:sz w:val="22"/>
          <w:szCs w:val="22"/>
        </w:rPr>
      </w:pPr>
      <w:r>
        <w:rPr>
          <w:sz w:val="22"/>
          <w:szCs w:val="22"/>
        </w:rPr>
        <w:t>1 - DO OBJETO</w:t>
      </w:r>
    </w:p>
    <w:p>
      <w:pPr>
        <w:pStyle w:val="Nivel2"/>
        <w:spacing w:lineRule="auto" w:line="360"/>
        <w:ind w:hanging="0" w:left="0"/>
        <w:rPr>
          <w:color w:val="auto"/>
        </w:rPr>
      </w:pPr>
      <w:r>
        <w:rPr>
          <w:color w:val="auto"/>
          <w:sz w:val="22"/>
          <w:szCs w:val="22"/>
        </w:rPr>
        <w:t>1.1 - A presente Ata tem por objeto o registro de preços para a eventual aquisição/contratação de XX, especificado no Termo de Referência, anexo I</w:t>
      </w:r>
      <w:r>
        <w:rPr>
          <w:i/>
          <w:color w:val="auto"/>
          <w:sz w:val="22"/>
          <w:szCs w:val="22"/>
        </w:rPr>
        <w:t xml:space="preserve"> do Edital xx</w:t>
      </w:r>
      <w:r>
        <w:rPr>
          <w:color w:val="auto"/>
          <w:sz w:val="22"/>
          <w:szCs w:val="22"/>
        </w:rPr>
        <w:t>/2026 que é parte integrante desta Ata, assim como as propostas cujos preços tenham sido registrados, independentemente de transcrição.</w:t>
      </w:r>
    </w:p>
    <w:p>
      <w:pPr>
        <w:pStyle w:val="Nivel01"/>
        <w:numPr>
          <w:ilvl w:val="0"/>
          <w:numId w:val="0"/>
        </w:numPr>
        <w:spacing w:lineRule="auto" w:line="360"/>
        <w:ind w:hanging="0" w:left="36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pPr>
      <w:r>
        <w:rPr>
          <w:rFonts w:eastAsia="Arial"/>
          <w:sz w:val="22"/>
          <w:szCs w:val="22"/>
        </w:rPr>
        <w:t xml:space="preserve"> </w:t>
      </w:r>
      <w:r>
        <w:rPr>
          <w:sz w:val="22"/>
          <w:szCs w:val="22"/>
        </w:rPr>
        <w:t>PRAZO DE ENTREGA: XXX</w:t>
      </w:r>
    </w:p>
    <w:p>
      <w:pPr>
        <w:pStyle w:val="Nivel01"/>
        <w:numPr>
          <w:ilvl w:val="0"/>
          <w:numId w:val="0"/>
        </w:numPr>
        <w:spacing w:lineRule="auto" w:line="360"/>
        <w:ind w:hanging="0" w:left="0"/>
        <w:rPr>
          <w:sz w:val="22"/>
          <w:szCs w:val="22"/>
        </w:rPr>
      </w:pPr>
      <w:r>
        <w:rPr>
          <w:sz w:val="22"/>
          <w:szCs w:val="22"/>
        </w:rPr>
      </w:r>
    </w:p>
    <w:p>
      <w:pPr>
        <w:pStyle w:val="Nivel01"/>
        <w:numPr>
          <w:ilvl w:val="0"/>
          <w:numId w:val="0"/>
        </w:numPr>
        <w:spacing w:lineRule="auto" w:line="360"/>
        <w:ind w:hanging="0" w:left="0"/>
        <w:rPr>
          <w:sz w:val="22"/>
          <w:szCs w:val="22"/>
        </w:rPr>
      </w:pPr>
      <w:r>
        <w:rPr>
          <w:sz w:val="22"/>
          <w:szCs w:val="22"/>
        </w:rPr>
        <w:t>3 - DOS PREÇOS, ESPECIFICAÇÕES E QUANTITATIVOS</w:t>
      </w:r>
    </w:p>
    <w:p>
      <w:pPr>
        <w:pStyle w:val="Nivel2"/>
        <w:spacing w:lineRule="auto" w:line="360"/>
        <w:ind w:hanging="0" w:left="0"/>
        <w:rPr>
          <w:color w:val="auto"/>
        </w:rPr>
      </w:pPr>
      <w:r>
        <w:rPr>
          <w:color w:val="auto"/>
          <w:sz w:val="22"/>
          <w:szCs w:val="22"/>
        </w:rPr>
        <w:t>3.1 - O preço registrado, as especificações do objeto, as quantidades mínimas e máximas de cada item, fornecedor(es) e as demais condições ofertadas na(s) propo</w:t>
      </w:r>
      <w:r>
        <w:rPr>
          <w:color w:val="auto"/>
        </w:rPr>
        <w:t xml:space="preserve">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9"/>
        <w:gridCol w:w="1535"/>
        <w:gridCol w:w="790"/>
        <w:gridCol w:w="1410"/>
        <w:gridCol w:w="1666"/>
        <w:gridCol w:w="1561"/>
        <w:gridCol w:w="1305"/>
      </w:tblGrid>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 xml:space="preserve">Especificação do item </w:t>
            </w:r>
          </w:p>
        </w:tc>
      </w:tr>
    </w:tbl>
    <w:p>
      <w:pPr>
        <w:pStyle w:val="Nivel2"/>
        <w:spacing w:lineRule="auto" w:line="360"/>
        <w:ind w:hanging="0" w:left="0"/>
        <w:rPr>
          <w:color w:val="auto"/>
          <w:sz w:val="22"/>
          <w:szCs w:val="22"/>
          <w:lang w:eastAsia="en-US"/>
        </w:rPr>
      </w:pPr>
      <w:r>
        <w:rPr>
          <w:color w:val="auto"/>
          <w:sz w:val="22"/>
          <w:szCs w:val="22"/>
          <w:lang w:eastAsia="en-US"/>
        </w:rPr>
        <w:t>A listagem do cadastro de reserva referente ao presente registro de preços consta como anexo a esta Ata.</w:t>
      </w:r>
    </w:p>
    <w:p>
      <w:pPr>
        <w:pStyle w:val="Nivel01"/>
        <w:numPr>
          <w:ilvl w:val="0"/>
          <w:numId w:val="0"/>
        </w:numPr>
        <w:spacing w:lineRule="auto" w:line="360"/>
        <w:ind w:hanging="0" w:left="0"/>
        <w:rPr>
          <w:sz w:val="22"/>
          <w:szCs w:val="22"/>
        </w:rPr>
      </w:pPr>
      <w:r>
        <w:rPr>
          <w:sz w:val="22"/>
          <w:szCs w:val="22"/>
        </w:rPr>
        <w:t>4 - ÓRGÃO(S) GERENCIADOR E PARTICIPANTE(S)</w:t>
      </w:r>
    </w:p>
    <w:p>
      <w:pPr>
        <w:pStyle w:val="Nivel2"/>
        <w:spacing w:lineRule="auto" w:line="360"/>
        <w:ind w:hanging="0" w:left="0"/>
        <w:rPr>
          <w:color w:val="auto"/>
          <w:sz w:val="22"/>
          <w:szCs w:val="22"/>
        </w:rPr>
      </w:pPr>
      <w:r>
        <w:rPr>
          <w:color w:val="auto"/>
          <w:sz w:val="22"/>
          <w:szCs w:val="22"/>
        </w:rPr>
        <w:t>4.1 - O órgão gerenciador será a Seção de Licitações:</w:t>
      </w:r>
    </w:p>
    <w:p>
      <w:pPr>
        <w:pStyle w:val="Nvel2-Red"/>
        <w:spacing w:lineRule="auto" w:line="360"/>
        <w:rPr>
          <w:color w:val="auto"/>
        </w:rPr>
      </w:pPr>
      <w:r>
        <w:rPr>
          <w:color w:val="auto"/>
        </w:rPr>
        <w:t>Secretarias participantes do registro de preços:</w:t>
      </w:r>
    </w:p>
    <w:tbl>
      <w:tblPr>
        <w:tblW w:w="8720" w:type="dxa"/>
        <w:jc w:val="left"/>
        <w:tblInd w:w="-339"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numPr>
          <w:ilvl w:val="0"/>
          <w:numId w:val="0"/>
        </w:numPr>
        <w:spacing w:lineRule="auto" w:line="360"/>
        <w:ind w:hanging="0" w:left="0"/>
        <w:rPr>
          <w:sz w:val="22"/>
          <w:szCs w:val="22"/>
        </w:rPr>
      </w:pPr>
      <w:r>
        <w:rPr>
          <w:sz w:val="22"/>
          <w:szCs w:val="22"/>
        </w:rPr>
        <w:t>5 - DA ADESÃO À ATA DE REGISTRO DE PREÇOS</w:t>
      </w:r>
    </w:p>
    <w:p>
      <w:pPr>
        <w:pStyle w:val="Nivel01"/>
        <w:numPr>
          <w:ilvl w:val="1"/>
          <w:numId w:val="3"/>
        </w:numPr>
        <w:tabs>
          <w:tab w:val="left" w:pos="0" w:leader="none"/>
          <w:tab w:val="left" w:pos="567" w:leader="none"/>
        </w:tabs>
        <w:spacing w:lineRule="auto" w:line="360"/>
        <w:ind w:hanging="0" w:left="0"/>
        <w:rPr/>
      </w:pPr>
      <w:r>
        <w:rPr>
          <w:b w:val="false"/>
          <w:bCs w:val="false"/>
          <w:sz w:val="22"/>
          <w:szCs w:val="22"/>
        </w:rPr>
        <w:t>- Durante a vigência da ata, as Secretarias Municipais que não participaram do procedimento poderão aderir à ata de registro de preços na condição de não participantes, observados os seguintes requisitos:</w:t>
      </w:r>
    </w:p>
    <w:p>
      <w:pPr>
        <w:pStyle w:val="Nvel3-R"/>
        <w:numPr>
          <w:ilvl w:val="0"/>
          <w:numId w:val="6"/>
        </w:numPr>
        <w:tabs>
          <w:tab w:val="left" w:pos="0" w:leader="none"/>
          <w:tab w:val="left" w:pos="567" w:leader="none"/>
        </w:tabs>
        <w:spacing w:lineRule="auto" w:line="360"/>
        <w:rPr>
          <w:i w:val="false"/>
          <w:i w:val="false"/>
          <w:iCs w:val="false"/>
          <w:color w:val="auto"/>
          <w:sz w:val="22"/>
          <w:szCs w:val="22"/>
        </w:rPr>
      </w:pPr>
      <w:r>
        <w:rPr>
          <w:i w:val="false"/>
          <w:iCs w:val="false"/>
          <w:color w:val="auto"/>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3"/>
        </w:numPr>
        <w:spacing w:lineRule="auto" w:line="360"/>
        <w:rPr>
          <w:color w:val="auto"/>
          <w:sz w:val="22"/>
          <w:szCs w:val="22"/>
        </w:rPr>
      </w:pPr>
      <w:r>
        <w:rPr>
          <w:color w:val="auto"/>
          <w:sz w:val="22"/>
          <w:szCs w:val="22"/>
        </w:rPr>
        <w:t>- É vedado efetuar acréscimos nos quantitativos fixados na ata de registro de preços.</w:t>
      </w:r>
    </w:p>
    <w:p>
      <w:pPr>
        <w:pStyle w:val="Nivel01"/>
        <w:numPr>
          <w:ilvl w:val="0"/>
          <w:numId w:val="3"/>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3"/>
        </w:numPr>
        <w:spacing w:lineRule="auto" w:line="360"/>
        <w:ind w:hanging="0" w:left="0"/>
        <w:rPr>
          <w:color w:val="auto"/>
          <w:sz w:val="22"/>
          <w:szCs w:val="22"/>
        </w:rPr>
      </w:pPr>
      <w:r>
        <w:rPr>
          <w:color w:val="auto"/>
          <w:sz w:val="22"/>
          <w:szCs w:val="22"/>
        </w:rPr>
        <w:t xml:space="preserve">A validade da Ata de Registro de Preços será de 12 (doze) meses, contado a partir do primeiro dia útil subsequente à data de publicação na Imprensa Oficial do Município e divulgação no PNCP, </w:t>
      </w:r>
      <w:r>
        <w:rPr>
          <w:sz w:val="22"/>
          <w:szCs w:val="22"/>
        </w:rPr>
        <w:t>podendo ser prorrogada por igual período, mediante a anuência do fornecedor, desde que comprovado o preço vantajoso.</w:t>
      </w:r>
    </w:p>
    <w:p>
      <w:pPr>
        <w:pStyle w:val="Nvel3"/>
        <w:numPr>
          <w:ilvl w:val="2"/>
          <w:numId w:val="3"/>
        </w:numPr>
        <w:spacing w:lineRule="auto" w:line="360"/>
        <w:ind w:hanging="0" w:left="567"/>
        <w:rPr>
          <w:color w:val="auto"/>
          <w:sz w:val="22"/>
          <w:szCs w:val="22"/>
        </w:rPr>
      </w:pPr>
      <w:r>
        <w:rPr>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3"/>
        </w:numPr>
        <w:spacing w:lineRule="auto" w:line="360"/>
        <w:ind w:hanging="0" w:left="567"/>
        <w:rPr>
          <w:color w:val="auto"/>
          <w:sz w:val="22"/>
          <w:szCs w:val="22"/>
        </w:rPr>
      </w:pPr>
      <w:r>
        <w:rPr>
          <w:color w:val="auto"/>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3"/>
        </w:numPr>
        <w:spacing w:lineRule="auto" w:line="360"/>
        <w:ind w:hanging="0" w:left="0"/>
        <w:rPr>
          <w:color w:val="auto"/>
          <w:sz w:val="22"/>
          <w:szCs w:val="22"/>
        </w:rPr>
      </w:pPr>
      <w:r>
        <w:rPr>
          <w:color w:val="auto"/>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3"/>
        </w:numPr>
        <w:spacing w:lineRule="auto" w:line="360"/>
        <w:ind w:hanging="0" w:left="567"/>
        <w:rPr>
          <w:color w:val="auto"/>
        </w:rPr>
      </w:pPr>
      <w:r>
        <w:rPr>
          <w:rFonts w:eastAsia="Arial"/>
          <w:color w:val="auto"/>
          <w:sz w:val="22"/>
          <w:szCs w:val="22"/>
        </w:rPr>
        <w:t xml:space="preserve"> </w:t>
      </w:r>
      <w:r>
        <w:rPr>
          <w:color w:val="auto"/>
          <w:sz w:val="22"/>
          <w:szCs w:val="22"/>
        </w:rPr>
        <w:t>O instrumento contratual deverá ser assinado no prazo de validade da ata de registro de preços.</w:t>
      </w:r>
    </w:p>
    <w:p>
      <w:pPr>
        <w:pStyle w:val="Nivel2"/>
        <w:numPr>
          <w:ilvl w:val="1"/>
          <w:numId w:val="3"/>
        </w:numPr>
        <w:spacing w:lineRule="auto" w:line="360"/>
        <w:ind w:hanging="0" w:left="0"/>
        <w:rPr>
          <w:color w:val="auto"/>
          <w:sz w:val="22"/>
          <w:szCs w:val="22"/>
        </w:rPr>
      </w:pPr>
      <w:r>
        <w:rPr>
          <w:color w:val="auto"/>
          <w:sz w:val="22"/>
          <w:szCs w:val="22"/>
        </w:rPr>
        <w:t>Os contratos decorrentes do sistema de registro de preços poderão ser alterados, observado o art. 124 da Lei nº 14.133, de 2021.</w:t>
      </w:r>
    </w:p>
    <w:p>
      <w:pPr>
        <w:pStyle w:val="Nivel2"/>
        <w:numPr>
          <w:ilvl w:val="1"/>
          <w:numId w:val="3"/>
        </w:numPr>
        <w:spacing w:lineRule="auto" w:line="360"/>
        <w:ind w:hanging="0" w:left="0"/>
        <w:rPr>
          <w:color w:val="auto"/>
          <w:sz w:val="22"/>
          <w:szCs w:val="22"/>
        </w:rPr>
      </w:pPr>
      <w:r>
        <w:rPr>
          <w:color w:val="auto"/>
          <w:sz w:val="22"/>
          <w:szCs w:val="22"/>
        </w:rPr>
        <w:t>Após a homologação da licitação, deverão ser observadas as seguintes condições para formalização da ata de registro de preços:</w:t>
      </w:r>
    </w:p>
    <w:p>
      <w:pPr>
        <w:pStyle w:val="Nvel3"/>
        <w:numPr>
          <w:ilvl w:val="2"/>
          <w:numId w:val="3"/>
        </w:numPr>
        <w:spacing w:lineRule="auto" w:line="360"/>
        <w:ind w:hanging="0" w:left="567"/>
        <w:rPr>
          <w:color w:val="auto"/>
        </w:rPr>
      </w:pPr>
      <w:r>
        <w:rPr>
          <w:color w:val="auto"/>
          <w:sz w:val="22"/>
          <w:szCs w:val="22"/>
        </w:rPr>
        <w:t>Serão registrados na ata os preços e os quantita</w:t>
      </w:r>
      <w:r>
        <w:rPr>
          <w:rFonts w:eastAsia="Arial"/>
          <w:color w:val="auto"/>
          <w:sz w:val="22"/>
          <w:szCs w:val="22"/>
        </w:rPr>
        <w:t>ti</w:t>
      </w:r>
      <w:r>
        <w:rPr>
          <w:color w:val="auto"/>
          <w:sz w:val="22"/>
          <w:szCs w:val="22"/>
        </w:rPr>
        <w:t xml:space="preserve">vos do adjudicatário, devendo ser observada a possibilidade de o licitante oferecer ou não proposta em quantitativo inferior ao máximo previsto </w:t>
      </w:r>
      <w:r>
        <w:rPr>
          <w:i/>
          <w:iCs/>
          <w:color w:val="auto"/>
          <w:sz w:val="22"/>
          <w:szCs w:val="22"/>
        </w:rPr>
        <w:t xml:space="preserve">no edital </w:t>
      </w:r>
      <w:r>
        <w:rPr>
          <w:color w:val="auto"/>
          <w:sz w:val="22"/>
          <w:szCs w:val="22"/>
        </w:rPr>
        <w:t>e se obrigar nos limites dela;</w:t>
      </w:r>
    </w:p>
    <w:p>
      <w:pPr>
        <w:pStyle w:val="Nvel3"/>
        <w:numPr>
          <w:ilvl w:val="2"/>
          <w:numId w:val="3"/>
        </w:numPr>
        <w:spacing w:lineRule="auto" w:line="360"/>
        <w:ind w:hanging="0" w:left="567"/>
        <w:rPr>
          <w:color w:val="auto"/>
          <w:sz w:val="22"/>
          <w:szCs w:val="22"/>
        </w:rPr>
      </w:pPr>
      <w:r>
        <w:rPr>
          <w:color w:val="auto"/>
          <w:sz w:val="22"/>
          <w:szCs w:val="22"/>
        </w:rPr>
        <w:t>Será incluído na ata, na forma de anexo, o registro dos licitantes ou dos fornecedores que:</w:t>
      </w:r>
    </w:p>
    <w:p>
      <w:pPr>
        <w:pStyle w:val="Nvel4"/>
        <w:spacing w:lineRule="auto" w:line="360"/>
        <w:rPr>
          <w:color w:val="auto"/>
          <w:sz w:val="22"/>
          <w:szCs w:val="22"/>
        </w:rPr>
      </w:pPr>
      <w:r>
        <w:rPr>
          <w:color w:val="auto"/>
          <w:sz w:val="22"/>
          <w:szCs w:val="22"/>
        </w:rPr>
        <w:t xml:space="preserve">Aceitarem cotar os bens, as obras ou os serviços com preços iguais aos do adjudicatário, observada a classificação da licitação; e </w:t>
      </w:r>
    </w:p>
    <w:p>
      <w:pPr>
        <w:pStyle w:val="Nvel4"/>
        <w:spacing w:lineRule="auto" w:line="360"/>
        <w:rPr>
          <w:color w:val="auto"/>
          <w:sz w:val="22"/>
          <w:szCs w:val="22"/>
        </w:rPr>
      </w:pPr>
      <w:r>
        <w:rPr>
          <w:color w:val="auto"/>
          <w:sz w:val="22"/>
          <w:szCs w:val="22"/>
        </w:rPr>
        <w:t xml:space="preserve">Mantiverem sua proposta original. </w:t>
      </w:r>
      <w:bookmarkStart w:id="40" w:name="cadastro_reserva"/>
      <w:bookmarkEnd w:id="40"/>
    </w:p>
    <w:p>
      <w:pPr>
        <w:pStyle w:val="Nvel3"/>
        <w:numPr>
          <w:ilvl w:val="2"/>
          <w:numId w:val="3"/>
        </w:numPr>
        <w:spacing w:lineRule="auto" w:line="360"/>
        <w:ind w:hanging="0" w:left="567"/>
        <w:rPr>
          <w:color w:val="auto"/>
          <w:sz w:val="22"/>
          <w:szCs w:val="22"/>
        </w:rPr>
      </w:pPr>
      <w:r>
        <w:rPr>
          <w:color w:val="auto"/>
          <w:sz w:val="22"/>
          <w:szCs w:val="22"/>
        </w:rPr>
        <w:t>Será respeitada, nas contratações, a ordem de classificação dos licitantes ou dos fornecedores registrados na ata.</w:t>
      </w:r>
    </w:p>
    <w:p>
      <w:pPr>
        <w:pStyle w:val="Nivel2"/>
        <w:numPr>
          <w:ilvl w:val="1"/>
          <w:numId w:val="3"/>
        </w:numPr>
        <w:spacing w:lineRule="auto" w:line="360"/>
        <w:ind w:hanging="0" w:left="0"/>
        <w:rPr>
          <w:color w:val="auto"/>
        </w:rPr>
      </w:pPr>
      <w:r>
        <w:rPr>
          <w:color w:val="auto"/>
          <w:sz w:val="22"/>
          <w:szCs w:val="22"/>
        </w:rPr>
        <w:t>O registro a que se refere o item 6.4.2</w:t>
      </w:r>
      <w:r>
        <w:rPr>
          <w:b/>
          <w:bCs/>
          <w:color w:val="auto"/>
          <w:sz w:val="22"/>
          <w:szCs w:val="22"/>
        </w:rPr>
        <w:t xml:space="preserve"> </w:t>
      </w:r>
      <w:r>
        <w:rPr>
          <w:color w:val="auto"/>
          <w:sz w:val="22"/>
          <w:szCs w:val="22"/>
        </w:rPr>
        <w:t>tem por obje</w:t>
      </w:r>
      <w:r>
        <w:rPr>
          <w:rFonts w:eastAsia="Arial"/>
          <w:color w:val="auto"/>
          <w:sz w:val="22"/>
          <w:szCs w:val="22"/>
        </w:rPr>
        <w:t>ti</w:t>
      </w:r>
      <w:r>
        <w:rPr>
          <w:color w:val="auto"/>
          <w:sz w:val="22"/>
          <w:szCs w:val="22"/>
        </w:rPr>
        <w:t>vo a formação de cadastro de reserva para o caso de impossibilidade de atendimento pelo signatário da ata.</w:t>
      </w:r>
    </w:p>
    <w:p>
      <w:pPr>
        <w:pStyle w:val="Nivel2"/>
        <w:numPr>
          <w:ilvl w:val="1"/>
          <w:numId w:val="3"/>
        </w:numPr>
        <w:spacing w:lineRule="auto" w:line="360"/>
        <w:ind w:hanging="0" w:left="0"/>
        <w:rPr>
          <w:color w:val="auto"/>
          <w:sz w:val="22"/>
          <w:szCs w:val="22"/>
        </w:rPr>
      </w:pPr>
      <w:r>
        <w:rPr>
          <w:color w:val="auto"/>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3"/>
        </w:numPr>
        <w:spacing w:lineRule="auto" w:line="360"/>
        <w:ind w:hanging="0" w:left="0"/>
        <w:rPr>
          <w:color w:val="auto"/>
          <w:sz w:val="22"/>
          <w:szCs w:val="22"/>
        </w:rPr>
      </w:pPr>
      <w:r>
        <w:rPr>
          <w:color w:val="auto"/>
          <w:sz w:val="22"/>
          <w:szCs w:val="22"/>
        </w:rPr>
        <w:t>A habilitação dos licitantes que comporão o cadastro de reserva a que se refere o item 6.4.2.2 somente será efetuada quando houver necessidade de contratação dos licitantes remanescentes, nas seguintes hipóteses:</w:t>
      </w:r>
      <w:bookmarkStart w:id="41" w:name="habilitacao_reserva"/>
      <w:bookmarkEnd w:id="41"/>
    </w:p>
    <w:p>
      <w:pPr>
        <w:pStyle w:val="Nvel3"/>
        <w:numPr>
          <w:ilvl w:val="2"/>
          <w:numId w:val="3"/>
        </w:numPr>
        <w:spacing w:lineRule="auto" w:line="360"/>
        <w:ind w:hanging="0" w:left="567"/>
        <w:rPr>
          <w:color w:val="auto"/>
        </w:rPr>
      </w:pPr>
      <w:r>
        <w:rPr>
          <w:color w:val="auto"/>
          <w:sz w:val="22"/>
          <w:szCs w:val="22"/>
        </w:rPr>
        <w:t xml:space="preserve">Quando o licitante vencedor não assinar a ata de registro de preços, no prazo e nas condições estabelecidos </w:t>
      </w:r>
      <w:r>
        <w:rPr>
          <w:i/>
          <w:iCs/>
          <w:color w:val="auto"/>
          <w:sz w:val="22"/>
          <w:szCs w:val="22"/>
        </w:rPr>
        <w:t>no edital;</w:t>
      </w:r>
      <w:r>
        <w:rPr>
          <w:color w:val="auto"/>
          <w:sz w:val="22"/>
          <w:szCs w:val="22"/>
        </w:rPr>
        <w:t xml:space="preserve"> e</w:t>
      </w:r>
    </w:p>
    <w:p>
      <w:pPr>
        <w:pStyle w:val="Nvel3"/>
        <w:numPr>
          <w:ilvl w:val="2"/>
          <w:numId w:val="3"/>
        </w:numPr>
        <w:spacing w:lineRule="auto" w:line="360"/>
        <w:ind w:hanging="0" w:left="567"/>
        <w:rPr>
          <w:color w:val="auto"/>
        </w:rPr>
      </w:pPr>
      <w:r>
        <w:rPr>
          <w:color w:val="auto"/>
          <w:sz w:val="22"/>
          <w:szCs w:val="22"/>
        </w:rPr>
        <w:t xml:space="preserve">Quando houver o cancelamento do registro do licitante ou do registro de preços nas hipóteses previstas no item </w:t>
      </w:r>
      <w:r>
        <w:rPr>
          <w:color w:val="auto"/>
          <w:sz w:val="22"/>
          <w:szCs w:val="22"/>
        </w:rPr>
        <w:fldChar w:fldCharType="begin"/>
      </w:r>
      <w:r>
        <w:rPr>
          <w:sz w:val="22"/>
          <w:szCs w:val="22"/>
          <w:color w:val="auto"/>
        </w:rPr>
        <w:instrText xml:space="preserve"> REF cancelamento \r \r \h </w:instrText>
      </w:r>
      <w:r>
        <w:rPr>
          <w:sz w:val="22"/>
          <w:szCs w:val="22"/>
          <w:color w:val="auto"/>
        </w:rPr>
        <w:fldChar w:fldCharType="separate"/>
      </w:r>
      <w:r>
        <w:rPr>
          <w:sz w:val="22"/>
          <w:szCs w:val="22"/>
          <w:color w:val="auto"/>
        </w:rPr>
        <w:t>10</w:t>
      </w:r>
      <w:r>
        <w:rPr>
          <w:sz w:val="22"/>
          <w:szCs w:val="22"/>
          <w:color w:val="auto"/>
        </w:rPr>
        <w:fldChar w:fldCharType="end"/>
      </w:r>
      <w:r>
        <w:rPr>
          <w:color w:val="auto"/>
          <w:sz w:val="22"/>
          <w:szCs w:val="22"/>
        </w:rPr>
        <w:t>.</w:t>
      </w:r>
    </w:p>
    <w:p>
      <w:pPr>
        <w:pStyle w:val="Nivel2"/>
        <w:numPr>
          <w:ilvl w:val="1"/>
          <w:numId w:val="3"/>
        </w:numPr>
        <w:spacing w:lineRule="auto" w:line="360"/>
        <w:ind w:hanging="0" w:left="0"/>
        <w:rPr>
          <w:color w:val="auto"/>
          <w:sz w:val="22"/>
          <w:szCs w:val="22"/>
        </w:rPr>
      </w:pPr>
      <w:r>
        <w:rPr>
          <w:color w:val="auto"/>
          <w:sz w:val="22"/>
          <w:szCs w:val="22"/>
        </w:rPr>
        <w:t>O preço registrado com indicação dos licitantes e fornecedores será divulgado no PNCP e ficará disponibilizado durante a vigência da ata de registro de preços.</w:t>
      </w:r>
    </w:p>
    <w:p>
      <w:pPr>
        <w:pStyle w:val="Nivel2"/>
        <w:numPr>
          <w:ilvl w:val="1"/>
          <w:numId w:val="3"/>
        </w:numPr>
        <w:spacing w:lineRule="auto" w:line="360"/>
        <w:ind w:hanging="0" w:left="0"/>
        <w:rPr>
          <w:color w:val="auto"/>
          <w:sz w:val="22"/>
          <w:szCs w:val="22"/>
        </w:rPr>
      </w:pPr>
      <w:r>
        <w:rPr>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3"/>
        </w:numPr>
        <w:spacing w:lineRule="auto" w:line="360"/>
        <w:ind w:hanging="0" w:left="567"/>
        <w:rPr>
          <w:color w:val="auto"/>
          <w:sz w:val="22"/>
          <w:szCs w:val="22"/>
        </w:rPr>
      </w:pPr>
      <w:r>
        <w:rPr>
          <w:color w:val="auto"/>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3"/>
        </w:numPr>
        <w:spacing w:lineRule="auto" w:line="360"/>
        <w:ind w:hanging="0" w:left="0"/>
        <w:rPr>
          <w:color w:val="auto"/>
          <w:sz w:val="22"/>
          <w:szCs w:val="22"/>
        </w:rPr>
      </w:pPr>
      <w:r>
        <w:rPr>
          <w:color w:val="auto"/>
          <w:sz w:val="22"/>
          <w:szCs w:val="22"/>
        </w:rPr>
        <w:t>A ata de registro de preços poderá ser assinada por meio de assinatura digital.</w:t>
      </w:r>
    </w:p>
    <w:p>
      <w:pPr>
        <w:pStyle w:val="Nivel2"/>
        <w:numPr>
          <w:ilvl w:val="1"/>
          <w:numId w:val="3"/>
        </w:numPr>
        <w:spacing w:lineRule="auto" w:line="360"/>
        <w:ind w:hanging="0" w:left="0"/>
        <w:rPr>
          <w:color w:val="auto"/>
          <w:sz w:val="22"/>
          <w:szCs w:val="22"/>
        </w:rPr>
      </w:pPr>
      <w:r>
        <w:rPr>
          <w:color w:val="auto"/>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2" w:name="recusa_dos_que_baixaram_preco"/>
      <w:bookmarkEnd w:id="42"/>
    </w:p>
    <w:p>
      <w:pPr>
        <w:pStyle w:val="Nivel2"/>
        <w:numPr>
          <w:ilvl w:val="1"/>
          <w:numId w:val="3"/>
        </w:numPr>
        <w:spacing w:lineRule="auto" w:line="360"/>
        <w:ind w:hanging="0" w:left="0"/>
        <w:rPr>
          <w:color w:val="auto"/>
        </w:rPr>
      </w:pPr>
      <w:r>
        <w:rPr>
          <w:color w:val="auto"/>
          <w:sz w:val="22"/>
          <w:szCs w:val="22"/>
        </w:rPr>
        <w:t>Na hipótese de nenhum dos licitantes que trata o item 6.4.2.1, aceitar a contratação nos termos do item anterior, a Administração, observados o valor es</w:t>
      </w:r>
      <w:r>
        <w:rPr>
          <w:rFonts w:eastAsia="Arial"/>
          <w:color w:val="auto"/>
          <w:sz w:val="22"/>
          <w:szCs w:val="22"/>
        </w:rPr>
        <w:t>ti</w:t>
      </w:r>
      <w:r>
        <w:rPr>
          <w:color w:val="auto"/>
          <w:sz w:val="22"/>
          <w:szCs w:val="22"/>
        </w:rPr>
        <w:t xml:space="preserve">mado e sua eventual atualização nos termos </w:t>
      </w:r>
      <w:r>
        <w:rPr>
          <w:i/>
          <w:iCs/>
          <w:color w:val="auto"/>
          <w:sz w:val="22"/>
          <w:szCs w:val="22"/>
        </w:rPr>
        <w:t>do edital</w:t>
      </w:r>
      <w:r>
        <w:rPr>
          <w:color w:val="auto"/>
          <w:sz w:val="22"/>
          <w:szCs w:val="22"/>
        </w:rPr>
        <w:t>, poderá:</w:t>
      </w:r>
    </w:p>
    <w:p>
      <w:pPr>
        <w:pStyle w:val="Nvel3"/>
        <w:numPr>
          <w:ilvl w:val="2"/>
          <w:numId w:val="3"/>
        </w:numPr>
        <w:spacing w:lineRule="auto" w:line="360"/>
        <w:ind w:hanging="0" w:left="567"/>
        <w:rPr>
          <w:color w:val="auto"/>
          <w:sz w:val="22"/>
          <w:szCs w:val="22"/>
        </w:rPr>
      </w:pPr>
      <w:r>
        <w:rPr>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3"/>
        </w:numPr>
        <w:spacing w:lineRule="auto" w:line="360"/>
        <w:ind w:hanging="0" w:left="567"/>
        <w:rPr>
          <w:color w:val="auto"/>
          <w:sz w:val="22"/>
          <w:szCs w:val="22"/>
        </w:rPr>
      </w:pPr>
      <w:r>
        <w:rPr>
          <w:color w:val="auto"/>
          <w:sz w:val="22"/>
          <w:szCs w:val="22"/>
        </w:rPr>
        <w:t>Adjudicar e firmar o contrato nas condições ofertadas pelos licitantes ou fornecedores remanescentes, atendida a ordem classificatória, quando frustrada a negociação de melhor condição.</w:t>
      </w:r>
    </w:p>
    <w:p>
      <w:pPr>
        <w:pStyle w:val="Nivel2"/>
        <w:tabs>
          <w:tab w:val="clear" w:pos="0"/>
        </w:tabs>
        <w:spacing w:lineRule="auto" w:line="360"/>
        <w:ind w:hanging="0" w:left="0"/>
        <w:rPr>
          <w:color w:val="auto"/>
          <w:sz w:val="22"/>
          <w:szCs w:val="22"/>
        </w:rPr>
      </w:pPr>
      <w:r>
        <w:rPr>
          <w:color w:val="auto"/>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3"/>
        </w:numPr>
        <w:spacing w:lineRule="auto" w:line="360" w:before="0" w:after="0"/>
        <w:ind w:hanging="0" w:lef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3"/>
        </w:numPr>
        <w:spacing w:lineRule="auto" w:line="360" w:before="0" w:after="0"/>
        <w:ind w:hanging="0" w:left="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3"/>
        </w:numPr>
        <w:spacing w:lineRule="auto" w:line="360" w:before="0" w:after="0"/>
        <w:ind w:hanging="0" w:left="0"/>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3"/>
        </w:numPr>
        <w:spacing w:lineRule="auto" w:line="360" w:before="0" w:after="0"/>
        <w:ind w:hanging="0" w:left="0"/>
        <w:rPr>
          <w:sz w:val="22"/>
          <w:szCs w:val="22"/>
        </w:rPr>
      </w:pPr>
      <w:bookmarkStart w:id="43" w:name="_Hlk165615619"/>
      <w:r>
        <w:rPr>
          <w:sz w:val="22"/>
          <w:szCs w:val="22"/>
        </w:rPr>
        <w:t>- Caso o prazo exceda os 12 (doze) meses previstos, os preços serão reajustados de acordo com o índice de variação do IPCA-IBGE.</w:t>
      </w:r>
      <w:bookmarkEnd w:id="43"/>
    </w:p>
    <w:p>
      <w:pPr>
        <w:pStyle w:val="ListParagraph"/>
        <w:spacing w:lineRule="auto" w:line="240"/>
        <w:ind w:left="360"/>
        <w:rPr/>
      </w:pPr>
      <w:r>
        <w:rPr/>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3"/>
        </w:numPr>
        <w:spacing w:lineRule="auto" w:line="360"/>
        <w:ind w:hanging="0" w:left="0"/>
        <w:rPr>
          <w:color w:val="auto"/>
        </w:rPr>
      </w:pPr>
      <w:r>
        <w:rPr>
          <w:color w:val="auto"/>
          <w:sz w:val="22"/>
          <w:szCs w:val="22"/>
        </w:rPr>
        <w:t>Na hipótese de o preço registrado tornar-se superior ao preço pra</w:t>
      </w:r>
      <w:r>
        <w:rPr>
          <w:rFonts w:eastAsia="Calibri"/>
          <w:color w:val="auto"/>
          <w:sz w:val="22"/>
          <w:szCs w:val="22"/>
        </w:rPr>
        <w:t>ti</w:t>
      </w:r>
      <w:r>
        <w:rPr>
          <w:color w:val="auto"/>
          <w:sz w:val="22"/>
          <w:szCs w:val="22"/>
        </w:rPr>
        <w:t>cado no mercado por mo</w:t>
      </w:r>
      <w:r>
        <w:rPr>
          <w:rFonts w:eastAsia="Calibri"/>
          <w:color w:val="auto"/>
          <w:sz w:val="22"/>
          <w:szCs w:val="22"/>
        </w:rPr>
        <w:t>ti</w:t>
      </w:r>
      <w:r>
        <w:rPr>
          <w:color w:val="auto"/>
          <w:sz w:val="22"/>
          <w:szCs w:val="22"/>
        </w:rPr>
        <w:t>vo superveniente, o órgão ou en</w:t>
      </w:r>
      <w:r>
        <w:rPr>
          <w:rFonts w:eastAsia="Calibri"/>
          <w:color w:val="auto"/>
          <w:sz w:val="22"/>
          <w:szCs w:val="22"/>
        </w:rPr>
        <w:t>ti</w:t>
      </w:r>
      <w:r>
        <w:rPr>
          <w:color w:val="auto"/>
          <w:sz w:val="22"/>
          <w:szCs w:val="22"/>
        </w:rPr>
        <w:t>dade gerenciadora convocará o fornecedor para negociar a redução do preço registrado.</w:t>
      </w:r>
    </w:p>
    <w:p>
      <w:pPr>
        <w:pStyle w:val="Nvel3"/>
        <w:numPr>
          <w:ilvl w:val="2"/>
          <w:numId w:val="3"/>
        </w:numPr>
        <w:spacing w:lineRule="auto" w:line="360"/>
        <w:ind w:hanging="0" w:left="567"/>
        <w:rPr>
          <w:color w:val="auto"/>
        </w:rPr>
      </w:pPr>
      <w:r>
        <w:rPr>
          <w:color w:val="auto"/>
          <w:sz w:val="22"/>
          <w:szCs w:val="22"/>
        </w:rPr>
        <w:t>Caso não aceite reduzir seu preço aos valores pra</w:t>
      </w:r>
      <w:r>
        <w:rPr>
          <w:rFonts w:eastAsia="Calibri"/>
          <w:color w:val="auto"/>
          <w:sz w:val="22"/>
          <w:szCs w:val="22"/>
        </w:rPr>
        <w:t>ti</w:t>
      </w:r>
      <w:r>
        <w:rPr>
          <w:color w:val="auto"/>
          <w:sz w:val="22"/>
          <w:szCs w:val="22"/>
        </w:rPr>
        <w:t>cados pelo mercado, o fornecedor será liberado do compromisso assumido quanto ao item registrado, sem aplicação de penalidades administrativas.</w:t>
      </w:r>
    </w:p>
    <w:p>
      <w:pPr>
        <w:pStyle w:val="Nvel3"/>
        <w:numPr>
          <w:ilvl w:val="2"/>
          <w:numId w:val="3"/>
        </w:numPr>
        <w:spacing w:lineRule="auto" w:line="360"/>
        <w:ind w:hanging="0" w:left="567"/>
        <w:rPr>
          <w:color w:val="auto"/>
          <w:sz w:val="22"/>
          <w:szCs w:val="22"/>
        </w:rPr>
      </w:pPr>
      <w:r>
        <w:rPr>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3"/>
        </w:numPr>
        <w:spacing w:lineRule="auto" w:line="360"/>
        <w:ind w:hanging="0" w:left="567"/>
        <w:rPr>
          <w:color w:val="auto"/>
        </w:rPr>
      </w:pPr>
      <w:r>
        <w:rPr>
          <w:color w:val="auto"/>
          <w:sz w:val="22"/>
          <w:szCs w:val="22"/>
        </w:rPr>
        <w:t>Se não obtiver êxito nas negociações, o órgão ou en</w:t>
      </w:r>
      <w:r>
        <w:rPr>
          <w:rFonts w:eastAsia="Calibri"/>
          <w:color w:val="auto"/>
          <w:sz w:val="22"/>
          <w:szCs w:val="22"/>
        </w:rPr>
        <w:t>tid</w:t>
      </w:r>
      <w:r>
        <w:rPr>
          <w:color w:val="auto"/>
          <w:sz w:val="22"/>
          <w:szCs w:val="22"/>
        </w:rPr>
        <w:t>ade gerenciadora procederá ao cancelamento da ata de registro de preços, adotando as medidas cabíveis para obtenção de contratação mais vantajosa.</w:t>
      </w:r>
      <w:bookmarkStart w:id="44" w:name="reducao_preco_mercado_negociacao_frustra"/>
      <w:bookmarkEnd w:id="44"/>
    </w:p>
    <w:p>
      <w:pPr>
        <w:pStyle w:val="Nvel3"/>
        <w:numPr>
          <w:ilvl w:val="2"/>
          <w:numId w:val="3"/>
        </w:numPr>
        <w:spacing w:lineRule="auto" w:line="360"/>
        <w:ind w:hanging="0" w:left="567"/>
        <w:rPr>
          <w:color w:val="auto"/>
        </w:rPr>
      </w:pPr>
      <w:r>
        <w:rPr>
          <w:color w:val="auto"/>
          <w:sz w:val="22"/>
          <w:szCs w:val="22"/>
        </w:rPr>
        <w:t>Na hipótese de redução do preço registrado, o gerenciador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3"/>
        </w:numPr>
        <w:spacing w:lineRule="auto" w:line="360"/>
        <w:ind w:hanging="0" w:left="0"/>
        <w:rPr>
          <w:color w:val="auto"/>
          <w:sz w:val="22"/>
          <w:szCs w:val="22"/>
        </w:rPr>
      </w:pPr>
      <w:r>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5" w:name="hipotese_preco_mercado_maior"/>
      <w:bookmarkEnd w:id="45"/>
    </w:p>
    <w:p>
      <w:pPr>
        <w:pStyle w:val="Nvel3"/>
        <w:numPr>
          <w:ilvl w:val="2"/>
          <w:numId w:val="3"/>
        </w:numPr>
        <w:spacing w:lineRule="auto" w:line="360"/>
        <w:ind w:hanging="0" w:left="567"/>
        <w:rPr>
          <w:color w:val="auto"/>
          <w:sz w:val="22"/>
          <w:szCs w:val="22"/>
        </w:rPr>
      </w:pPr>
      <w:r>
        <w:rPr>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6" w:name="prova_preco_mercado_maior"/>
      <w:bookmarkEnd w:id="46"/>
    </w:p>
    <w:p>
      <w:pPr>
        <w:pStyle w:val="Nvel3"/>
        <w:numPr>
          <w:ilvl w:val="2"/>
          <w:numId w:val="3"/>
        </w:numPr>
        <w:spacing w:lineRule="auto" w:line="360"/>
        <w:ind w:hanging="0" w:left="567"/>
        <w:rPr>
          <w:color w:val="auto"/>
        </w:rPr>
      </w:pPr>
      <w:r>
        <w:rPr>
          <w:color w:val="auto"/>
          <w:sz w:val="22"/>
          <w:szCs w:val="22"/>
        </w:rPr>
        <w:t>Não hipótese de não comprovação da existência de fato superveniente que inviabilize o preço registrado, o pedido será indeferido pelo órgão ou en</w:t>
      </w:r>
      <w:r>
        <w:rPr>
          <w:rFonts w:eastAsia="Calibri"/>
          <w:color w:val="auto"/>
          <w:sz w:val="22"/>
          <w:szCs w:val="22"/>
        </w:rPr>
        <w:t>ti</w:t>
      </w:r>
      <w:r>
        <w:rPr>
          <w:color w:val="auto"/>
          <w:sz w:val="22"/>
          <w:szCs w:val="22"/>
        </w:rPr>
        <w:t xml:space="preserve">dade gerenciadora e o fornecedor deverá cumprir as obrigações estabelecidas na ata, sob pena de cancelamento do seu registro, nos termos do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sem prejuízo das sanções previstas na Lei nº 14.133, de 2021, e na legislação aplicável.</w:t>
      </w:r>
    </w:p>
    <w:p>
      <w:pPr>
        <w:pStyle w:val="Nvel3"/>
        <w:numPr>
          <w:ilvl w:val="2"/>
          <w:numId w:val="3"/>
        </w:numPr>
        <w:spacing w:lineRule="auto" w:line="360"/>
        <w:ind w:hanging="0" w:left="567"/>
        <w:rPr>
          <w:color w:val="auto"/>
          <w:sz w:val="22"/>
          <w:szCs w:val="22"/>
        </w:rPr>
      </w:pPr>
      <w:r>
        <w:rPr>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3"/>
        </w:numPr>
        <w:spacing w:lineRule="auto" w:line="360"/>
        <w:ind w:hanging="0" w:left="567"/>
        <w:rPr>
          <w:color w:val="auto"/>
        </w:rPr>
      </w:pPr>
      <w:r>
        <w:rPr>
          <w:color w:val="auto"/>
          <w:sz w:val="22"/>
          <w:szCs w:val="22"/>
        </w:rPr>
        <w:t xml:space="preserve">Se não obtiver êxito nas negociações, o órgão ou entidade gerenciadora procederá ao cancelamento da ata de registro de preços, nos termos do item </w:t>
      </w:r>
      <w:r>
        <w:rPr>
          <w:color w:val="auto"/>
          <w:sz w:val="22"/>
          <w:szCs w:val="22"/>
        </w:rPr>
        <w:fldChar w:fldCharType="begin"/>
      </w:r>
      <w:r>
        <w:rPr>
          <w:sz w:val="22"/>
          <w:szCs w:val="22"/>
          <w:color w:val="auto"/>
        </w:rPr>
        <w:instrText xml:space="preserve"> REF cancelamento_da_ata \r \r \h </w:instrText>
      </w:r>
      <w:r>
        <w:rPr>
          <w:sz w:val="22"/>
          <w:szCs w:val="22"/>
          <w:color w:val="auto"/>
        </w:rPr>
        <w:fldChar w:fldCharType="separate"/>
      </w:r>
      <w:r>
        <w:rPr>
          <w:sz w:val="22"/>
          <w:szCs w:val="22"/>
          <w:color w:val="auto"/>
        </w:rPr>
        <w:t>10.4</w:t>
      </w:r>
      <w:r>
        <w:rPr>
          <w:sz w:val="22"/>
          <w:szCs w:val="22"/>
          <w:color w:val="auto"/>
        </w:rPr>
        <w:fldChar w:fldCharType="end"/>
      </w:r>
      <w:r>
        <w:rPr>
          <w:color w:val="auto"/>
          <w:sz w:val="22"/>
          <w:szCs w:val="22"/>
        </w:rPr>
        <w:t>, e adotará as medidas cabíveis para a obtenção da contratação mais vantajosa.</w:t>
      </w:r>
    </w:p>
    <w:p>
      <w:pPr>
        <w:pStyle w:val="Nvel3"/>
        <w:numPr>
          <w:ilvl w:val="2"/>
          <w:numId w:val="3"/>
        </w:numPr>
        <w:spacing w:lineRule="auto" w:line="360"/>
        <w:ind w:hanging="0" w:left="567"/>
        <w:rPr>
          <w:color w:val="auto"/>
        </w:rPr>
      </w:pPr>
      <w:r>
        <w:rPr>
          <w:color w:val="auto"/>
          <w:sz w:val="22"/>
          <w:szCs w:val="22"/>
        </w:rPr>
        <w:t xml:space="preserve">Na hipótese de comprovação da majoração do preço de mercado que inviabilize o preço registrado, conforme previsto no item </w:t>
      </w:r>
      <w:r>
        <w:rPr>
          <w:color w:val="auto"/>
          <w:sz w:val="22"/>
          <w:szCs w:val="22"/>
        </w:rPr>
        <w:fldChar w:fldCharType="begin"/>
      </w:r>
      <w:r>
        <w:rPr>
          <w:sz w:val="22"/>
          <w:szCs w:val="22"/>
          <w:color w:val="auto"/>
        </w:rPr>
        <w:instrText xml:space="preserve"> REF hipotese_preco_mercado_maior \r \r \h </w:instrText>
      </w:r>
      <w:r>
        <w:rPr>
          <w:sz w:val="22"/>
          <w:szCs w:val="22"/>
          <w:color w:val="auto"/>
        </w:rPr>
        <w:fldChar w:fldCharType="separate"/>
      </w:r>
      <w:r>
        <w:rPr>
          <w:sz w:val="22"/>
          <w:szCs w:val="22"/>
          <w:color w:val="auto"/>
        </w:rPr>
        <w:t>8.2</w:t>
      </w:r>
      <w:r>
        <w:rPr>
          <w:sz w:val="22"/>
          <w:szCs w:val="22"/>
          <w:color w:val="auto"/>
        </w:rPr>
        <w:fldChar w:fldCharType="end"/>
      </w:r>
      <w:r>
        <w:rPr>
          <w:color w:val="auto"/>
          <w:sz w:val="22"/>
          <w:szCs w:val="22"/>
        </w:rPr>
        <w:t xml:space="preserve"> e no item </w:t>
      </w:r>
      <w:r>
        <w:rPr>
          <w:color w:val="auto"/>
          <w:sz w:val="22"/>
          <w:szCs w:val="22"/>
        </w:rPr>
        <w:fldChar w:fldCharType="begin"/>
      </w:r>
      <w:r>
        <w:rPr>
          <w:sz w:val="22"/>
          <w:szCs w:val="22"/>
          <w:color w:val="auto"/>
        </w:rPr>
        <w:instrText xml:space="preserve"> REF prova_preco_mercado_maior \r \r \h </w:instrText>
      </w:r>
      <w:r>
        <w:rPr>
          <w:sz w:val="22"/>
          <w:szCs w:val="22"/>
          <w:color w:val="auto"/>
        </w:rPr>
        <w:fldChar w:fldCharType="separate"/>
      </w:r>
      <w:r>
        <w:rPr>
          <w:sz w:val="22"/>
          <w:szCs w:val="22"/>
          <w:color w:val="auto"/>
        </w:rPr>
        <w:t>8.2.1</w:t>
      </w:r>
      <w:r>
        <w:rPr>
          <w:sz w:val="22"/>
          <w:szCs w:val="22"/>
          <w:color w:val="auto"/>
        </w:rPr>
        <w:fldChar w:fldCharType="end"/>
      </w:r>
      <w:r>
        <w:rPr>
          <w:color w:val="auto"/>
          <w:sz w:val="22"/>
          <w:szCs w:val="22"/>
        </w:rPr>
        <w:t>, o órgão ou en</w:t>
      </w:r>
      <w:r>
        <w:rPr>
          <w:rFonts w:eastAsia="Calibri"/>
          <w:color w:val="auto"/>
          <w:sz w:val="22"/>
          <w:szCs w:val="22"/>
        </w:rPr>
        <w:t>ti</w:t>
      </w:r>
      <w:r>
        <w:rPr>
          <w:color w:val="auto"/>
          <w:sz w:val="22"/>
          <w:szCs w:val="22"/>
        </w:rPr>
        <w:t>dade gerenciadora atualizará o preço registrado, de acordo com a realidade dos valores praticados pelo mercado.</w:t>
      </w:r>
    </w:p>
    <w:p>
      <w:pPr>
        <w:pStyle w:val="Nvel3"/>
        <w:numPr>
          <w:ilvl w:val="2"/>
          <w:numId w:val="3"/>
        </w:numPr>
        <w:spacing w:lineRule="auto" w:line="360"/>
        <w:ind w:hanging="0" w:left="567"/>
        <w:rPr>
          <w:color w:val="auto"/>
        </w:rPr>
      </w:pPr>
      <w:r>
        <w:rPr>
          <w:rFonts w:eastAsia="Arial"/>
          <w:color w:val="auto"/>
          <w:sz w:val="22"/>
          <w:szCs w:val="22"/>
        </w:rPr>
        <w:t xml:space="preserve"> </w:t>
      </w:r>
      <w:r>
        <w:rPr>
          <w:color w:val="auto"/>
          <w:sz w:val="22"/>
          <w:szCs w:val="22"/>
        </w:rPr>
        <w:t>O órgão ou en</w:t>
      </w:r>
      <w:r>
        <w:rPr>
          <w:rFonts w:eastAsia="Calibri"/>
          <w:color w:val="auto"/>
          <w:sz w:val="22"/>
          <w:szCs w:val="22"/>
        </w:rPr>
        <w:t>ti</w:t>
      </w:r>
      <w:r>
        <w:rPr>
          <w:color w:val="auto"/>
          <w:sz w:val="22"/>
          <w:szCs w:val="22"/>
        </w:rPr>
        <w:t>dade gerenciadora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sobre a efe</w:t>
      </w:r>
      <w:r>
        <w:rPr>
          <w:rFonts w:eastAsia="Calibri"/>
          <w:color w:val="auto"/>
          <w:sz w:val="22"/>
          <w:szCs w:val="22"/>
        </w:rPr>
        <w:t>ti</w:t>
      </w:r>
      <w:r>
        <w:rPr>
          <w:color w:val="auto"/>
          <w:sz w:val="22"/>
          <w:szCs w:val="22"/>
        </w:rPr>
        <w:t>va alteração do preço registrado, para que avaliem a necessidade de alteração contratual, observado o disposto no art. 124 da Lei nº 14.133, de 2021.</w:t>
      </w:r>
    </w:p>
    <w:p>
      <w:pPr>
        <w:pStyle w:val="Nivel01"/>
        <w:numPr>
          <w:ilvl w:val="0"/>
          <w:numId w:val="3"/>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3"/>
        </w:numPr>
        <w:spacing w:lineRule="auto" w:line="360"/>
        <w:ind w:hanging="0" w:left="0"/>
        <w:rPr>
          <w:color w:val="auto"/>
        </w:rPr>
      </w:pPr>
      <w:r>
        <w:rPr>
          <w:rFonts w:eastAsia="Arial"/>
          <w:color w:val="auto"/>
          <w:sz w:val="22"/>
          <w:szCs w:val="22"/>
        </w:rPr>
        <w:t xml:space="preserve"> </w:t>
      </w:r>
      <w:r>
        <w:rPr>
          <w:color w:val="auto"/>
          <w:sz w:val="22"/>
          <w:szCs w:val="22"/>
        </w:rPr>
        <w:t>As quan</w:t>
      </w:r>
      <w:r>
        <w:rPr>
          <w:rFonts w:eastAsia="Arial"/>
          <w:color w:val="auto"/>
          <w:sz w:val="22"/>
          <w:szCs w:val="22"/>
        </w:rPr>
        <w:t>ti</w:t>
      </w:r>
      <w:r>
        <w:rPr>
          <w:color w:val="auto"/>
          <w:sz w:val="22"/>
          <w:szCs w:val="22"/>
        </w:rPr>
        <w:t>dades previstas para os itens com preços registrados nas atas de registro de preços poderão ser remanejadas entre as Secretarias par</w:t>
      </w:r>
      <w:r>
        <w:rPr>
          <w:rFonts w:eastAsia="Arial"/>
          <w:color w:val="auto"/>
          <w:sz w:val="22"/>
          <w:szCs w:val="22"/>
        </w:rPr>
        <w:t>ti</w:t>
      </w:r>
      <w:r>
        <w:rPr>
          <w:color w:val="auto"/>
          <w:sz w:val="22"/>
          <w:szCs w:val="22"/>
        </w:rPr>
        <w:t>cipantes e não par</w:t>
      </w:r>
      <w:r>
        <w:rPr>
          <w:rFonts w:eastAsia="Arial"/>
          <w:color w:val="auto"/>
          <w:sz w:val="22"/>
          <w:szCs w:val="22"/>
        </w:rPr>
        <w:t>ti</w:t>
      </w:r>
      <w:r>
        <w:rPr>
          <w:color w:val="auto"/>
          <w:sz w:val="22"/>
          <w:szCs w:val="22"/>
        </w:rPr>
        <w:t>cipantes do registro de preços.</w:t>
      </w:r>
    </w:p>
    <w:p>
      <w:pPr>
        <w:pStyle w:val="Nivel2"/>
        <w:numPr>
          <w:ilvl w:val="1"/>
          <w:numId w:val="3"/>
        </w:numPr>
        <w:spacing w:lineRule="auto" w:line="360"/>
        <w:ind w:hanging="0" w:left="0"/>
        <w:rPr>
          <w:color w:val="auto"/>
        </w:rPr>
      </w:pPr>
      <w:r>
        <w:rPr>
          <w:rFonts w:eastAsia="Arial"/>
          <w:color w:val="auto"/>
          <w:sz w:val="22"/>
          <w:szCs w:val="22"/>
        </w:rPr>
        <w:t xml:space="preserve"> </w:t>
      </w:r>
      <w:r>
        <w:rPr>
          <w:color w:val="auto"/>
          <w:sz w:val="22"/>
          <w:szCs w:val="22"/>
        </w:rPr>
        <w:t>O remanejamento somente poderá ser feito:</w:t>
      </w:r>
    </w:p>
    <w:p>
      <w:pPr>
        <w:pStyle w:val="Nvel3"/>
        <w:numPr>
          <w:ilvl w:val="2"/>
          <w:numId w:val="3"/>
        </w:numPr>
        <w:spacing w:lineRule="auto" w:line="360"/>
        <w:ind w:hanging="0" w:left="567"/>
        <w:rPr>
          <w:color w:val="auto"/>
        </w:rPr>
      </w:pPr>
      <w:r>
        <w:rPr>
          <w:color w:val="auto"/>
          <w:sz w:val="22"/>
          <w:szCs w:val="22"/>
        </w:rPr>
        <w:t>De Secretaria par</w:t>
      </w:r>
      <w:r>
        <w:rPr>
          <w:rFonts w:eastAsia="Arial"/>
          <w:color w:val="auto"/>
          <w:sz w:val="22"/>
          <w:szCs w:val="22"/>
        </w:rPr>
        <w:t>ti</w:t>
      </w:r>
      <w:r>
        <w:rPr>
          <w:color w:val="auto"/>
          <w:sz w:val="22"/>
          <w:szCs w:val="22"/>
        </w:rPr>
        <w:t>cipante para Secretaria par</w:t>
      </w:r>
      <w:r>
        <w:rPr>
          <w:rFonts w:eastAsia="Arial"/>
          <w:color w:val="auto"/>
          <w:sz w:val="22"/>
          <w:szCs w:val="22"/>
        </w:rPr>
        <w:t>ti</w:t>
      </w:r>
      <w:r>
        <w:rPr>
          <w:color w:val="auto"/>
          <w:sz w:val="22"/>
          <w:szCs w:val="22"/>
        </w:rPr>
        <w:t>cipante; ou</w:t>
      </w:r>
    </w:p>
    <w:p>
      <w:pPr>
        <w:pStyle w:val="Nvel3"/>
        <w:numPr>
          <w:ilvl w:val="2"/>
          <w:numId w:val="3"/>
        </w:numPr>
        <w:spacing w:lineRule="auto" w:line="360"/>
        <w:ind w:hanging="0" w:left="567"/>
        <w:rPr>
          <w:color w:val="auto"/>
        </w:rPr>
      </w:pPr>
      <w:r>
        <w:rPr>
          <w:color w:val="auto"/>
          <w:sz w:val="22"/>
          <w:szCs w:val="22"/>
        </w:rPr>
        <w:t>De Secretaria par</w:t>
      </w:r>
      <w:r>
        <w:rPr>
          <w:rFonts w:eastAsia="Arial"/>
          <w:color w:val="auto"/>
          <w:sz w:val="22"/>
          <w:szCs w:val="22"/>
        </w:rPr>
        <w:t>ti</w:t>
      </w:r>
      <w:r>
        <w:rPr>
          <w:color w:val="auto"/>
          <w:sz w:val="22"/>
          <w:szCs w:val="22"/>
        </w:rPr>
        <w:t>cipante para Secretaria não participante.</w:t>
      </w:r>
    </w:p>
    <w:p>
      <w:pPr>
        <w:pStyle w:val="Nivel2"/>
        <w:numPr>
          <w:ilvl w:val="1"/>
          <w:numId w:val="3"/>
        </w:numPr>
        <w:spacing w:lineRule="auto" w:line="360"/>
        <w:ind w:hanging="0" w:left="0"/>
        <w:rPr>
          <w:color w:val="auto"/>
        </w:rPr>
      </w:pPr>
      <w:r>
        <w:rPr>
          <w:color w:val="auto"/>
          <w:sz w:val="22"/>
          <w:szCs w:val="22"/>
        </w:rPr>
        <w:t>O órgão ou en</w:t>
      </w:r>
      <w:r>
        <w:rPr>
          <w:rFonts w:eastAsia="Arial"/>
          <w:color w:val="auto"/>
          <w:sz w:val="22"/>
          <w:szCs w:val="22"/>
        </w:rPr>
        <w:t>ti</w:t>
      </w:r>
      <w:r>
        <w:rPr>
          <w:color w:val="auto"/>
          <w:sz w:val="22"/>
          <w:szCs w:val="22"/>
        </w:rPr>
        <w:t>dade gerenciadora que tiver es</w:t>
      </w:r>
      <w:r>
        <w:rPr>
          <w:rFonts w:eastAsia="Arial"/>
          <w:color w:val="auto"/>
          <w:sz w:val="22"/>
          <w:szCs w:val="22"/>
        </w:rPr>
        <w:t>ti</w:t>
      </w:r>
      <w:r>
        <w:rPr>
          <w:color w:val="auto"/>
          <w:sz w:val="22"/>
          <w:szCs w:val="22"/>
        </w:rPr>
        <w:t>mado as quan</w:t>
      </w:r>
      <w:r>
        <w:rPr>
          <w:rFonts w:eastAsia="Arial"/>
          <w:color w:val="auto"/>
          <w:sz w:val="22"/>
          <w:szCs w:val="22"/>
        </w:rPr>
        <w:t>ti</w:t>
      </w:r>
      <w:r>
        <w:rPr>
          <w:color w:val="auto"/>
          <w:sz w:val="22"/>
          <w:szCs w:val="22"/>
        </w:rPr>
        <w:t>dades que pretende contratar será considerado participante para efeito do remanejamento.</w:t>
      </w:r>
      <w:bookmarkStart w:id="47" w:name="gerenciador_estimador_é_partic_em_remane"/>
      <w:bookmarkEnd w:id="47"/>
    </w:p>
    <w:p>
      <w:pPr>
        <w:pStyle w:val="Nivel01"/>
        <w:numPr>
          <w:ilvl w:val="0"/>
          <w:numId w:val="3"/>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48" w:name="cancelamento"/>
      <w:bookmarkEnd w:id="48"/>
    </w:p>
    <w:p>
      <w:pPr>
        <w:pStyle w:val="Nivel2"/>
        <w:numPr>
          <w:ilvl w:val="1"/>
          <w:numId w:val="3"/>
        </w:numPr>
        <w:spacing w:lineRule="auto" w:line="360"/>
        <w:ind w:hanging="0" w:left="0"/>
        <w:rPr>
          <w:color w:val="auto"/>
          <w:sz w:val="22"/>
          <w:szCs w:val="22"/>
        </w:rPr>
      </w:pPr>
      <w:r>
        <w:rPr>
          <w:color w:val="auto"/>
          <w:sz w:val="22"/>
          <w:szCs w:val="22"/>
        </w:rPr>
        <w:t>O registro do fornecedor será cancelado pelo gerenciador, quando o fornecedor:</w:t>
      </w:r>
      <w:bookmarkStart w:id="49" w:name="cancelamento_do_fornecedor"/>
      <w:bookmarkEnd w:id="49"/>
    </w:p>
    <w:p>
      <w:pPr>
        <w:pStyle w:val="Nvel3"/>
        <w:numPr>
          <w:ilvl w:val="2"/>
          <w:numId w:val="3"/>
        </w:numPr>
        <w:spacing w:lineRule="auto" w:line="360"/>
        <w:ind w:hanging="0" w:left="567"/>
        <w:rPr>
          <w:color w:val="auto"/>
          <w:sz w:val="22"/>
          <w:szCs w:val="22"/>
        </w:rPr>
      </w:pPr>
      <w:r>
        <w:rPr>
          <w:color w:val="auto"/>
          <w:sz w:val="22"/>
          <w:szCs w:val="22"/>
        </w:rPr>
        <w:t>Descumprir as condições da ata de registro de preços, sem motivo justificado;</w:t>
      </w:r>
    </w:p>
    <w:p>
      <w:pPr>
        <w:pStyle w:val="Nvel3"/>
        <w:numPr>
          <w:ilvl w:val="2"/>
          <w:numId w:val="3"/>
        </w:numPr>
        <w:spacing w:lineRule="auto" w:line="360"/>
        <w:ind w:hanging="0" w:left="567"/>
        <w:rPr>
          <w:color w:val="auto"/>
        </w:rPr>
      </w:pPr>
      <w:r>
        <w:rPr>
          <w:color w:val="auto"/>
          <w:sz w:val="22"/>
          <w:szCs w:val="22"/>
        </w:rPr>
        <w:t>Não re</w:t>
      </w:r>
      <w:r>
        <w:rPr>
          <w:rFonts w:eastAsia="Arial"/>
          <w:color w:val="auto"/>
          <w:sz w:val="22"/>
          <w:szCs w:val="22"/>
        </w:rPr>
        <w:t>ti</w:t>
      </w:r>
      <w:r>
        <w:rPr>
          <w:color w:val="auto"/>
          <w:sz w:val="22"/>
          <w:szCs w:val="22"/>
        </w:rPr>
        <w:t>rar a nota de empenho, ou instrumento equivalente, no prazo estabelecido pela Administração sem justificativa razoável;</w:t>
      </w:r>
    </w:p>
    <w:p>
      <w:pPr>
        <w:pStyle w:val="Nvel3"/>
        <w:numPr>
          <w:ilvl w:val="2"/>
          <w:numId w:val="3"/>
        </w:numPr>
        <w:spacing w:lineRule="auto" w:line="360"/>
        <w:ind w:hanging="0" w:left="567"/>
        <w:rPr>
          <w:color w:val="auto"/>
          <w:sz w:val="22"/>
          <w:szCs w:val="22"/>
        </w:rPr>
      </w:pPr>
      <w:r>
        <w:rPr>
          <w:color w:val="auto"/>
          <w:sz w:val="22"/>
          <w:szCs w:val="22"/>
        </w:rPr>
        <w:t>Sofrer sanção prevista nos incisos III ou IV do caput do art. 156 da Lei nº 14.133, de 2021.</w:t>
      </w:r>
    </w:p>
    <w:p>
      <w:pPr>
        <w:pStyle w:val="Nvel3"/>
        <w:numPr>
          <w:ilvl w:val="2"/>
          <w:numId w:val="3"/>
        </w:numPr>
        <w:spacing w:lineRule="auto" w:line="360"/>
        <w:ind w:hanging="0" w:left="567"/>
        <w:rPr>
          <w:color w:val="auto"/>
          <w:sz w:val="22"/>
          <w:szCs w:val="22"/>
        </w:rPr>
      </w:pPr>
      <w:r>
        <w:rPr>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3"/>
        </w:numPr>
        <w:spacing w:lineRule="auto" w:line="360"/>
        <w:ind w:hanging="0" w:left="0"/>
        <w:rPr>
          <w:color w:val="auto"/>
        </w:rPr>
      </w:pPr>
      <w:r>
        <w:rPr>
          <w:rFonts w:eastAsia="Arial"/>
          <w:color w:val="auto"/>
          <w:sz w:val="22"/>
          <w:szCs w:val="22"/>
        </w:rPr>
        <w:t xml:space="preserve"> </w:t>
      </w:r>
      <w:r>
        <w:rPr>
          <w:color w:val="auto"/>
          <w:sz w:val="22"/>
          <w:szCs w:val="22"/>
        </w:rPr>
        <w:t xml:space="preserve">O cancelamento de registros nas hipóteses previstas no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xml:space="preserve"> será formalizado por despacho do órgão ou da entidade gerenciadora, garantidos os princípios do contraditório e da ampla defesa.</w:t>
      </w:r>
    </w:p>
    <w:p>
      <w:pPr>
        <w:pStyle w:val="Nivel2"/>
        <w:numPr>
          <w:ilvl w:val="1"/>
          <w:numId w:val="3"/>
        </w:numPr>
        <w:spacing w:lineRule="auto" w:line="360"/>
        <w:ind w:hanging="0" w:left="0"/>
        <w:rPr>
          <w:color w:val="auto"/>
          <w:sz w:val="22"/>
          <w:szCs w:val="22"/>
        </w:rPr>
      </w:pPr>
      <w:r>
        <w:rPr>
          <w:color w:val="auto"/>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3"/>
        </w:numPr>
        <w:spacing w:lineRule="auto" w:line="360"/>
        <w:ind w:hanging="0" w:left="0"/>
        <w:rPr>
          <w:color w:val="auto"/>
        </w:rPr>
      </w:pPr>
      <w:r>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50" w:name="cancelamento_da_ata"/>
      <w:bookmarkEnd w:id="50"/>
      <w:r>
        <w:rPr>
          <w:color w:val="auto"/>
          <w:sz w:val="22"/>
          <w:szCs w:val="22"/>
        </w:rPr>
        <w:t xml:space="preserve"> </w:t>
      </w:r>
    </w:p>
    <w:p>
      <w:pPr>
        <w:pStyle w:val="Nvel3"/>
        <w:numPr>
          <w:ilvl w:val="2"/>
          <w:numId w:val="3"/>
        </w:numPr>
        <w:spacing w:lineRule="auto" w:line="360"/>
        <w:ind w:hanging="0" w:left="567"/>
        <w:rPr>
          <w:color w:val="auto"/>
          <w:sz w:val="22"/>
          <w:szCs w:val="22"/>
        </w:rPr>
      </w:pPr>
      <w:r>
        <w:rPr>
          <w:color w:val="auto"/>
          <w:sz w:val="22"/>
          <w:szCs w:val="22"/>
        </w:rPr>
        <w:t>Por razão de interesse público;</w:t>
      </w:r>
    </w:p>
    <w:p>
      <w:pPr>
        <w:pStyle w:val="Nvel3"/>
        <w:numPr>
          <w:ilvl w:val="2"/>
          <w:numId w:val="3"/>
        </w:numPr>
        <w:spacing w:lineRule="auto" w:line="360"/>
        <w:ind w:hanging="0" w:left="567"/>
        <w:rPr>
          <w:color w:val="auto"/>
          <w:sz w:val="22"/>
          <w:szCs w:val="22"/>
        </w:rPr>
      </w:pPr>
      <w:r>
        <w:rPr>
          <w:color w:val="auto"/>
          <w:sz w:val="22"/>
          <w:szCs w:val="22"/>
        </w:rPr>
        <w:t>A pedido do fornecedor, decorrente de caso fortuito ou força maior; ou</w:t>
      </w:r>
    </w:p>
    <w:p>
      <w:pPr>
        <w:pStyle w:val="Nvel3"/>
        <w:numPr>
          <w:ilvl w:val="2"/>
          <w:numId w:val="3"/>
        </w:numPr>
        <w:spacing w:lineRule="auto" w:line="360"/>
        <w:ind w:hanging="0" w:left="567"/>
        <w:rPr>
          <w:color w:val="auto"/>
          <w:sz w:val="22"/>
          <w:szCs w:val="22"/>
        </w:rPr>
      </w:pPr>
      <w:r>
        <w:rPr>
          <w:color w:val="auto"/>
          <w:sz w:val="22"/>
          <w:szCs w:val="22"/>
        </w:rPr>
        <w:t xml:space="preserve">Se não houver êxito nas negociações, nas hipóteses em que o preço de mercado se tornar superior ou inferior ao preço registrado, nos termos dos artigos 26, § 3º e 27, § 4º, ambos do Decreto nº 11.462, de 2023. </w:t>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3"/>
        </w:numPr>
        <w:spacing w:lineRule="auto" w:line="360"/>
        <w:ind w:hanging="0" w:left="0"/>
        <w:rPr>
          <w:color w:val="auto"/>
        </w:rPr>
      </w:pPr>
      <w:r>
        <w:rPr>
          <w:color w:val="auto"/>
          <w:sz w:val="22"/>
          <w:szCs w:val="22"/>
        </w:rPr>
        <w:t xml:space="preserve">O descumprimento da Ata de Registro de Preços ensejará aplicação das penalidades estabelecidas </w:t>
      </w:r>
      <w:r>
        <w:rPr>
          <w:i/>
          <w:color w:val="auto"/>
          <w:sz w:val="22"/>
          <w:szCs w:val="22"/>
        </w:rPr>
        <w:t>no edital</w:t>
      </w:r>
      <w:r>
        <w:rPr>
          <w:color w:val="auto"/>
          <w:sz w:val="22"/>
          <w:szCs w:val="22"/>
        </w:rPr>
        <w:t>.</w:t>
      </w:r>
    </w:p>
    <w:p>
      <w:pPr>
        <w:pStyle w:val="Nvel3"/>
        <w:numPr>
          <w:ilvl w:val="2"/>
          <w:numId w:val="3"/>
        </w:numPr>
        <w:spacing w:lineRule="auto" w:line="360"/>
        <w:ind w:hanging="0" w:left="567"/>
        <w:rPr>
          <w:color w:val="auto"/>
          <w:sz w:val="22"/>
          <w:szCs w:val="22"/>
        </w:rPr>
      </w:pPr>
      <w:r>
        <w:rPr>
          <w:color w:val="auto"/>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3"/>
        </w:numPr>
        <w:spacing w:lineRule="auto" w:line="360"/>
        <w:ind w:hanging="0" w:left="0"/>
        <w:rPr>
          <w:color w:val="auto"/>
          <w:sz w:val="22"/>
          <w:szCs w:val="22"/>
        </w:rPr>
      </w:pPr>
      <w:r>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3"/>
        </w:numPr>
        <w:spacing w:lineRule="auto" w:line="360"/>
        <w:ind w:hanging="0" w:left="0"/>
        <w:rPr>
          <w:color w:val="auto"/>
          <w:sz w:val="22"/>
          <w:szCs w:val="22"/>
        </w:rPr>
      </w:pPr>
      <w:r>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3"/>
        </w:numPr>
        <w:spacing w:lineRule="auto" w:line="360"/>
        <w:ind w:hanging="0" w:left="0"/>
        <w:rPr>
          <w:color w:val="auto"/>
        </w:rPr>
      </w:pPr>
      <w:r>
        <w:rPr>
          <w:color w:val="auto"/>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color w:val="auto"/>
          <w:sz w:val="22"/>
          <w:szCs w:val="22"/>
        </w:rPr>
        <w:t>AO EDITAL.</w:t>
      </w:r>
    </w:p>
    <w:p>
      <w:pPr>
        <w:pStyle w:val="Nivel2"/>
        <w:widowControl w:val="false"/>
        <w:numPr>
          <w:ilvl w:val="1"/>
          <w:numId w:val="3"/>
        </w:numPr>
        <w:spacing w:lineRule="auto" w:line="360"/>
        <w:ind w:hanging="0" w:left="0"/>
        <w:rPr>
          <w:b/>
          <w:bCs/>
          <w:color w:val="auto"/>
          <w:sz w:val="22"/>
          <w:szCs w:val="22"/>
        </w:rPr>
      </w:pPr>
      <w:r>
        <w:rPr>
          <w:b/>
          <w:bCs/>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3"/>
        </w:numPr>
        <w:spacing w:lineRule="auto" w:line="360"/>
        <w:ind w:hanging="0" w:left="0"/>
        <w:rPr>
          <w:color w:val="auto"/>
          <w:sz w:val="22"/>
          <w:szCs w:val="22"/>
        </w:rPr>
      </w:pPr>
      <w:r>
        <w:rPr>
          <w:color w:val="auto"/>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200" w:type="dxa"/>
        <w:tblLayout w:type="fixed"/>
        <w:tblCellMar>
          <w:top w:w="60" w:type="dxa"/>
          <w:left w:w="60" w:type="dxa"/>
          <w:bottom w:w="60" w:type="dxa"/>
          <w:right w:w="60" w:type="dxa"/>
        </w:tblCellMar>
        <w:tblLook w:firstRow="0" w:noVBand="0" w:lastRow="0" w:firstColumn="0" w:lastColumn="0" w:noHBand="0" w:val="0000"/>
      </w:tblPr>
      <w:tblGrid>
        <w:gridCol w:w="689"/>
        <w:gridCol w:w="1535"/>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51" w:name="_Hlk159838635"/>
            <w:bookmarkEnd w:id="51"/>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200" w:type="dxa"/>
        <w:tblLayout w:type="fixed"/>
        <w:tblCellMar>
          <w:top w:w="60" w:type="dxa"/>
          <w:left w:w="60" w:type="dxa"/>
          <w:bottom w:w="60" w:type="dxa"/>
          <w:right w:w="60" w:type="dxa"/>
        </w:tblCellMar>
        <w:tblLook w:firstRow="0" w:noVBand="0" w:lastRow="0" w:firstColumn="0" w:lastColumn="0" w:noHBand="0" w:val="0000"/>
      </w:tblPr>
      <w:tblGrid>
        <w:gridCol w:w="689"/>
        <w:gridCol w:w="1535"/>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VII – MINUTA DE ORDEM DE SERVIÇO</w:t>
      </w:r>
    </w:p>
    <w:p>
      <w:pPr>
        <w:pStyle w:val="Normal"/>
        <w:widowControl w:val="false"/>
        <w:tabs>
          <w:tab w:val="clear" w:pos="709"/>
          <w:tab w:val="left" w:pos="8322" w:leader="none"/>
        </w:tabs>
        <w:spacing w:lineRule="auto" w:line="360"/>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120">
            <wp:simplePos x="0" y="0"/>
            <wp:positionH relativeFrom="column">
              <wp:posOffset>0</wp:posOffset>
            </wp:positionH>
            <wp:positionV relativeFrom="paragraph">
              <wp:posOffset>247650</wp:posOffset>
            </wp:positionV>
            <wp:extent cx="5785485" cy="716216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20"/>
                    <a:stretch>
                      <a:fillRect/>
                    </a:stretch>
                  </pic:blipFill>
                  <pic:spPr bwMode="auto">
                    <a:xfrm>
                      <a:off x="0" y="0"/>
                      <a:ext cx="5785485" cy="7162165"/>
                    </a:xfrm>
                    <a:prstGeom prst="rect">
                      <a:avLst/>
                    </a:prstGeom>
                    <a:noFill/>
                  </pic:spPr>
                </pic:pic>
              </a:graphicData>
            </a:graphic>
          </wp:anchor>
        </w:drawing>
      </w:r>
    </w:p>
    <w:p>
      <w:pPr>
        <w:pStyle w:val="Normal"/>
        <w:spacing w:lineRule="auto" w:line="276"/>
        <w:ind w:right="-54"/>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rPr>
        <w:t>CONTRATO ADMINISTRATIVO Nº  XX/2026</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Pregão Eletrônico XX/2026</w:t>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1">
        <w:r>
          <w:rPr>
            <w:rStyle w:val="Hyperlink"/>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 xml:space="preserve">CLÁUSULA PRIMEIRA – OBJETO </w:t>
      </w:r>
    </w:p>
    <w:p>
      <w:pPr>
        <w:pStyle w:val="Nivel2"/>
        <w:tabs>
          <w:tab w:val="clear" w:pos="0"/>
        </w:tabs>
        <w:spacing w:lineRule="auto" w:line="360" w:before="120" w:after="288"/>
        <w:ind w:hanging="0" w:left="0"/>
        <w:rPr>
          <w:rFonts w:eastAsia="Arial"/>
          <w:b/>
          <w:bCs/>
          <w:sz w:val="22"/>
          <w:szCs w:val="22"/>
        </w:rPr>
      </w:pPr>
      <w:r>
        <w:rPr>
          <w:sz w:val="22"/>
          <w:szCs w:val="22"/>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6"/>
        <w:gridCol w:w="2554"/>
        <w:gridCol w:w="1280"/>
        <w:gridCol w:w="1135"/>
        <w:gridCol w:w="1554"/>
        <w:gridCol w:w="1283"/>
        <w:gridCol w:w="985"/>
      </w:tblGrid>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CÓDIGO</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UNIDADE DE MEDIDA</w:t>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QUANTIDADE</w:t>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UNITÁRIO</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TOTAL</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2</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lineRule="auto" w:line="360" w:before="120" w:after="288"/>
        <w:ind w:hanging="0" w:left="0"/>
        <w:rPr>
          <w:sz w:val="22"/>
          <w:szCs w:val="22"/>
        </w:rPr>
      </w:pPr>
      <w:r>
        <w:rPr>
          <w:sz w:val="22"/>
          <w:szCs w:val="22"/>
        </w:rPr>
        <w:t>1.2 - Vinculam esta contratação, independentemente de transcrição:</w:t>
      </w:r>
    </w:p>
    <w:p>
      <w:pPr>
        <w:pStyle w:val="Nivel3"/>
        <w:numPr>
          <w:ilvl w:val="0"/>
          <w:numId w:val="19"/>
        </w:numPr>
        <w:spacing w:lineRule="auto" w:line="360" w:before="120" w:after="288"/>
        <w:ind w:hanging="0" w:left="0"/>
        <w:rPr>
          <w:sz w:val="22"/>
          <w:szCs w:val="22"/>
        </w:rPr>
      </w:pPr>
      <w:r>
        <w:rPr>
          <w:sz w:val="22"/>
          <w:szCs w:val="22"/>
        </w:rPr>
        <w:t>O Termo de Referência;</w:t>
      </w:r>
    </w:p>
    <w:p>
      <w:pPr>
        <w:pStyle w:val="Nivel3"/>
        <w:numPr>
          <w:ilvl w:val="0"/>
          <w:numId w:val="19"/>
        </w:numPr>
        <w:spacing w:lineRule="auto" w:line="360" w:before="120" w:after="288"/>
        <w:ind w:hanging="0" w:left="0"/>
        <w:rPr>
          <w:sz w:val="22"/>
          <w:szCs w:val="22"/>
        </w:rPr>
      </w:pPr>
      <w:r>
        <w:rPr>
          <w:sz w:val="22"/>
          <w:szCs w:val="22"/>
        </w:rPr>
        <w:t>O Edital da Licitação;</w:t>
      </w:r>
    </w:p>
    <w:p>
      <w:pPr>
        <w:pStyle w:val="Nivel3"/>
        <w:numPr>
          <w:ilvl w:val="0"/>
          <w:numId w:val="19"/>
        </w:numPr>
        <w:spacing w:lineRule="auto" w:line="360" w:before="120" w:after="288"/>
        <w:ind w:hanging="0" w:left="0"/>
        <w:rPr>
          <w:sz w:val="22"/>
          <w:szCs w:val="22"/>
        </w:rPr>
      </w:pPr>
      <w:r>
        <w:rPr>
          <w:sz w:val="22"/>
          <w:szCs w:val="22"/>
        </w:rPr>
        <w:t>A Proposta do contratado;</w:t>
      </w:r>
    </w:p>
    <w:p>
      <w:pPr>
        <w:pStyle w:val="Nivel3"/>
        <w:numPr>
          <w:ilvl w:val="0"/>
          <w:numId w:val="19"/>
        </w:numPr>
        <w:spacing w:lineRule="auto" w:line="360" w:before="120" w:after="288"/>
        <w:ind w:hanging="0" w:left="0"/>
        <w:rPr>
          <w:sz w:val="22"/>
          <w:szCs w:val="22"/>
        </w:rPr>
      </w:pPr>
      <w:r>
        <w:rPr>
          <w:sz w:val="22"/>
          <w:szCs w:val="22"/>
        </w:rPr>
        <w:t>Eventuais anexos dos documentos supracitados.</w:t>
      </w:r>
    </w:p>
    <w:p>
      <w:pPr>
        <w:pStyle w:val="Nivel01"/>
        <w:numPr>
          <w:ilvl w:val="0"/>
          <w:numId w:val="0"/>
        </w:numPr>
        <w:spacing w:lineRule="auto" w:line="360" w:before="120" w:after="288"/>
        <w:ind w:hanging="0" w:left="0"/>
        <w:rPr>
          <w:color w:val="000000"/>
          <w:sz w:val="22"/>
          <w:szCs w:val="22"/>
        </w:rPr>
      </w:pPr>
      <w:r>
        <w:rPr>
          <w:sz w:val="22"/>
          <w:szCs w:val="22"/>
        </w:rPr>
        <w:t>CLÁUSULA SEGUNDA – VIGÊNCIA E PRORROGAÇÃO</w:t>
      </w:r>
    </w:p>
    <w:p>
      <w:pPr>
        <w:pStyle w:val="Nvel2-Red"/>
        <w:tabs>
          <w:tab w:val="clear" w:pos="0"/>
        </w:tabs>
        <w:spacing w:lineRule="auto" w:line="360" w:before="120" w:after="288"/>
        <w:rPr>
          <w:sz w:val="22"/>
          <w:szCs w:val="22"/>
        </w:rPr>
      </w:pPr>
      <w:r>
        <w:rPr>
          <w:i w:val="false"/>
          <w:iCs w:val="false"/>
          <w:color w:val="000000"/>
          <w:sz w:val="22"/>
          <w:szCs w:val="22"/>
        </w:rPr>
        <w:t xml:space="preserve">2.1- O prazo de vigência da contratação é de xx (xxxxxxx) meses, contados do(a) assinatura do contrato, na forma do </w:t>
      </w:r>
      <w:r>
        <w:fldChar w:fldCharType="begin"/>
      </w:r>
      <w:r>
        <w:rPr>
          <w:rStyle w:val="Hyperlink"/>
          <w:sz w:val="22"/>
          <w:szCs w:val="22"/>
          <w:color w:val="000000"/>
        </w:rPr>
        <w:instrText xml:space="preserve"> HYPERLINK "http://www.planalto.gov.br/ccivil_03/_ato2019-2022/2021/lei/L14133.htm" \l "art105"</w:instrText>
      </w:r>
      <w:r>
        <w:rPr>
          <w:rStyle w:val="Hyperlink"/>
          <w:sz w:val="22"/>
          <w:szCs w:val="22"/>
          <w:color w:val="000000"/>
        </w:rPr>
        <w:fldChar w:fldCharType="separate"/>
      </w:r>
      <w:r>
        <w:rPr>
          <w:rStyle w:val="Hyperlink"/>
          <w:color w:val="000000"/>
          <w:sz w:val="22"/>
          <w:szCs w:val="22"/>
        </w:rPr>
        <w:t>artigo 105 da Lei n° 14.133, de 2021</w:t>
      </w:r>
      <w:r>
        <w:rPr>
          <w:rStyle w:val="Hyperlink"/>
          <w:sz w:val="22"/>
          <w:szCs w:val="22"/>
          <w:color w:val="000000"/>
        </w:rPr>
        <w:fldChar w:fldCharType="end"/>
      </w:r>
      <w:r>
        <w:rPr>
          <w:i w:val="false"/>
          <w:iCs w:val="false"/>
          <w:color w:val="000000"/>
          <w:sz w:val="22"/>
          <w:szCs w:val="22"/>
        </w:rPr>
        <w:t>, podendo ser prorrogada na forma da lei.</w:t>
      </w:r>
    </w:p>
    <w:p>
      <w:pPr>
        <w:pStyle w:val="Nivel01"/>
        <w:numPr>
          <w:ilvl w:val="0"/>
          <w:numId w:val="0"/>
        </w:numPr>
        <w:spacing w:lineRule="auto" w:line="360" w:before="0" w:after="0"/>
        <w:ind w:hanging="0" w:left="0"/>
        <w:rPr>
          <w:sz w:val="22"/>
          <w:szCs w:val="22"/>
        </w:rPr>
      </w:pPr>
      <w:r>
        <w:rPr>
          <w:sz w:val="22"/>
          <w:szCs w:val="22"/>
        </w:rPr>
        <w:t>CLÁUSULA TERCEIRA – MODELOS DE EXECUÇÃO E GESTÃO CONTRATUAIS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IV, VII e XVIII)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360" w:before="120" w:after="288"/>
        <w:ind w:hanging="0" w:left="0"/>
        <w:rPr>
          <w:color w:val="000000"/>
          <w:sz w:val="22"/>
          <w:szCs w:val="22"/>
        </w:rPr>
      </w:pPr>
      <w:r>
        <w:rPr>
          <w:sz w:val="22"/>
          <w:szCs w:val="22"/>
        </w:rPr>
        <w:t>CLÁUSULA QUARTA – SUBCONTRATAÇÃO</w:t>
      </w:r>
    </w:p>
    <w:p>
      <w:pPr>
        <w:pStyle w:val="Nvel2-Red"/>
        <w:tabs>
          <w:tab w:val="clear" w:pos="0"/>
        </w:tabs>
        <w:spacing w:lineRule="auto" w:line="360" w:before="120" w:after="288"/>
        <w:rPr>
          <w:sz w:val="22"/>
          <w:szCs w:val="22"/>
        </w:rPr>
      </w:pPr>
      <w:r>
        <w:rPr>
          <w:i w:val="false"/>
          <w:iCs w:val="false"/>
          <w:color w:val="000000"/>
          <w:sz w:val="22"/>
          <w:szCs w:val="22"/>
        </w:rPr>
        <w:t>4.1 Não será admitida a subcontratação do objeto contratual.</w:t>
      </w:r>
    </w:p>
    <w:p>
      <w:pPr>
        <w:pStyle w:val="Nivel01"/>
        <w:numPr>
          <w:ilvl w:val="0"/>
          <w:numId w:val="0"/>
        </w:numPr>
        <w:spacing w:lineRule="auto" w:line="360" w:before="120" w:after="288"/>
        <w:ind w:hanging="0" w:left="0"/>
        <w:rPr>
          <w:color w:val="000000"/>
          <w:sz w:val="22"/>
          <w:szCs w:val="22"/>
        </w:rPr>
      </w:pPr>
      <w:r>
        <w:rPr>
          <w:sz w:val="22"/>
          <w:szCs w:val="22"/>
        </w:rPr>
        <w:t>CLÁUSULA QUINTA – DO PREÇO E DA DOTAÇÃO ORÇAMENTÁRIA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lineRule="auto" w:line="360"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360" w:before="120" w:after="288"/>
        <w:ind w:hanging="0" w:left="0"/>
        <w:rPr>
          <w:sz w:val="22"/>
          <w:szCs w:val="22"/>
        </w:rPr>
      </w:pPr>
      <w:r>
        <w:rPr>
          <w:sz w:val="22"/>
          <w:szCs w:val="22"/>
        </w:rPr>
      </w:r>
    </w:p>
    <w:p>
      <w:pPr>
        <w:pStyle w:val="Nivel01"/>
        <w:numPr>
          <w:ilvl w:val="0"/>
          <w:numId w:val="0"/>
        </w:numPr>
        <w:spacing w:lineRule="auto" w:line="360" w:before="120" w:after="288"/>
        <w:ind w:hanging="0" w:left="0"/>
        <w:rPr>
          <w:sz w:val="22"/>
          <w:szCs w:val="22"/>
        </w:rPr>
      </w:pPr>
      <w:r>
        <w:rPr>
          <w:sz w:val="22"/>
          <w:szCs w:val="22"/>
        </w:rPr>
        <w:t>CLÁUSULA SEXTA - PAGAMENTO</w:t>
      </w:r>
    </w:p>
    <w:p>
      <w:pPr>
        <w:pStyle w:val="Nivel2"/>
        <w:tabs>
          <w:tab w:val="clear" w:pos="0"/>
        </w:tabs>
        <w:spacing w:lineRule="auto" w:line="360"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360"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tabs>
          <w:tab w:val="clear" w:pos="0"/>
        </w:tabs>
        <w:spacing w:lineRule="auto" w:line="360" w:before="120" w:after="288"/>
        <w:ind w:hanging="0" w:left="0"/>
        <w:rPr>
          <w:sz w:val="22"/>
          <w:szCs w:val="22"/>
        </w:rPr>
      </w:pPr>
      <w:r>
        <w:rPr>
          <w:sz w:val="22"/>
          <w:szCs w:val="22"/>
        </w:rPr>
        <w:t>8.1 - São obrigações do Contratante:</w:t>
      </w:r>
    </w:p>
    <w:p>
      <w:pPr>
        <w:pStyle w:val="Nivel2"/>
        <w:tabs>
          <w:tab w:val="clear" w:pos="0"/>
        </w:tabs>
        <w:spacing w:lineRule="auto" w:line="360" w:before="120" w:after="288"/>
        <w:ind w:hanging="0" w:left="0"/>
        <w:rPr>
          <w:sz w:val="22"/>
          <w:szCs w:val="22"/>
        </w:rPr>
      </w:pPr>
      <w:r>
        <w:rPr>
          <w:sz w:val="22"/>
          <w:szCs w:val="22"/>
        </w:rPr>
        <w:t>8.2 - Exigir o cumprimento de todas as obrigações assumidas pelo Contratado, de acordo com o contrato e seus anexos;</w:t>
      </w:r>
    </w:p>
    <w:p>
      <w:pPr>
        <w:pStyle w:val="Nivel2"/>
        <w:tabs>
          <w:tab w:val="clear" w:pos="0"/>
        </w:tabs>
        <w:spacing w:lineRule="auto" w:line="360" w:before="120" w:after="288"/>
        <w:ind w:hanging="0" w:left="0"/>
        <w:rPr>
          <w:sz w:val="22"/>
          <w:szCs w:val="22"/>
        </w:rPr>
      </w:pPr>
      <w:r>
        <w:rPr>
          <w:sz w:val="22"/>
          <w:szCs w:val="22"/>
        </w:rPr>
        <w:t>8.3 - Receber o objeto no prazo e condições estabelecidas no Termo de Referência do Edital;</w:t>
      </w:r>
    </w:p>
    <w:p>
      <w:pPr>
        <w:pStyle w:val="Nivel2"/>
        <w:tabs>
          <w:tab w:val="clear" w:pos="0"/>
        </w:tabs>
        <w:spacing w:lineRule="auto" w:line="360"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lineRule="auto" w:line="360"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lineRule="auto" w:line="360"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lineRule="auto" w:line="360" w:before="120" w:after="288"/>
        <w:ind w:hanging="0" w:left="0"/>
        <w:rPr>
          <w:sz w:val="22"/>
          <w:szCs w:val="22"/>
        </w:rPr>
      </w:pPr>
      <w:r>
        <w:rPr>
          <w:sz w:val="22"/>
          <w:szCs w:val="22"/>
        </w:rPr>
        <w:t xml:space="preserve">8.7 - Aplicar ao Contratado as sanções previstas na lei e neste Contrato; </w:t>
      </w:r>
    </w:p>
    <w:p>
      <w:pPr>
        <w:pStyle w:val="Nivel2"/>
        <w:tabs>
          <w:tab w:val="clear" w:pos="0"/>
        </w:tabs>
        <w:spacing w:lineRule="auto" w:line="360" w:before="120" w:after="288"/>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lineRule="auto" w:line="360" w:before="120" w:after="288"/>
        <w:ind w:hanging="0" w:left="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360" w:before="0" w:after="0"/>
        <w:ind w:hanging="0" w:left="0"/>
        <w:rPr>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lineRule="auto" w:line="360"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lineRule="auto" w:line="360" w:before="120" w:after="288"/>
        <w:ind w:hanging="0" w:left="0"/>
        <w:rPr>
          <w:sz w:val="22"/>
          <w:szCs w:val="22"/>
        </w:rPr>
      </w:pPr>
      <w:r>
        <w:rPr>
          <w:sz w:val="22"/>
          <w:szCs w:val="22"/>
        </w:rPr>
        <w:t>9.3 - Atender às determinações regulares emitidas pelo fiscal ou gestor do contrato ou autoridade superior (</w:t>
      </w:r>
      <w:r>
        <w:fldChar w:fldCharType="begin"/>
      </w:r>
      <w:r>
        <w:rPr>
          <w:rStyle w:val="Hyperlink"/>
          <w:sz w:val="22"/>
          <w:szCs w:val="22"/>
        </w:rPr>
        <w:instrText xml:space="preserve"> HYPERLINK "http://www.planalto.gov.br/ccivil_03/_ato2019-2022/2021/lei/L14133.htm" \l "art137"</w:instrText>
      </w:r>
      <w:r>
        <w:rPr>
          <w:rStyle w:val="Hyperlink"/>
          <w:sz w:val="22"/>
          <w:szCs w:val="22"/>
        </w:rPr>
        <w:fldChar w:fldCharType="separate"/>
      </w:r>
      <w:r>
        <w:rPr>
          <w:rStyle w:val="Hyperlink"/>
          <w:sz w:val="22"/>
          <w:szCs w:val="22"/>
        </w:rPr>
        <w:t>art. 137, II, da Lei n.º 14.133, de 2021</w:t>
      </w:r>
      <w:r>
        <w:rPr>
          <w:rStyle w:val="Hyperlink"/>
          <w:sz w:val="22"/>
          <w:szCs w:val="22"/>
        </w:rPr>
        <w:fldChar w:fldCharType="end"/>
      </w:r>
      <w:r>
        <w:rPr>
          <w:sz w:val="22"/>
          <w:szCs w:val="22"/>
        </w:rPr>
        <w:t>) e prestar todo esclarecimento ou informação por eles solicitados;</w:t>
      </w:r>
    </w:p>
    <w:p>
      <w:pPr>
        <w:pStyle w:val="Nivel2"/>
        <w:tabs>
          <w:tab w:val="clear" w:pos="0"/>
        </w:tabs>
        <w:spacing w:lineRule="auto" w:line="360"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lineRule="auto" w:line="360"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lineRule="auto" w:line="360" w:before="120" w:after="288"/>
        <w:ind w:hanging="0"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lineRule="auto" w:line="360"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lineRule="auto" w:line="360"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lineRule="auto" w:line="360"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lineRule="auto" w:line="360"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da Lei n.º 14.133, de 2021</w:t>
      </w:r>
      <w:r>
        <w:rPr>
          <w:rStyle w:val="Hyperlink"/>
          <w:sz w:val="22"/>
          <w:szCs w:val="22"/>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parágrafo único, da Lei n.º 14.133, de 2021</w:t>
      </w:r>
      <w:r>
        <w:rPr>
          <w:rStyle w:val="Hyperlink"/>
          <w:sz w:val="22"/>
          <w:szCs w:val="22"/>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lineRule="auto" w:line="360" w:before="0" w:after="0"/>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20"/>
        </w:numPr>
        <w:tabs>
          <w:tab w:val="clear" w:pos="0"/>
        </w:tabs>
        <w:spacing w:lineRule="auto" w:line="360"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ivel2"/>
        <w:tabs>
          <w:tab w:val="clear" w:pos="0"/>
        </w:tabs>
        <w:spacing w:lineRule="auto" w:line="360" w:before="0" w:after="0"/>
        <w:ind w:hanging="0" w:left="0"/>
        <w:rPr>
          <w:sz w:val="22"/>
          <w:szCs w:val="22"/>
          <w:lang w:eastAsia="pt-BR"/>
        </w:rPr>
      </w:pPr>
      <w:r>
        <w:rPr>
          <w:sz w:val="22"/>
          <w:szCs w:val="22"/>
          <w:lang w:eastAsia="pt-BR"/>
        </w:rPr>
      </w:r>
    </w:p>
    <w:p>
      <w:pPr>
        <w:pStyle w:val="Normal"/>
        <w:spacing w:lineRule="auto" w:line="360"/>
        <w:rPr>
          <w:rFonts w:ascii="Arial" w:hAnsi="Arial" w:cs="Arial"/>
          <w:color w:val="000000"/>
          <w:sz w:val="22"/>
          <w:szCs w:val="22"/>
        </w:rPr>
      </w:pPr>
      <w:r>
        <w:rPr>
          <w:rFonts w:cs="Arial" w:ascii="Arial" w:hAnsi="Arial"/>
          <w:color w:val="000000"/>
          <w:sz w:val="22"/>
          <w:szCs w:val="22"/>
        </w:rPr>
      </w:r>
    </w:p>
    <w:p>
      <w:pPr>
        <w:pStyle w:val="Nivel01"/>
        <w:numPr>
          <w:ilvl w:val="0"/>
          <w:numId w:val="0"/>
        </w:numPr>
        <w:spacing w:lineRule="auto" w:line="360" w:before="0" w:after="0"/>
        <w:ind w:hanging="0" w:left="0"/>
        <w:rPr>
          <w:color w:val="000000"/>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spacing w:lineRule="auto" w:line="360"/>
        <w:ind w:hanging="0" w:left="-14"/>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spacing w:lineRule="auto" w:line="360"/>
        <w:ind w:hanging="0" w:left="0"/>
        <w:rPr>
          <w:rFonts w:eastAsia="Arial"/>
          <w:i/>
          <w:i/>
          <w:iCs/>
          <w:sz w:val="22"/>
          <w:szCs w:val="22"/>
        </w:rPr>
      </w:pPr>
      <w:r>
        <w:rPr>
          <w:rFonts w:eastAsia="Arial"/>
          <w:i/>
          <w:iCs/>
          <w:sz w:val="22"/>
          <w:szCs w:val="22"/>
        </w:rPr>
      </w:r>
    </w:p>
    <w:p>
      <w:pPr>
        <w:pStyle w:val="Nvel2-Red"/>
        <w:tabs>
          <w:tab w:val="clear" w:pos="0"/>
        </w:tabs>
        <w:spacing w:lineRule="auto" w:line="360" w:before="120" w:after="288"/>
        <w:rPr>
          <w:sz w:val="22"/>
          <w:szCs w:val="22"/>
        </w:rPr>
      </w:pPr>
      <w:r>
        <w:rPr>
          <w:b/>
          <w:bCs/>
          <w:i w:val="false"/>
          <w:iCs w:val="false"/>
          <w:color w:val="000000"/>
          <w:sz w:val="22"/>
          <w:szCs w:val="22"/>
        </w:rPr>
        <w:t>CLÁUSULA DÉCIMA SEGUNDA – DOS CASOS OMISSOS (</w:t>
      </w:r>
      <w:r>
        <w:fldChar w:fldCharType="begin"/>
      </w:r>
      <w:r>
        <w:rPr>
          <w:rStyle w:val="Hyperlink"/>
          <w:sz w:val="22"/>
          <w:szCs w:val="22"/>
          <w:bCs/>
          <w:color w:val="000000"/>
        </w:rPr>
        <w:instrText xml:space="preserve"> HYPERLINK "http://www.planalto.gov.br/ccivil_03/_ato2019-2022/2021/lei/L14133.htm" \l "art92"</w:instrText>
      </w:r>
      <w:r>
        <w:rPr>
          <w:rStyle w:val="Hyperlink"/>
          <w:sz w:val="22"/>
          <w:szCs w:val="22"/>
          <w:bCs/>
          <w:color w:val="000000"/>
        </w:rPr>
        <w:fldChar w:fldCharType="separate"/>
      </w:r>
      <w:r>
        <w:rPr>
          <w:rStyle w:val="Hyperlink"/>
          <w:bCs/>
          <w:color w:val="000000"/>
          <w:sz w:val="22"/>
          <w:szCs w:val="22"/>
        </w:rPr>
        <w:t>art. 92, III</w:t>
      </w:r>
      <w:r>
        <w:rPr>
          <w:rStyle w:val="Hyperlink"/>
          <w:sz w:val="22"/>
          <w:szCs w:val="22"/>
          <w:bCs/>
          <w:color w:val="000000"/>
        </w:rPr>
        <w:fldChar w:fldCharType="end"/>
      </w:r>
      <w:r>
        <w:rPr>
          <w:b/>
          <w:bCs/>
          <w:i w:val="false"/>
          <w:iCs w:val="false"/>
          <w:color w:val="000000"/>
          <w:sz w:val="22"/>
          <w:szCs w:val="22"/>
        </w:rPr>
        <w:t>)</w:t>
      </w:r>
    </w:p>
    <w:p>
      <w:pPr>
        <w:pStyle w:val="Nivel2"/>
        <w:tabs>
          <w:tab w:val="clear" w:pos="0"/>
        </w:tabs>
        <w:spacing w:lineRule="auto" w:line="360" w:before="120" w:after="288"/>
        <w:ind w:hanging="0" w:left="0"/>
        <w:rPr>
          <w:sz w:val="22"/>
          <w:szCs w:val="22"/>
        </w:rPr>
      </w:pPr>
      <w:r>
        <w:rPr>
          <w:sz w:val="22"/>
          <w:szCs w:val="22"/>
        </w:rPr>
        <w:t xml:space="preserve">12.1 Os casos omissos serão decididos pelo contratante, segundo as disposições contidas na Lei </w:t>
      </w:r>
      <w:hyperlink r:id="rId22">
        <w:r>
          <w:rPr>
            <w:rStyle w:val="Hyperlink"/>
            <w:sz w:val="22"/>
            <w:szCs w:val="22"/>
          </w:rPr>
          <w:t>nº 14.133, de 2021</w:t>
        </w:r>
      </w:hyperlink>
      <w:r>
        <w:rPr>
          <w:sz w:val="22"/>
          <w:szCs w:val="22"/>
        </w:rPr>
        <w:t xml:space="preserve">, e demais normas federais aplicáveis e, subsidiariamente, segundo as disposições contidas na </w:t>
      </w:r>
      <w:hyperlink r:id="rId23">
        <w:r>
          <w:rPr>
            <w:rStyle w:val="Hyperlink"/>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TERCEIRA – ALTERAÇÕES</w:t>
      </w:r>
    </w:p>
    <w:p>
      <w:pPr>
        <w:pStyle w:val="Nivel2"/>
        <w:tabs>
          <w:tab w:val="clear" w:pos="0"/>
        </w:tabs>
        <w:spacing w:lineRule="auto" w:line="360"/>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arts. 124 e seguintes da Lei nº 14.133, de 2021</w:t>
      </w:r>
      <w:r>
        <w:rPr>
          <w:rStyle w:val="Hyperlink"/>
          <w:sz w:val="22"/>
          <w:szCs w:val="22"/>
        </w:rPr>
        <w:fldChar w:fldCharType="end"/>
      </w:r>
      <w:r>
        <w:rPr>
          <w:sz w:val="22"/>
          <w:szCs w:val="22"/>
        </w:rPr>
        <w:t>.</w:t>
      </w:r>
    </w:p>
    <w:p>
      <w:pPr>
        <w:pStyle w:val="Nivel2"/>
        <w:tabs>
          <w:tab w:val="clear" w:pos="0"/>
        </w:tabs>
        <w:spacing w:lineRule="auto" w:line="360"/>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rPr>
        <w:instrText xml:space="preserve"> HYPERLINK "http://www.planalto.gov.br/ccivil_03/_ato2019-2022/2021/lei/L14133.htm" \l "art136"</w:instrText>
      </w:r>
      <w:r>
        <w:rPr>
          <w:rStyle w:val="Hyperlink"/>
          <w:sz w:val="22"/>
          <w:szCs w:val="22"/>
        </w:rPr>
        <w:fldChar w:fldCharType="separate"/>
      </w:r>
      <w:r>
        <w:rPr>
          <w:rStyle w:val="Hyperlink"/>
          <w:sz w:val="22"/>
          <w:szCs w:val="22"/>
        </w:rPr>
        <w:t>art. 136 da Lei nº 14.133, de 2021</w:t>
      </w:r>
      <w:r>
        <w:rPr>
          <w:rStyle w:val="Hyperlink"/>
          <w:sz w:val="22"/>
          <w:szCs w:val="22"/>
        </w:rPr>
        <w:fldChar w:fldCharType="end"/>
      </w:r>
    </w:p>
    <w:p>
      <w:pPr>
        <w:pStyle w:val="Nivel01"/>
        <w:numPr>
          <w:ilvl w:val="0"/>
          <w:numId w:val="0"/>
        </w:numPr>
        <w:spacing w:lineRule="auto" w:line="360" w:before="120" w:after="288"/>
        <w:ind w:hanging="0" w:left="0"/>
        <w:rPr>
          <w:sz w:val="22"/>
          <w:szCs w:val="22"/>
        </w:rPr>
      </w:pPr>
      <w:r>
        <w:rPr>
          <w:sz w:val="22"/>
          <w:szCs w:val="22"/>
        </w:rPr>
        <w:t>CLÁUSULA DÉCIMA QUARTA – PUBLICAÇÃO</w:t>
      </w:r>
    </w:p>
    <w:p>
      <w:pPr>
        <w:pStyle w:val="Nivel2"/>
        <w:tabs>
          <w:tab w:val="clear" w:pos="0"/>
        </w:tabs>
        <w:spacing w:lineRule="auto" w:line="360"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rPr>
        <w:instrText xml:space="preserve"> HYPERLINK "http://www.planalto.gov.br/ccivil_03/_ato2019-2022/2021/lei/L14133.htm" \l "art94"</w:instrText>
      </w:r>
      <w:r>
        <w:rPr>
          <w:rStyle w:val="Hyperlink"/>
          <w:sz w:val="22"/>
          <w:szCs w:val="22"/>
        </w:rPr>
        <w:fldChar w:fldCharType="separate"/>
      </w:r>
      <w:r>
        <w:rPr>
          <w:rStyle w:val="Hyperlink"/>
          <w:sz w:val="22"/>
          <w:szCs w:val="22"/>
        </w:rPr>
        <w:t>art. 94 da Lei 14.133, de 2021</w:t>
      </w:r>
      <w:r>
        <w:rPr>
          <w:rStyle w:val="Hyperlink"/>
          <w:sz w:val="22"/>
          <w:szCs w:val="22"/>
        </w:rPr>
        <w:fldChar w:fldCharType="end"/>
      </w:r>
      <w:r>
        <w:rPr>
          <w:sz w:val="22"/>
          <w:szCs w:val="22"/>
        </w:rPr>
        <w:t xml:space="preserve">, bem como no respectivo sítio oficial na Internet, em atenção ao </w:t>
      </w:r>
      <w:r>
        <w:fldChar w:fldCharType="begin"/>
      </w:r>
      <w:r>
        <w:rPr>
          <w:rStyle w:val="Hyperlink"/>
          <w:sz w:val="22"/>
          <w:szCs w:val="22"/>
        </w:rPr>
        <w:instrText xml:space="preserve"> HYPERLINK "https://www.planalto.gov.br/ccivil_03/_ato2011-2014/2011/lei/l12527.htm" \l "art8%C2%A72"</w:instrText>
      </w:r>
      <w:r>
        <w:rPr>
          <w:rStyle w:val="Hyperlink"/>
          <w:sz w:val="22"/>
          <w:szCs w:val="22"/>
        </w:rPr>
        <w:fldChar w:fldCharType="separate"/>
      </w:r>
      <w:r>
        <w:rPr>
          <w:rStyle w:val="Hyperlink"/>
          <w:sz w:val="22"/>
          <w:szCs w:val="22"/>
        </w:rPr>
        <w:t>art. 8º, §2º, da Lei n. 12.527, de 2011</w:t>
      </w:r>
      <w:r>
        <w:rPr>
          <w:rStyle w:val="Hyperlink"/>
          <w:sz w:val="22"/>
          <w:szCs w:val="22"/>
        </w:rPr>
        <w:fldChar w:fldCharType="end"/>
      </w:r>
      <w:r>
        <w:rPr>
          <w:sz w:val="22"/>
          <w:szCs w:val="22"/>
        </w:rPr>
        <w:t xml:space="preserve">, c/c </w:t>
      </w:r>
      <w:r>
        <w:fldChar w:fldCharType="begin"/>
      </w:r>
      <w:r>
        <w:rPr>
          <w:rStyle w:val="Hyperlink"/>
          <w:sz w:val="22"/>
          <w:szCs w:val="22"/>
        </w:rPr>
        <w:instrText xml:space="preserve"> HYPERLINK "https://www.planalto.gov.br/ccivil_03/_ato2011-2014/2012/decreto/d7724.htm" \l "art7%C2%A73"</w:instrText>
      </w:r>
      <w:r>
        <w:rPr>
          <w:rStyle w:val="Hyperlink"/>
          <w:sz w:val="22"/>
          <w:szCs w:val="22"/>
        </w:rPr>
        <w:fldChar w:fldCharType="separate"/>
      </w:r>
      <w:r>
        <w:rPr>
          <w:rStyle w:val="Hyperlink"/>
          <w:sz w:val="22"/>
          <w:szCs w:val="22"/>
        </w:rPr>
        <w:t>art. 7º, §3º, inciso V, do Decreto n. 7.724, de 2012</w:t>
      </w:r>
      <w:r>
        <w:rPr>
          <w:rStyle w:val="Hyperlink"/>
          <w:sz w:val="22"/>
          <w:szCs w:val="22"/>
        </w:rPr>
        <w:fldChar w:fldCharType="end"/>
      </w:r>
      <w:r>
        <w:rPr>
          <w:sz w:val="22"/>
          <w:szCs w:val="22"/>
        </w:rPr>
        <w:t>.</w:t>
      </w:r>
    </w:p>
    <w:p>
      <w:pPr>
        <w:pStyle w:val="Nivel01"/>
        <w:numPr>
          <w:ilvl w:val="0"/>
          <w:numId w:val="0"/>
        </w:numPr>
        <w:spacing w:lineRule="auto" w:line="360" w:before="120" w:after="288"/>
        <w:ind w:hanging="0" w:left="0"/>
        <w:rPr>
          <w:sz w:val="22"/>
          <w:szCs w:val="22"/>
          <w:lang w:eastAsia="en-US"/>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rPr>
        <w:instrText xml:space="preserve"> HYPERLINK "http://www.planalto.gov.br/ccivil_03/_ato2019-2022/2021/lei/L14133.htm" \l "art92%C2%A71"</w:instrText>
      </w:r>
      <w:r>
        <w:rPr>
          <w:rStyle w:val="Hyperlink"/>
          <w:sz w:val="22"/>
          <w:szCs w:val="22"/>
        </w:rPr>
        <w:fldChar w:fldCharType="separate"/>
      </w:r>
      <w:r>
        <w:rPr>
          <w:rStyle w:val="Hyperlink"/>
          <w:sz w:val="22"/>
          <w:szCs w:val="22"/>
        </w:rPr>
        <w:t>art. 92, §1º, da Lei nº 14.133/21</w:t>
      </w:r>
      <w:r>
        <w:rPr>
          <w:rStyle w:val="Hyperlink"/>
          <w:sz w:val="22"/>
          <w:szCs w:val="22"/>
        </w:rPr>
        <w:fldChar w:fldCharType="end"/>
      </w:r>
      <w:r>
        <w:rPr>
          <w:sz w:val="22"/>
          <w:szCs w:val="22"/>
        </w:rPr>
        <w:t>.</w:t>
      </w:r>
    </w:p>
    <w:p>
      <w:pPr>
        <w:pStyle w:val="Nivel2"/>
        <w:tabs>
          <w:tab w:val="clear" w:pos="0"/>
        </w:tabs>
        <w:spacing w:lineRule="auto" w:line="360" w:before="120" w:after="288"/>
        <w:ind w:hanging="0" w:left="2836"/>
        <w:rPr>
          <w:bCs/>
          <w:sz w:val="22"/>
          <w:szCs w:val="22"/>
        </w:rPr>
      </w:pPr>
      <w:r>
        <w:rPr>
          <w:i/>
          <w:iCs/>
          <w:sz w:val="22"/>
          <w:szCs w:val="22"/>
        </w:rPr>
        <w:t xml:space="preserve">    </w:t>
      </w:r>
      <w:r>
        <w:rPr>
          <w:i/>
          <w:iCs/>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numPr>
          <w:ilvl w:val="0"/>
          <w:numId w:val="21"/>
        </w:numPr>
        <w:spacing w:lineRule="auto" w:line="360" w:before="120" w:after="288"/>
        <w:rPr>
          <w:rFonts w:ascii="Arial" w:hAnsi="Arial" w:cs="Arial"/>
          <w:i/>
          <w:i/>
          <w:iCs/>
          <w:sz w:val="22"/>
          <w:szCs w:val="22"/>
        </w:rPr>
      </w:pPr>
      <w:r>
        <w:rPr>
          <w:rFonts w:cs="Arial" w:ascii="Arial" w:hAnsi="Arial"/>
          <w:i/>
          <w:iCs/>
          <w:sz w:val="22"/>
          <w:szCs w:val="22"/>
        </w:rPr>
        <w:t xml:space="preserve">2- </w:t>
      </w:r>
    </w:p>
    <w:p>
      <w:pPr>
        <w:pStyle w:val="Normal"/>
        <w:rPr>
          <w:bCs/>
          <w:sz w:val="22"/>
          <w:szCs w:val="22"/>
          <w:u w:val="single"/>
        </w:rPr>
      </w:pPr>
      <w:r>
        <w:rPr>
          <w:bCs/>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10/2026. Objeto: </w:t>
      </w:r>
      <w:r>
        <w:rPr>
          <w:rFonts w:cs="Arial" w:ascii="Arial" w:hAnsi="Arial"/>
          <w:sz w:val="22"/>
          <w:szCs w:val="22"/>
        </w:rPr>
        <w:t>O Registro de Preço pelo prazo de 12 (doze) meses, para eventual contratação de serviços de som.</w:t>
      </w:r>
    </w:p>
    <w:p>
      <w:pPr>
        <w:pStyle w:val="Normal"/>
        <w:tabs>
          <w:tab w:val="clear" w:pos="709"/>
          <w:tab w:val="left" w:pos="1440" w:leader="none"/>
        </w:tabs>
        <w:ind w:right="-57"/>
        <w:jc w:val="both"/>
        <w:rPr/>
      </w:pPr>
      <w:r>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ind w:right="-57"/>
        <w:jc w:val="both"/>
        <w:rPr>
          <w:rFonts w:ascii="Arial" w:hAnsi="Arial" w:cs="Arial"/>
          <w:sz w:val="22"/>
          <w:szCs w:val="22"/>
        </w:rPr>
      </w:pPr>
      <w:bookmarkStart w:id="52" w:name="_Hlk182321881"/>
      <w:bookmarkStart w:id="53" w:name="_Hlk164066414"/>
      <w:r>
        <w:rPr>
          <w:rFonts w:cs="Arial" w:ascii="Arial" w:hAnsi="Arial"/>
          <w:b/>
          <w:bCs/>
          <w:sz w:val="22"/>
          <w:szCs w:val="22"/>
        </w:rPr>
        <w:t>Pregão Eletrônico Nº 10/2026,</w:t>
      </w:r>
      <w:r>
        <w:rPr>
          <w:rFonts w:cs="Arial" w:ascii="Arial" w:hAnsi="Arial"/>
          <w:sz w:val="22"/>
          <w:szCs w:val="22"/>
        </w:rPr>
        <w:t xml:space="preserve"> </w:t>
      </w:r>
      <w:r>
        <w:rPr>
          <w:rFonts w:cs="Arial" w:ascii="Arial" w:hAnsi="Arial"/>
          <w:b/>
          <w:bCs/>
          <w:sz w:val="22"/>
          <w:szCs w:val="22"/>
        </w:rPr>
        <w:t>Edital Nº 14/2026</w:t>
      </w:r>
      <w:r>
        <w:rPr>
          <w:rFonts w:cs="Arial" w:ascii="Arial" w:hAnsi="Arial"/>
          <w:sz w:val="22"/>
          <w:szCs w:val="22"/>
        </w:rPr>
        <w:t>, Tipo Menor Preço por Item. Objeto: O Registro de Preço pelo prazo de 12 (doze) meses, para eventual contratação de serviços de som. O cadastro das Propostas será recebido até o dia</w:t>
      </w:r>
      <w:r>
        <w:rPr>
          <w:rFonts w:cs="Arial" w:ascii="Arial" w:hAnsi="Arial"/>
          <w:b/>
          <w:sz w:val="22"/>
          <w:szCs w:val="22"/>
        </w:rPr>
        <w:t xml:space="preserve"> </w:t>
      </w:r>
      <w:r>
        <w:rPr>
          <w:rFonts w:cs="Arial" w:ascii="Arial" w:hAnsi="Arial"/>
          <w:b/>
          <w:sz w:val="22"/>
          <w:szCs w:val="22"/>
          <w:u w:val="single"/>
        </w:rPr>
        <w:t>20 de março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sz w:val="22"/>
          <w:szCs w:val="22"/>
        </w:rPr>
        <w:t>página eletrônica da Bolsa Brasileira de Mercadorias (</w:t>
      </w:r>
      <w:r>
        <w:rPr>
          <w:rStyle w:val="InternetLink"/>
          <w:rFonts w:cs="Arial" w:ascii="Arial" w:hAnsi="Arial"/>
          <w:color w:val="000000"/>
          <w:sz w:val="22"/>
          <w:szCs w:val="22"/>
        </w:rPr>
        <w:t>www.novobbmnet.com.br</w:t>
      </w:r>
      <w:r>
        <w:rPr>
          <w:rStyle w:val="Strong"/>
          <w:rFonts w:cs="Arial" w:ascii="Arial" w:hAnsi="Arial"/>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4">
        <w:r>
          <w:rPr>
            <w:rStyle w:val="Hyperlink"/>
            <w:rFonts w:cs="Arial" w:ascii="Arial" w:hAnsi="Arial"/>
            <w:color w:val="000000"/>
            <w:sz w:val="22"/>
            <w:szCs w:val="22"/>
          </w:rPr>
          <w:t>www.itatiba.sp.gov.br</w:t>
        </w:r>
      </w:hyperlink>
      <w:r>
        <w:rPr>
          <w:rFonts w:cs="Arial" w:ascii="Arial" w:hAnsi="Arial"/>
          <w:sz w:val="22"/>
          <w:szCs w:val="22"/>
        </w:rPr>
        <w:t xml:space="preserve"> e </w:t>
      </w:r>
      <w:r>
        <w:rPr>
          <w:rStyle w:val="InternetLink"/>
          <w:rFonts w:cs="Arial" w:ascii="Arial" w:hAnsi="Arial"/>
          <w:color w:val="000000"/>
          <w:sz w:val="22"/>
          <w:szCs w:val="22"/>
        </w:rPr>
        <w:t>www.novobbmnet.com.br</w:t>
      </w:r>
      <w:r>
        <w:rPr>
          <w:rStyle w:val="Strong"/>
          <w:rFonts w:cs="Arial" w:ascii="Arial" w:hAnsi="Arial"/>
          <w:sz w:val="22"/>
          <w:szCs w:val="22"/>
        </w:rPr>
        <w:t xml:space="preserve">. </w:t>
      </w:r>
      <w:r>
        <w:rPr>
          <w:rFonts w:cs="Arial" w:ascii="Arial" w:hAnsi="Arial"/>
          <w:sz w:val="22"/>
          <w:szCs w:val="22"/>
        </w:rPr>
        <w:t xml:space="preserve">Informações: tel.(11) 3183-0655. </w:t>
      </w:r>
      <w:bookmarkStart w:id="54" w:name="_Hlk128755056"/>
      <w:bookmarkEnd w:id="54"/>
      <w:r>
        <w:rPr>
          <w:rFonts w:cs="Arial" w:ascii="Arial" w:hAnsi="Arial"/>
          <w:sz w:val="22"/>
          <w:szCs w:val="22"/>
        </w:rPr>
        <w:t xml:space="preserve">Adriana de Oliveira Schiavinatto - Pregoeira. </w:t>
      </w:r>
      <w:bookmarkEnd w:id="52"/>
      <w:bookmarkEnd w:id="53"/>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sectPr>
      <w:headerReference w:type="even" r:id="rId25"/>
      <w:headerReference w:type="default" r:id="rId26"/>
      <w:headerReference w:type="first" r:id="rId27"/>
      <w:footerReference w:type="even" r:id="rId28"/>
      <w:footerReference w:type="default" r:id="rId29"/>
      <w:footerReference w:type="first" r:id="rId30"/>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57</w:t>
    </w:r>
    <w:r>
      <w:rPr/>
      <w:fldChar w:fldCharType="end"/>
    </w:r>
    <w:r>
      <w:rPr/>
      <w:drawing>
        <wp:inline distT="0" distB="0" distL="0" distR="0">
          <wp:extent cx="6028055"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57</w:t>
    </w:r>
    <w:r>
      <w:rPr/>
      <w:fldChar w:fldCharType="end"/>
    </w:r>
    <w:r>
      <w:rPr/>
      <w:drawing>
        <wp:inline distT="0" distB="0" distL="0" distR="0">
          <wp:extent cx="6028055"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258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258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rFonts w:ascii="Arial" w:hAnsi="Arial" w:cs="Arial"/>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sz w:val="22"/>
      </w:rPr>
    </w:lvl>
    <w:lvl w:ilvl="1">
      <w:start w:val="1"/>
      <w:numFmt w:val="decimal"/>
      <w:lvlText w:val="%1.%2"/>
      <w:lvlJc w:val="left"/>
      <w:pPr>
        <w:tabs>
          <w:tab w:val="num" w:pos="0"/>
        </w:tabs>
        <w:ind w:left="720" w:hanging="360"/>
      </w:pPr>
      <w:rPr>
        <w:sz w:val="22"/>
      </w:rPr>
    </w:lvl>
    <w:lvl w:ilvl="2">
      <w:start w:val="1"/>
      <w:numFmt w:val="decimal"/>
      <w:lvlText w:val="%1.%2.%3"/>
      <w:lvlJc w:val="left"/>
      <w:pPr>
        <w:tabs>
          <w:tab w:val="num" w:pos="0"/>
        </w:tabs>
        <w:ind w:left="1440" w:hanging="720"/>
      </w:pPr>
      <w:rPr>
        <w:sz w:val="22"/>
      </w:rPr>
    </w:lvl>
    <w:lvl w:ilvl="3">
      <w:start w:val="1"/>
      <w:numFmt w:val="decimal"/>
      <w:lvlText w:val="%1.%2.%3.%4"/>
      <w:lvlJc w:val="left"/>
      <w:pPr>
        <w:tabs>
          <w:tab w:val="num" w:pos="0"/>
        </w:tabs>
        <w:ind w:left="1800" w:hanging="720"/>
      </w:pPr>
      <w:rPr>
        <w:sz w:val="22"/>
      </w:rPr>
    </w:lvl>
    <w:lvl w:ilvl="4">
      <w:start w:val="1"/>
      <w:numFmt w:val="decimal"/>
      <w:lvlText w:val="%1.%2.%3.%4.%5"/>
      <w:lvlJc w:val="left"/>
      <w:pPr>
        <w:tabs>
          <w:tab w:val="num" w:pos="0"/>
        </w:tabs>
        <w:ind w:left="2520" w:hanging="1080"/>
      </w:pPr>
      <w:rPr>
        <w:sz w:val="22"/>
      </w:rPr>
    </w:lvl>
    <w:lvl w:ilvl="5">
      <w:start w:val="1"/>
      <w:numFmt w:val="decimal"/>
      <w:lvlText w:val="%1.%2.%3.%4.%5.%6"/>
      <w:lvlJc w:val="left"/>
      <w:pPr>
        <w:tabs>
          <w:tab w:val="num" w:pos="0"/>
        </w:tabs>
        <w:ind w:left="2880" w:hanging="1080"/>
      </w:pPr>
      <w:rPr>
        <w:sz w:val="22"/>
      </w:rPr>
    </w:lvl>
    <w:lvl w:ilvl="6">
      <w:start w:val="1"/>
      <w:numFmt w:val="decimal"/>
      <w:lvlText w:val="%1.%2.%3.%4.%5.%6.%7"/>
      <w:lvlJc w:val="left"/>
      <w:pPr>
        <w:tabs>
          <w:tab w:val="num" w:pos="0"/>
        </w:tabs>
        <w:ind w:left="3600" w:hanging="1440"/>
      </w:pPr>
      <w:rPr>
        <w:sz w:val="22"/>
      </w:rPr>
    </w:lvl>
    <w:lvl w:ilvl="7">
      <w:start w:val="1"/>
      <w:numFmt w:val="decimal"/>
      <w:lvlText w:val="%1.%2.%3.%4.%5.%6.%7.%8"/>
      <w:lvlJc w:val="left"/>
      <w:pPr>
        <w:tabs>
          <w:tab w:val="num" w:pos="0"/>
        </w:tabs>
        <w:ind w:left="3960" w:hanging="1440"/>
      </w:pPr>
      <w:rPr>
        <w:sz w:val="22"/>
      </w:rPr>
    </w:lvl>
    <w:lvl w:ilvl="8">
      <w:start w:val="1"/>
      <w:numFmt w:val="decimal"/>
      <w:lvlText w:val="%1.%2.%3.%4.%5.%6.%7.%8.%9"/>
      <w:lvlJc w:val="left"/>
      <w:pPr>
        <w:tabs>
          <w:tab w:val="num" w:pos="0"/>
        </w:tabs>
        <w:ind w:left="4680" w:hanging="1800"/>
      </w:pPr>
      <w:rPr>
        <w:sz w:val="22"/>
      </w:rPr>
    </w:lvl>
  </w:abstractNum>
  <w:abstractNum w:abstractNumId="9">
    <w:lvl w:ilvl="0">
      <w:start w:val="4"/>
      <w:numFmt w:val="lowerLetter"/>
      <w:lvlText w:val="%1)"/>
      <w:lvlJc w:val="left"/>
      <w:pPr>
        <w:tabs>
          <w:tab w:val="num" w:pos="0"/>
        </w:tabs>
        <w:ind w:left="720" w:hanging="360"/>
      </w:pPr>
      <w:rPr>
        <w:sz w:val="22"/>
        <w:u w:val="singl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1"/>
      <w:numFmt w:val="lowerLetter"/>
      <w:lvlText w:val="%1)"/>
      <w:lvlJc w:val="left"/>
      <w:pPr>
        <w:tabs>
          <w:tab w:val="num" w:pos="0"/>
        </w:tabs>
        <w:ind w:left="360" w:hanging="360"/>
      </w:pPr>
      <w:rPr>
        <w:sz w:val="22"/>
        <w:i w:val="false"/>
        <w:rFonts w:ascii="Arial" w:hAnsi="Arial" w:eastAsia="Arial" w:cs="Arial"/>
        <w:color w:val="000000"/>
      </w:rPr>
    </w:lvl>
    <w:lvl w:ilvl="1">
      <w:start w:val="2"/>
      <w:numFmt w:val="decimal"/>
      <w:lvlText w:val="%1.%2"/>
      <w:lvlJc w:val="left"/>
      <w:pPr>
        <w:tabs>
          <w:tab w:val="num" w:pos="0"/>
        </w:tabs>
        <w:ind w:left="360" w:hanging="360"/>
      </w:pPr>
      <w:rPr>
        <w:sz w:val="22"/>
        <w:i w:val="false"/>
        <w:color w:val="000000"/>
      </w:rPr>
    </w:lvl>
    <w:lvl w:ilvl="2">
      <w:start w:val="1"/>
      <w:numFmt w:val="decimal"/>
      <w:lvlText w:val="%1.%2.%3"/>
      <w:lvlJc w:val="left"/>
      <w:pPr>
        <w:tabs>
          <w:tab w:val="num" w:pos="0"/>
        </w:tabs>
        <w:ind w:left="720" w:hanging="720"/>
      </w:pPr>
      <w:rPr>
        <w:sz w:val="22"/>
        <w:i w:val="false"/>
        <w:color w:val="000000"/>
      </w:rPr>
    </w:lvl>
    <w:lvl w:ilvl="3">
      <w:start w:val="1"/>
      <w:numFmt w:val="decimal"/>
      <w:lvlText w:val="%1.%2.%3.%4"/>
      <w:lvlJc w:val="left"/>
      <w:pPr>
        <w:tabs>
          <w:tab w:val="num" w:pos="0"/>
        </w:tabs>
        <w:ind w:left="720" w:hanging="720"/>
      </w:pPr>
      <w:rPr>
        <w:sz w:val="22"/>
        <w:i w:val="false"/>
        <w:color w:val="000000"/>
      </w:rPr>
    </w:lvl>
    <w:lvl w:ilvl="4">
      <w:start w:val="1"/>
      <w:numFmt w:val="decimal"/>
      <w:lvlText w:val="%1.%2.%3.%4.%5"/>
      <w:lvlJc w:val="left"/>
      <w:pPr>
        <w:tabs>
          <w:tab w:val="num" w:pos="0"/>
        </w:tabs>
        <w:ind w:left="1080" w:hanging="1080"/>
      </w:pPr>
      <w:rPr>
        <w:sz w:val="22"/>
        <w:i w:val="false"/>
        <w:color w:val="000000"/>
      </w:rPr>
    </w:lvl>
    <w:lvl w:ilvl="5">
      <w:start w:val="1"/>
      <w:numFmt w:val="decimal"/>
      <w:lvlText w:val="%1.%2.%3.%4.%5.%6"/>
      <w:lvlJc w:val="left"/>
      <w:pPr>
        <w:tabs>
          <w:tab w:val="num" w:pos="0"/>
        </w:tabs>
        <w:ind w:left="1080" w:hanging="1080"/>
      </w:pPr>
      <w:rPr>
        <w:sz w:val="22"/>
        <w:i w:val="false"/>
        <w:color w:val="000000"/>
      </w:rPr>
    </w:lvl>
    <w:lvl w:ilvl="6">
      <w:start w:val="1"/>
      <w:numFmt w:val="decimal"/>
      <w:lvlText w:val="%1.%2.%3.%4.%5.%6.%7"/>
      <w:lvlJc w:val="left"/>
      <w:pPr>
        <w:tabs>
          <w:tab w:val="num" w:pos="0"/>
        </w:tabs>
        <w:ind w:left="1440" w:hanging="1440"/>
      </w:pPr>
      <w:rPr>
        <w:sz w:val="22"/>
        <w:i w:val="false"/>
        <w:color w:val="000000"/>
      </w:rPr>
    </w:lvl>
    <w:lvl w:ilvl="7">
      <w:start w:val="1"/>
      <w:numFmt w:val="decimal"/>
      <w:lvlText w:val="%1.%2.%3.%4.%5.%6.%7.%8"/>
      <w:lvlJc w:val="left"/>
      <w:pPr>
        <w:tabs>
          <w:tab w:val="num" w:pos="0"/>
        </w:tabs>
        <w:ind w:left="1440" w:hanging="1440"/>
      </w:pPr>
      <w:rPr>
        <w:sz w:val="22"/>
        <w:i w:val="false"/>
        <w:color w:val="000000"/>
      </w:rPr>
    </w:lvl>
    <w:lvl w:ilvl="8">
      <w:start w:val="1"/>
      <w:numFmt w:val="decimal"/>
      <w:lvlText w:val="%1.%2.%3.%4.%5.%6.%7.%8.%9"/>
      <w:lvlJc w:val="left"/>
      <w:pPr>
        <w:tabs>
          <w:tab w:val="num" w:pos="0"/>
        </w:tabs>
        <w:ind w:left="1800" w:hanging="1800"/>
      </w:pPr>
      <w:rPr>
        <w:sz w:val="22"/>
        <w:i w:val="false"/>
        <w:color w:val="000000"/>
      </w:rPr>
    </w:lvl>
  </w:abstractNum>
  <w:abstractNum w:abstractNumId="12">
    <w:lvl w:ilvl="0">
      <w:start w:val="1"/>
      <w:numFmt w:val="decimal"/>
      <w:lvlText w:val="%1)"/>
      <w:lvlJc w:val="left"/>
      <w:pPr>
        <w:tabs>
          <w:tab w:val="num" w:pos="0"/>
        </w:tabs>
        <w:ind w:left="720" w:hanging="360"/>
      </w:pPr>
      <w:rPr>
        <w:rFonts w:eastAsia="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9"/>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720" w:hanging="360"/>
      </w:pPr>
      <w:rPr>
        <w:b w:val="false"/>
        <w:bC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21">
    <w:lvl w:ilvl="0">
      <w:start w:val="1"/>
      <w:numFmt w:val="decimal"/>
      <w:lvlText w:val="%1-"/>
      <w:lvlJc w:val="left"/>
      <w:pPr>
        <w:tabs>
          <w:tab w:val="num" w:pos="0"/>
        </w:tabs>
        <w:ind w:left="4770" w:hanging="4410"/>
      </w:pPr>
      <w:rPr>
        <w:rFonts w:eastAsia="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4z0" w:customStyle="1">
    <w:name w:val="WW8Num4z0"/>
    <w:qFormat/>
    <w:rPr/>
  </w:style>
  <w:style w:type="character" w:styleId="WW8Num6z0" w:customStyle="1">
    <w:name w:val="WW8Num6z0"/>
    <w:qFormat/>
    <w:rPr>
      <w:sz w:val="22"/>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5z0" w:customStyle="1">
    <w:name w:val="WW8Num15z0"/>
    <w:qFormat/>
    <w:rPr/>
  </w:style>
  <w:style w:type="character" w:styleId="WW8Num17z0" w:customStyle="1">
    <w:name w:val="WW8Num17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8z2" w:customStyle="1">
    <w:name w:val="WW8Num8z2"/>
    <w:qFormat/>
    <w:rPr>
      <w:b w:val="false"/>
      <w:i w:val="false"/>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6z0" w:customStyle="1">
    <w:name w:val="WW8Num26z0"/>
    <w:qFormat/>
    <w:rPr/>
  </w:style>
  <w:style w:type="character" w:styleId="WW8Num27z0" w:customStyle="1">
    <w:name w:val="WW8Num27z0"/>
    <w:qFormat/>
    <w:rPr>
      <w:rFonts w:ascii="Times New Roman" w:hAnsi="Times New Roman" w:cs="Arial"/>
      <w:b/>
      <w:sz w:val="22"/>
      <w:szCs w:val="23"/>
    </w:rPr>
  </w:style>
  <w:style w:type="character" w:styleId="WW8Num27z1" w:customStyle="1">
    <w:name w:val="WW8Num27z1"/>
    <w:qFormat/>
    <w:rPr>
      <w:b w:val="false"/>
      <w:i w:val="false"/>
      <w:strike w:val="false"/>
      <w:dstrike w:val="false"/>
      <w:color w:val="000000"/>
      <w:sz w:val="20"/>
      <w:szCs w:val="20"/>
      <w:u w:val="none"/>
    </w:rPr>
  </w:style>
  <w:style w:type="character" w:styleId="WW8Num27z2" w:customStyle="1">
    <w:name w:val="WW8Num27z2"/>
    <w:qFormat/>
    <w:rPr>
      <w:rFonts w:ascii="Arial" w:hAnsi="Arial" w:cs="Arial"/>
      <w:b w:val="false"/>
      <w:i w:val="false"/>
      <w:strike w:val="false"/>
      <w:dstrike w:val="false"/>
      <w:color w:val="000000"/>
      <w:sz w:val="20"/>
      <w:szCs w:val="20"/>
    </w:rPr>
  </w:style>
  <w:style w:type="character" w:styleId="WW8Num29z0" w:customStyle="1">
    <w:name w:val="WW8Num29z0"/>
    <w:qFormat/>
    <w:rPr/>
  </w:style>
  <w:style w:type="character" w:styleId="WW8Num30z1" w:customStyle="1">
    <w:name w:val="WW8Num30z1"/>
    <w:qFormat/>
    <w:rPr>
      <w:b w:val="false"/>
      <w:i w:val="false"/>
    </w:rPr>
  </w:style>
  <w:style w:type="character" w:styleId="WW8Num30z2" w:customStyle="1">
    <w:name w:val="WW8Num30z2"/>
    <w:qFormat/>
    <w:rPr>
      <w:b w:val="false"/>
    </w:rPr>
  </w:style>
  <w:style w:type="character" w:styleId="WW8Num31z0" w:customStyle="1">
    <w:name w:val="WW8Num31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InternetLink1">
    <w:name w:val="Internet Link1"/>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suppressAutoHyphens w:val="true"/>
      <w:bidi w:val="0"/>
      <w:spacing w:lineRule="auto" w:line="276" w:before="0" w:after="200"/>
      <w:jc w:val="left"/>
    </w:pPr>
    <w:rPr>
      <w:rFonts w:ascii="Calibri" w:hAnsi="Calibri" w:eastAsia="Times New Roman" w:cs="Calibri"/>
      <w:color w:val="auto"/>
      <w:kern w:val="2"/>
      <w:sz w:val="22"/>
      <w:szCs w:val="22"/>
      <w:lang w:bidi="ar-SA" w:val="pt-BR" w:eastAsia="zh-C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image" Target="media/image1.wmf"/><Relationship Id="rId21"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4" Type="http://schemas.openxmlformats.org/officeDocument/2006/relationships/hyperlink" Target="http://www.itatiba.sp.gov.br/"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LibreOffice/24.8.0.3$Windows_X86_64 LibreOffice_project/0bdf1299c94fe897b119f97f3c613e9dca6be583</Application>
  <AppVersion>15.0000</AppVersion>
  <Pages>59</Pages>
  <Words>16570</Words>
  <Characters>93584</Characters>
  <CharactersWithSpaces>109542</CharactersWithSpaces>
  <Paragraphs>750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2026-03-04T12:34:00Z</dcterms:created>
  <dc:creator>eportella</dc:creator>
  <dc:description/>
  <dc:language>pt-BR</dc:language>
  <cp:lastModifiedBy>Adriana de Oliveira Schiavinatto</cp:lastModifiedBy>
  <cp:lastPrinted>2025-12-05T13:50:00Z</cp:lastPrinted>
  <dcterms:modified xsi:type="dcterms:W3CDTF">2026-03-04T17:51:00Z</dcterms:modified>
  <cp:revision>11</cp:revision>
  <dc:subject/>
  <dc:title> </dc:title>
</cp:coreProperties>
</file>

<file path=docProps/custom.xml><?xml version="1.0" encoding="utf-8"?>
<Properties xmlns="http://schemas.openxmlformats.org/officeDocument/2006/custom-properties" xmlns:vt="http://schemas.openxmlformats.org/officeDocument/2006/docPropsVTypes"/>
</file>