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8.149/2025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PREGÃO ELETRÔNICO Nº </w:t>
      </w:r>
      <w:r>
        <w:rPr>
          <w:rFonts w:cs="Arial" w:ascii="Arial" w:hAnsi="Arial"/>
          <w:b/>
          <w:bCs/>
          <w:sz w:val="22"/>
          <w:szCs w:val="22"/>
        </w:rPr>
        <w:t>94</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119</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aquisição de medicamento e/ou suplementos para a Secretaria de Saúde e em cumprimento à Ação Judicial</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R$ 1.943.032,12 (Um milhão novecentos e quarenta e três mil trinta e dois reais e doze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19</w:t>
      </w:r>
      <w:r>
        <w:rPr>
          <w:rFonts w:cs="Arial" w:ascii="Arial" w:hAnsi="Arial"/>
          <w:b/>
          <w:bCs/>
          <w:sz w:val="22"/>
          <w:szCs w:val="22"/>
        </w:rPr>
        <w:t xml:space="preserve"> de </w:t>
      </w:r>
      <w:r>
        <w:rPr>
          <w:rFonts w:cs="Arial" w:ascii="Arial" w:hAnsi="Arial"/>
          <w:b/>
          <w:bCs/>
          <w:sz w:val="22"/>
          <w:szCs w:val="22"/>
        </w:rPr>
        <w:t>janeiro</w:t>
      </w:r>
      <w:r>
        <w:rPr>
          <w:rFonts w:cs="Arial" w:ascii="Arial" w:hAnsi="Arial"/>
          <w:b/>
          <w:bCs/>
          <w:sz w:val="22"/>
          <w:szCs w:val="22"/>
        </w:rPr>
        <w:t xml:space="preserve"> de 202</w:t>
      </w:r>
      <w:r>
        <w:rPr>
          <w:rFonts w:cs="Arial" w:ascii="Arial" w:hAnsi="Arial"/>
          <w:b/>
          <w:bCs/>
          <w:sz w:val="22"/>
          <w:szCs w:val="22"/>
        </w:rPr>
        <w:t>6</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19/01</w:t>
      </w:r>
      <w:r>
        <w:rPr>
          <w:rFonts w:cs="Arial" w:ascii="Arial" w:hAnsi="Arial"/>
          <w:b w:val="false"/>
          <w:bCs w:val="false"/>
          <w:sz w:val="22"/>
          <w:szCs w:val="22"/>
        </w:rPr>
        <w:t>/202</w:t>
      </w:r>
      <w:r>
        <w:rPr>
          <w:rFonts w:cs="Arial" w:ascii="Arial" w:hAnsi="Arial"/>
          <w:b w:val="false"/>
          <w:bCs w:val="false"/>
          <w:sz w:val="22"/>
          <w:szCs w:val="22"/>
        </w:rPr>
        <w:t>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19/01</w:t>
      </w:r>
      <w:r>
        <w:rPr>
          <w:rFonts w:cs="Arial" w:ascii="Arial" w:hAnsi="Arial"/>
          <w:b w:val="false"/>
          <w:bCs w:val="false"/>
          <w:sz w:val="22"/>
          <w:szCs w:val="22"/>
        </w:rPr>
        <w:t>/202</w:t>
      </w:r>
      <w:r>
        <w:rPr>
          <w:rFonts w:cs="Arial" w:ascii="Arial" w:hAnsi="Arial"/>
          <w:b w:val="false"/>
          <w:bCs w:val="false"/>
          <w:sz w:val="22"/>
          <w:szCs w:val="22"/>
        </w:rPr>
        <w:t>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19/01</w:t>
      </w:r>
      <w:r>
        <w:rPr>
          <w:rFonts w:cs="Arial" w:ascii="Arial" w:hAnsi="Arial"/>
          <w:b w:val="false"/>
          <w:bCs w:val="false"/>
          <w:sz w:val="22"/>
          <w:szCs w:val="22"/>
        </w:rPr>
        <w:t>/202</w:t>
      </w:r>
      <w:r>
        <w:rPr>
          <w:rFonts w:cs="Arial" w:ascii="Arial" w:hAnsi="Arial"/>
          <w:b w:val="false"/>
          <w:bCs w:val="false"/>
          <w:sz w:val="22"/>
          <w:szCs w:val="22"/>
        </w:rPr>
        <w:t>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r>
    </w:p>
    <w:p>
      <w:pPr>
        <w:pStyle w:val="Normal"/>
        <w:spacing w:lineRule="auto" w:line="360"/>
        <w:ind w:right="-54"/>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4"/>
        <w:rPr>
          <w:rFonts w:ascii="Arial" w:hAnsi="Arial" w:cs="Arial"/>
          <w:b/>
          <w:bCs/>
          <w:sz w:val="22"/>
          <w:szCs w:val="22"/>
        </w:rPr>
      </w:pPr>
      <w:r>
        <w:rPr>
          <w:rFonts w:cs="Arial" w:ascii="Arial" w:hAnsi="Arial"/>
          <w:b/>
          <w:bCs/>
          <w:sz w:val="22"/>
          <w:szCs w:val="22"/>
        </w:rPr>
        <w:t>SECRETARIA DA SAÚDE e SECRETARIA DE MEIO AMBIENTE E AGRICULTURA</w:t>
      </w:r>
    </w:p>
    <w:p>
      <w:pPr>
        <w:pStyle w:val="Normal"/>
        <w:spacing w:lineRule="auto" w:line="360"/>
        <w:ind w:right="-54"/>
        <w:rPr>
          <w:rFonts w:ascii="Arial" w:hAnsi="Arial" w:cs="Arial"/>
          <w:b/>
          <w:bCs/>
          <w:sz w:val="22"/>
          <w:szCs w:val="22"/>
        </w:rPr>
      </w:pPr>
      <w:r>
        <w:rPr>
          <w:rFonts w:cs="Arial" w:ascii="Arial" w:hAnsi="Arial"/>
          <w:b/>
          <w:bCs/>
          <w:sz w:val="22"/>
          <w:szCs w:val="22"/>
        </w:rPr>
        <w:t>PROCESSO ADMINISTRATIVO Nº 8.149/2025</w:t>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sz w:val="22"/>
          <w:szCs w:val="22"/>
        </w:rPr>
      </w:pPr>
      <w:r>
        <w:rPr>
          <w:rFonts w:cs="Arial" w:ascii="Arial" w:hAnsi="Arial"/>
          <w:b/>
          <w:sz w:val="22"/>
          <w:szCs w:val="22"/>
        </w:rPr>
        <w:t xml:space="preserve">PREGÃO ELETRÔNICO Nº </w:t>
      </w:r>
      <w:r>
        <w:rPr>
          <w:rFonts w:cs="Arial" w:ascii="Arial" w:hAnsi="Arial"/>
          <w:b/>
          <w:sz w:val="22"/>
          <w:szCs w:val="22"/>
        </w:rPr>
        <w:t>94</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119</w:t>
      </w:r>
      <w:r>
        <w:rPr>
          <w:rFonts w:cs="Arial" w:ascii="Arial" w:hAnsi="Arial"/>
          <w:b/>
          <w:sz w:val="22"/>
          <w:szCs w:val="22"/>
        </w:rPr>
        <w:t>/2025</w:t>
      </w:r>
    </w:p>
    <w:p>
      <w:pPr>
        <w:pStyle w:val="Normal"/>
        <w:snapToGrid w:val="false"/>
        <w:spacing w:lineRule="auto" w:line="360" w:before="288" w:after="288"/>
        <w:ind w:firstLine="56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DA SAÚDE e SECRETARIA DE MEIO AMBIENTE E AGRICULTURA,</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Hyperlink"/>
            <w:rFonts w:cs="Arial" w:ascii="Arial" w:hAnsi="Arial"/>
            <w:color w:val="auto"/>
            <w:sz w:val="22"/>
            <w:szCs w:val="22"/>
          </w:rPr>
          <w:t>Lei nº 14.133/2021</w:t>
        </w:r>
      </w:hyperlink>
      <w:r>
        <w:rPr>
          <w:rFonts w:cs="Arial" w:ascii="Arial" w:hAnsi="Arial"/>
          <w:sz w:val="22"/>
          <w:szCs w:val="22"/>
        </w:rPr>
        <w:t xml:space="preserve"> e Decreto 11.462/2023 e 7.999/2024, e demais legislação aplicável e, ainda, de acordo com as condições estabelecidas neste Edital.</w:t>
      </w:r>
    </w:p>
    <w:p>
      <w:pPr>
        <w:pStyle w:val="Nivel01"/>
        <w:numPr>
          <w:ilvl w:val="0"/>
          <w:numId w:val="5"/>
        </w:numPr>
        <w:spacing w:lineRule="auto" w:line="360" w:before="0" w:after="0"/>
        <w:ind w:hanging="0" w:left="0"/>
        <w:rPr>
          <w:sz w:val="22"/>
          <w:szCs w:val="22"/>
          <w:lang w:eastAsia="en-US"/>
        </w:rPr>
      </w:pPr>
      <w:r>
        <w:rPr>
          <w:sz w:val="22"/>
          <w:szCs w:val="22"/>
          <w:lang w:eastAsia="en-US"/>
        </w:rPr>
        <w:t>DO OBJETO</w:t>
      </w:r>
    </w:p>
    <w:p>
      <w:pPr>
        <w:pStyle w:val="Nivel2"/>
        <w:tabs>
          <w:tab w:val="clear" w:pos="0"/>
        </w:tabs>
        <w:spacing w:lineRule="auto" w:line="360" w:before="0" w:after="0"/>
        <w:ind w:hanging="0" w:left="0"/>
        <w:rPr>
          <w:color w:val="auto"/>
          <w:sz w:val="22"/>
          <w:szCs w:val="22"/>
        </w:rPr>
      </w:pPr>
      <w:r>
        <w:rPr>
          <w:color w:val="auto"/>
          <w:sz w:val="22"/>
          <w:szCs w:val="22"/>
        </w:rPr>
        <w:t xml:space="preserve">1.1 - O objeto da presente licitação é o Registro de Preço, pelo prazo de 12 (doze) meses, para eventual aquisição de </w:t>
      </w:r>
      <w:r>
        <w:rPr>
          <w:sz w:val="22"/>
          <w:szCs w:val="22"/>
        </w:rPr>
        <w:t>medicamento e/ou suplementos para a Secretaria de Saúde e em cumprimento à Ação Judicial</w:t>
      </w:r>
      <w:r>
        <w:rPr>
          <w:color w:val="auto"/>
          <w:sz w:val="22"/>
          <w:szCs w:val="22"/>
        </w:rPr>
        <w:t>, conforme condições, quantidades e exigências estabelecidas neste Edital e seus anexos.</w:t>
      </w:r>
    </w:p>
    <w:p>
      <w:pPr>
        <w:pStyle w:val="Nivel2"/>
        <w:tabs>
          <w:tab w:val="clear" w:pos="0"/>
        </w:tabs>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tabs>
          <w:tab w:val="clear" w:pos="0"/>
        </w:tabs>
        <w:spacing w:lineRule="auto" w:line="360" w:before="0" w:after="0"/>
        <w:ind w:hanging="0" w:left="0"/>
        <w:rPr>
          <w:color w:val="auto"/>
          <w:sz w:val="22"/>
          <w:szCs w:val="22"/>
        </w:rPr>
      </w:pPr>
      <w:r>
        <w:rPr>
          <w:color w:val="auto"/>
          <w:sz w:val="22"/>
          <w:szCs w:val="22"/>
        </w:rPr>
        <w:t>1.3 - Os quantitativos totais expressos no Anexo I, deste edital, são estimativos e representam a previsão da Secretaria requisitante, pelo prazo de 12 (doze) meses.</w:t>
      </w:r>
    </w:p>
    <w:p>
      <w:pPr>
        <w:pStyle w:val="Nivel2"/>
        <w:tabs>
          <w:tab w:val="clear" w:pos="0"/>
        </w:tabs>
        <w:spacing w:lineRule="auto" w:line="360" w:before="0" w:after="0"/>
        <w:ind w:hanging="0" w:left="0"/>
        <w:rPr>
          <w:color w:val="auto"/>
          <w:sz w:val="22"/>
          <w:szCs w:val="22"/>
        </w:rPr>
      </w:pPr>
      <w:r>
        <w:rPr>
          <w:color w:val="auto"/>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tabs>
          <w:tab w:val="clear" w:pos="0"/>
        </w:tabs>
        <w:spacing w:lineRule="auto" w:line="360" w:before="0" w:after="0"/>
        <w:ind w:hanging="0" w:left="0"/>
        <w:rPr>
          <w:color w:val="auto"/>
          <w:sz w:val="22"/>
          <w:szCs w:val="22"/>
        </w:rPr>
      </w:pPr>
      <w:r>
        <w:rPr>
          <w:color w:val="auto"/>
          <w:sz w:val="22"/>
          <w:szCs w:val="22"/>
        </w:rPr>
        <w:t xml:space="preserve">1.5 – O objeto desta licitação será subsidiado com </w:t>
      </w:r>
      <w:r>
        <w:rPr>
          <w:sz w:val="22"/>
          <w:szCs w:val="22"/>
        </w:rPr>
        <w:t>Recursos Próprios da Administração.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2"/>
        <w:tabs>
          <w:tab w:val="clear" w:pos="0"/>
        </w:tabs>
        <w:spacing w:lineRule="auto" w:line="360" w:before="0" w:after="0"/>
        <w:ind w:hanging="0" w:left="0"/>
        <w:rPr>
          <w:color w:val="auto"/>
          <w:sz w:val="22"/>
          <w:szCs w:val="22"/>
        </w:rPr>
      </w:pPr>
      <w:r>
        <w:rPr>
          <w:color w:val="auto"/>
          <w:sz w:val="22"/>
          <w:szCs w:val="22"/>
        </w:rPr>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5"/>
        </w:numPr>
        <w:spacing w:lineRule="auto" w:line="360" w:before="0" w:after="0"/>
        <w:ind w:hanging="0" w:left="0"/>
        <w:rPr>
          <w:sz w:val="22"/>
          <w:szCs w:val="22"/>
        </w:rPr>
      </w:pPr>
      <w:r>
        <w:rPr>
          <w:sz w:val="22"/>
          <w:szCs w:val="22"/>
        </w:rPr>
        <w:t>DA PARTICIPAÇÃO NA LICITAÇÃO</w:t>
      </w:r>
    </w:p>
    <w:p>
      <w:pPr>
        <w:pStyle w:val="Nivel2"/>
        <w:numPr>
          <w:ilvl w:val="1"/>
          <w:numId w:val="5"/>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5"/>
        </w:numPr>
        <w:spacing w:lineRule="auto" w:line="360" w:before="0" w:after="0"/>
        <w:ind w:hanging="0" w:left="0"/>
        <w:rPr>
          <w:b/>
          <w:bCs/>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5"/>
        </w:numPr>
        <w:spacing w:lineRule="auto" w:line="360"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5"/>
        </w:numPr>
        <w:spacing w:lineRule="auto" w:line="360" w:before="0" w:after="0"/>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5"/>
        </w:numPr>
        <w:spacing w:lineRule="auto" w:line="360" w:before="0" w:after="0"/>
        <w:ind w:hanging="0" w:left="0"/>
        <w:rPr>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5"/>
        </w:numPr>
        <w:spacing w:lineRule="auto" w:line="360" w:before="0" w:after="0"/>
        <w:ind w:hanging="0" w:left="0"/>
        <w:rPr>
          <w:rFonts w:eastAsia="Times New Roman"/>
          <w:color w:val="auto"/>
          <w:sz w:val="22"/>
          <w:szCs w:val="22"/>
        </w:rPr>
      </w:pPr>
      <w:bookmarkStart w:id="0" w:name="_Ref117000692"/>
      <w:r>
        <w:rPr>
          <w:rFonts w:eastAsia="Times New Roman"/>
          <w:color w:val="auto"/>
          <w:sz w:val="22"/>
          <w:szCs w:val="22"/>
        </w:rPr>
        <w:t>Não poderão disputar esta licitação:</w:t>
      </w:r>
      <w:bookmarkEnd w:id="0"/>
    </w:p>
    <w:p>
      <w:pPr>
        <w:pStyle w:val="Normal"/>
        <w:numPr>
          <w:ilvl w:val="2"/>
          <w:numId w:val="5"/>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5"/>
        </w:numPr>
        <w:spacing w:lineRule="auto" w:line="360" w:before="0" w:after="0"/>
        <w:ind w:hanging="0" w:left="567"/>
        <w:rPr>
          <w:color w:val="auto"/>
          <w:sz w:val="22"/>
          <w:szCs w:val="22"/>
        </w:rPr>
      </w:pPr>
      <w:bookmarkStart w:id="1" w:name="_Ref113883003"/>
      <w:bookmarkStart w:id="2" w:name="_Ref113883338"/>
      <w:bookmarkEnd w:id="2"/>
      <w:r>
        <w:rPr>
          <w:color w:val="auto"/>
          <w:sz w:val="22"/>
          <w:szCs w:val="22"/>
        </w:rPr>
        <w:t>pessoa física ou jurídica que se encontre, ao tempo da licitação, impossibilitada de participar da licitação em decorrência de sanção que lhe foi imposta;</w:t>
      </w:r>
      <w:bookmarkEnd w:id="1"/>
    </w:p>
    <w:p>
      <w:pPr>
        <w:pStyle w:val="Nivel3"/>
        <w:numPr>
          <w:ilvl w:val="2"/>
          <w:numId w:val="5"/>
        </w:numPr>
        <w:spacing w:lineRule="auto" w:line="360" w:before="0" w:after="0"/>
        <w:ind w:hanging="0"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5"/>
        </w:numPr>
        <w:spacing w:lineRule="auto" w:line="360" w:before="0" w:after="0"/>
        <w:ind w:hanging="0" w:left="567"/>
        <w:rPr>
          <w:color w:val="auto"/>
          <w:sz w:val="22"/>
          <w:szCs w:val="22"/>
        </w:rPr>
      </w:pPr>
      <w:bookmarkStart w:id="3" w:name="_Ref113883579"/>
      <w:r>
        <w:rPr>
          <w:color w:val="auto"/>
          <w:sz w:val="22"/>
          <w:szCs w:val="22"/>
        </w:rPr>
        <w:t>empresas controladoras, controladas ou coligadas, nos termos da Lei nº 6.404, de 15 de dezembro de 1976, concorrendo entre si;</w:t>
      </w:r>
      <w:bookmarkEnd w:id="3"/>
    </w:p>
    <w:p>
      <w:pPr>
        <w:pStyle w:val="Nivel3"/>
        <w:numPr>
          <w:ilvl w:val="2"/>
          <w:numId w:val="5"/>
        </w:numPr>
        <w:spacing w:lineRule="auto" w:line="360" w:before="0" w:after="0"/>
        <w:ind w:hanging="0" w:left="567"/>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5"/>
        </w:numPr>
        <w:spacing w:lineRule="auto" w:line="360" w:before="0" w:after="0"/>
        <w:ind w:hanging="0" w:left="567"/>
        <w:rPr>
          <w:color w:val="auto"/>
          <w:sz w:val="22"/>
          <w:szCs w:val="22"/>
        </w:rPr>
      </w:pPr>
      <w:bookmarkStart w:id="4" w:name="_Ref113962336"/>
      <w:r>
        <w:rPr>
          <w:color w:val="auto"/>
          <w:sz w:val="22"/>
          <w:szCs w:val="22"/>
        </w:rPr>
        <w:t>agente público do órgão ou entidade licitante;</w:t>
      </w:r>
      <w:bookmarkEnd w:id="4"/>
    </w:p>
    <w:p>
      <w:pPr>
        <w:pStyle w:val="Normal"/>
        <w:numPr>
          <w:ilvl w:val="2"/>
          <w:numId w:val="5"/>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5"/>
        </w:numPr>
        <w:spacing w:lineRule="auto" w:line="360" w:before="0" w:after="0"/>
        <w:ind w:hanging="0" w:left="567"/>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auto"/>
        </w:rPr>
        <w:instrText xml:space="preserve"> HYPERLINK "http://www.planalto.gov.br/ccivil_03/_ato2019-2022/2021/lei/L14133.htm" \l "art9%C2%A71"</w:instrText>
      </w:r>
      <w:r>
        <w:rPr>
          <w:rStyle w:val="Hyperlink"/>
          <w:sz w:val="22"/>
          <w:szCs w:val="22"/>
          <w:color w:val="auto"/>
        </w:rPr>
        <w:fldChar w:fldCharType="separate"/>
      </w:r>
      <w:r>
        <w:rPr>
          <w:rStyle w:val="Hyperlink"/>
          <w:color w:val="auto"/>
          <w:sz w:val="22"/>
          <w:szCs w:val="22"/>
        </w:rPr>
        <w:t>§ 1º do art. 9º da Lei n.º 14.133, de 2021</w:t>
      </w:r>
      <w:r>
        <w:rPr>
          <w:rStyle w:val="Hyperlink"/>
          <w:sz w:val="22"/>
          <w:szCs w:val="22"/>
          <w:color w:val="auto"/>
        </w:rPr>
        <w:fldChar w:fldCharType="end"/>
      </w:r>
      <w:r>
        <w:rPr>
          <w:color w:val="auto"/>
          <w:sz w:val="22"/>
          <w:szCs w:val="22"/>
        </w:rPr>
        <w:t>.</w:t>
      </w:r>
    </w:p>
    <w:p>
      <w:pPr>
        <w:pStyle w:val="Nivel2"/>
        <w:numPr>
          <w:ilvl w:val="1"/>
          <w:numId w:val="5"/>
        </w:numPr>
        <w:spacing w:lineRule="auto" w:line="360" w:before="0" w:after="0"/>
        <w:ind w:hanging="0" w:left="0"/>
        <w:rPr>
          <w:color w:val="auto"/>
          <w:sz w:val="22"/>
          <w:szCs w:val="22"/>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\r \h </w:instrText>
      </w:r>
      <w:r>
        <w:rPr>
          <w:sz w:val="22"/>
          <w:szCs w:val="22"/>
          <w:color w:val="auto"/>
        </w:rPr>
        <w:fldChar w:fldCharType="separate"/>
      </w:r>
      <w:r>
        <w:rPr>
          <w:sz w:val="22"/>
          <w:szCs w:val="22"/>
          <w:color w:val="auto"/>
        </w:rPr>
        <w:t>2.6.2</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color w:val="auto"/>
          <w:sz w:val="22"/>
          <w:szCs w:val="22"/>
        </w:rPr>
      </w:pPr>
      <w:r>
        <w:rPr>
          <w:color w:val="auto"/>
          <w:sz w:val="22"/>
          <w:szCs w:val="22"/>
        </w:rPr>
      </w:r>
      <w:bookmarkStart w:id="5" w:name="art14§2"/>
      <w:bookmarkStart w:id="6" w:name="art14§2"/>
      <w:bookmarkEnd w:id="6"/>
    </w:p>
    <w:p>
      <w:pPr>
        <w:pStyle w:val="Nivel01"/>
        <w:numPr>
          <w:ilvl w:val="0"/>
          <w:numId w:val="5"/>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5"/>
        </w:numPr>
        <w:spacing w:lineRule="auto" w:line="360" w:before="0" w:after="0"/>
        <w:ind w:hanging="0"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5"/>
        </w:numPr>
        <w:spacing w:lineRule="auto" w:line="360" w:before="0" w:after="0"/>
        <w:ind w:hanging="0" w:left="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5"/>
        </w:numPr>
        <w:spacing w:lineRule="auto" w:line="360" w:before="0" w:after="0"/>
        <w:ind w:hanging="0" w:left="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auto"/>
            <w:sz w:val="22"/>
            <w:szCs w:val="22"/>
          </w:rPr>
          <w:t>www.novobbmnet.com.br</w:t>
        </w:r>
      </w:hyperlink>
      <w:r>
        <w:rPr>
          <w:color w:val="auto"/>
          <w:sz w:val="22"/>
          <w:szCs w:val="22"/>
        </w:rPr>
        <w:t>.</w:t>
      </w:r>
    </w:p>
    <w:p>
      <w:pPr>
        <w:pStyle w:val="Nivel2"/>
        <w:numPr>
          <w:ilvl w:val="1"/>
          <w:numId w:val="5"/>
        </w:numPr>
        <w:spacing w:lineRule="auto" w:line="360" w:before="0" w:after="0"/>
        <w:ind w:hanging="0" w:left="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auto"/>
            <w:sz w:val="22"/>
            <w:szCs w:val="22"/>
          </w:rPr>
          <w:t>www.novobbmnet.com.br</w:t>
        </w:r>
      </w:hyperlink>
      <w:r>
        <w:rPr>
          <w:color w:val="auto"/>
          <w:sz w:val="22"/>
          <w:szCs w:val="22"/>
        </w:rPr>
        <w:t>.</w:t>
      </w:r>
    </w:p>
    <w:p>
      <w:pPr>
        <w:pStyle w:val="Nivel2"/>
        <w:numPr>
          <w:ilvl w:val="1"/>
          <w:numId w:val="5"/>
        </w:numPr>
        <w:spacing w:lineRule="auto" w:line="360" w:before="0" w:after="0"/>
        <w:ind w:hanging="0" w:left="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auto"/>
            <w:sz w:val="22"/>
            <w:szCs w:val="22"/>
          </w:rPr>
          <w:t>www.novobbmnet.com.br</w:t>
        </w:r>
      </w:hyperlink>
      <w:r>
        <w:rPr>
          <w:color w:val="auto"/>
          <w:sz w:val="22"/>
          <w:szCs w:val="22"/>
        </w:rPr>
        <w:t>, opção “Login” opção “Licitação Pública” “Sala de Negociação”.</w:t>
      </w:r>
    </w:p>
    <w:p>
      <w:pPr>
        <w:pStyle w:val="Nivel2"/>
        <w:numPr>
          <w:ilvl w:val="1"/>
          <w:numId w:val="5"/>
        </w:numPr>
        <w:spacing w:lineRule="auto" w:line="360" w:before="0" w:after="0"/>
        <w:ind w:hanging="0" w:left="0"/>
        <w:rPr>
          <w:color w:val="auto"/>
          <w:sz w:val="22"/>
          <w:szCs w:val="22"/>
        </w:rPr>
      </w:pPr>
      <w:bookmarkStart w:id="7"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7"/>
    </w:p>
    <w:p>
      <w:pPr>
        <w:pStyle w:val="Nivel2"/>
        <w:numPr>
          <w:ilvl w:val="1"/>
          <w:numId w:val="5"/>
        </w:numPr>
        <w:spacing w:lineRule="auto" w:line="360" w:before="0" w:after="0"/>
        <w:ind w:hanging="0" w:left="0"/>
        <w:rPr>
          <w:rFonts w:eastAsia="Times New Roman"/>
          <w:color w:val="auto"/>
          <w:sz w:val="22"/>
          <w:szCs w:val="22"/>
        </w:rPr>
      </w:pPr>
      <w:bookmarkStart w:id="8" w:name="_Ref113968921"/>
      <w:r>
        <w:rPr>
          <w:rFonts w:eastAsia="Times New Roman"/>
          <w:color w:val="auto"/>
          <w:sz w:val="22"/>
          <w:szCs w:val="22"/>
        </w:rPr>
        <w:t>No cadastramento da proposta inicial, o licitante declarará, em campo próprio do sistema, que:</w:t>
      </w:r>
      <w:bookmarkEnd w:id="8"/>
    </w:p>
    <w:p>
      <w:pPr>
        <w:pStyle w:val="Nivel3"/>
        <w:numPr>
          <w:ilvl w:val="2"/>
          <w:numId w:val="5"/>
        </w:numPr>
        <w:spacing w:lineRule="auto" w:line="360" w:before="0" w:after="0"/>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5"/>
        </w:numPr>
        <w:spacing w:lineRule="auto" w:line="360" w:before="0" w:after="0"/>
        <w:ind w:hanging="0" w:left="567"/>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auto"/>
        </w:rPr>
        <w:instrText xml:space="preserve"> HYPERLINK "https://www.planalto.gov.br/ccivil_03/constituicao/constituicaocompilado.htm" \l "art7"</w:instrText>
      </w:r>
      <w:r>
        <w:rPr>
          <w:rStyle w:val="Hyperlink"/>
          <w:sz w:val="22"/>
          <w:szCs w:val="22"/>
          <w:color w:val="auto"/>
        </w:rPr>
        <w:fldChar w:fldCharType="separate"/>
      </w:r>
      <w:r>
        <w:rPr>
          <w:rStyle w:val="Hyperlink"/>
          <w:color w:val="auto"/>
          <w:sz w:val="22"/>
          <w:szCs w:val="22"/>
        </w:rPr>
        <w:t>artigo 7°, XXXIII, da Constituição</w:t>
      </w:r>
      <w:r>
        <w:rPr>
          <w:rStyle w:val="Hyperlink"/>
          <w:sz w:val="22"/>
          <w:szCs w:val="22"/>
          <w:color w:val="auto"/>
        </w:rPr>
        <w:fldChar w:fldCharType="end"/>
      </w:r>
      <w:r>
        <w:rPr>
          <w:color w:val="auto"/>
          <w:sz w:val="22"/>
          <w:szCs w:val="22"/>
        </w:rPr>
        <w:t>;</w:t>
      </w:r>
    </w:p>
    <w:p>
      <w:pPr>
        <w:pStyle w:val="Nivel3"/>
        <w:numPr>
          <w:ilvl w:val="2"/>
          <w:numId w:val="5"/>
        </w:numPr>
        <w:spacing w:lineRule="auto" w:line="360" w:before="0" w:after="0"/>
        <w:ind w:hanging="0" w:left="567"/>
        <w:rPr>
          <w:color w:val="auto"/>
          <w:sz w:val="22"/>
          <w:szCs w:val="22"/>
        </w:rPr>
      </w:pPr>
      <w:r>
        <w:rPr>
          <w:color w:val="auto"/>
          <w:sz w:val="22"/>
          <w:szCs w:val="22"/>
        </w:rPr>
        <w:t xml:space="preserve">Não possui, em sua cadeia produtiva, empregados executando trabalho degradante ou forçado, observando o disposto nos </w:t>
      </w:r>
      <w:hyperlink r:id="rId6">
        <w:r>
          <w:rPr>
            <w:rStyle w:val="Hyperlink"/>
            <w:color w:val="auto"/>
            <w:sz w:val="22"/>
            <w:szCs w:val="22"/>
          </w:rPr>
          <w:t>incisos III e IV do art. 1º e no inciso III do art. 5º da Constituição Federal</w:t>
        </w:r>
      </w:hyperlink>
      <w:r>
        <w:rPr>
          <w:color w:val="auto"/>
          <w:sz w:val="22"/>
          <w:szCs w:val="22"/>
        </w:rPr>
        <w:t>;</w:t>
      </w:r>
    </w:p>
    <w:p>
      <w:pPr>
        <w:pStyle w:val="Nivel3"/>
        <w:numPr>
          <w:ilvl w:val="2"/>
          <w:numId w:val="5"/>
        </w:numPr>
        <w:spacing w:lineRule="auto" w:line="360" w:before="0" w:after="0"/>
        <w:ind w:hanging="0"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5"/>
        </w:numPr>
        <w:spacing w:lineRule="auto" w:line="360" w:before="0" w:after="0"/>
        <w:ind w:hanging="0" w:left="0"/>
        <w:rPr>
          <w:color w:val="auto"/>
          <w:sz w:val="22"/>
          <w:szCs w:val="22"/>
        </w:rPr>
      </w:pPr>
      <w:bookmarkStart w:id="9" w:name="_Hlk159222170"/>
      <w:bookmarkEnd w:id="9"/>
      <w:r>
        <w:rPr>
          <w:color w:val="auto"/>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auto"/>
        </w:rPr>
        <w:instrText xml:space="preserve"> HYPERLINK "http://www.planalto.gov.br/ccivil_03/_ato2019-2022/2021/lei/L14133.htm" \l "art16"</w:instrText>
      </w:r>
      <w:r>
        <w:rPr>
          <w:rStyle w:val="Hyperlink"/>
          <w:sz w:val="22"/>
          <w:szCs w:val="22"/>
          <w:color w:val="auto"/>
        </w:rPr>
        <w:fldChar w:fldCharType="separate"/>
      </w:r>
      <w:r>
        <w:rPr>
          <w:rStyle w:val="Hyperlink"/>
          <w:color w:val="auto"/>
          <w:sz w:val="22"/>
          <w:szCs w:val="22"/>
        </w:rPr>
        <w:t>artigo 16 da Lei nº 14.133, de 2021</w:t>
      </w:r>
      <w:r>
        <w:rPr>
          <w:rStyle w:val="Hyperlink"/>
          <w:sz w:val="22"/>
          <w:szCs w:val="22"/>
          <w:color w:val="auto"/>
        </w:rPr>
        <w:fldChar w:fldCharType="end"/>
      </w:r>
      <w:r>
        <w:rPr>
          <w:color w:val="auto"/>
          <w:sz w:val="22"/>
          <w:szCs w:val="22"/>
        </w:rPr>
        <w:t>.</w:t>
      </w:r>
    </w:p>
    <w:p>
      <w:pPr>
        <w:pStyle w:val="Nivel2"/>
        <w:numPr>
          <w:ilvl w:val="1"/>
          <w:numId w:val="5"/>
        </w:numPr>
        <w:spacing w:lineRule="auto" w:line="360" w:before="0" w:after="0"/>
        <w:ind w:hanging="0" w:left="0"/>
        <w:rPr>
          <w:color w:val="auto"/>
          <w:sz w:val="22"/>
          <w:szCs w:val="22"/>
        </w:rPr>
      </w:pPr>
      <w:bookmarkStart w:id="10"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auto"/>
        </w:rPr>
        <w:instrText xml:space="preserve"> HYPERLINK "https://www.planalto.gov.br/ccivil_03/leis/lcp/lcp123.htm" \l "art3"</w:instrText>
      </w:r>
      <w:r>
        <w:rPr>
          <w:rStyle w:val="Hyperlink"/>
          <w:sz w:val="22"/>
          <w:szCs w:val="22"/>
          <w:color w:val="auto"/>
        </w:rPr>
        <w:fldChar w:fldCharType="separate"/>
      </w:r>
      <w:r>
        <w:rPr>
          <w:rStyle w:val="Hyperlink"/>
          <w:color w:val="auto"/>
          <w:sz w:val="22"/>
          <w:szCs w:val="22"/>
        </w:rPr>
        <w:t>artigo 3° da Lei Complementar nº 123, de 2006</w:t>
      </w:r>
      <w:r>
        <w:rPr>
          <w:rStyle w:val="Hyperlink"/>
          <w:sz w:val="22"/>
          <w:szCs w:val="22"/>
          <w:color w:val="auto"/>
        </w:rPr>
        <w:fldChar w:fldCharType="end"/>
      </w:r>
      <w:r>
        <w:rPr>
          <w:color w:val="auto"/>
          <w:sz w:val="22"/>
          <w:szCs w:val="22"/>
        </w:rPr>
        <w:t xml:space="preserve">, estando apto a usufruir do tratamento favorecido estabelecido em seus </w:t>
      </w:r>
      <w:r>
        <w:fldChar w:fldCharType="begin"/>
      </w:r>
      <w:r>
        <w:rPr>
          <w:rStyle w:val="Hyperlink"/>
          <w:sz w:val="22"/>
          <w:szCs w:val="22"/>
          <w:color w:val="auto"/>
        </w:rPr>
        <w:instrText xml:space="preserve"> HYPERLINK "https://www.planalto.gov.br/ccivil_03/leis/lcp/lcp123.htm" \l "art42"</w:instrText>
      </w:r>
      <w:r>
        <w:rPr>
          <w:rStyle w:val="Hyperlink"/>
          <w:sz w:val="22"/>
          <w:szCs w:val="22"/>
          <w:color w:val="auto"/>
        </w:rPr>
        <w:fldChar w:fldCharType="separate"/>
      </w:r>
      <w:r>
        <w:rPr>
          <w:rStyle w:val="Hyperlink"/>
          <w:color w:val="auto"/>
          <w:sz w:val="22"/>
          <w:szCs w:val="22"/>
        </w:rPr>
        <w:t>arts. 42 a 49</w:t>
      </w:r>
      <w:r>
        <w:rPr>
          <w:rStyle w:val="Hyperlink"/>
          <w:sz w:val="22"/>
          <w:szCs w:val="22"/>
          <w:color w:val="auto"/>
        </w:rPr>
        <w:fldChar w:fldCharType="end"/>
      </w:r>
      <w:r>
        <w:rPr>
          <w:color w:val="auto"/>
          <w:sz w:val="22"/>
          <w:szCs w:val="22"/>
        </w:rPr>
        <w:t xml:space="preserve">, observado o disposto nos </w:t>
      </w:r>
      <w:r>
        <w:fldChar w:fldCharType="begin"/>
      </w:r>
      <w:r>
        <w:rPr>
          <w:rStyle w:val="Hyperlink"/>
          <w:sz w:val="22"/>
          <w:szCs w:val="22"/>
          <w:color w:val="auto"/>
        </w:rPr>
        <w:instrText xml:space="preserve"> HYPERLINK "http://www.planalto.gov.br/ccivil_03/_ato2019-2022/2021/lei/L14133.htm" \l "art4%C2%A71"</w:instrText>
      </w:r>
      <w:r>
        <w:rPr>
          <w:rStyle w:val="Hyperlink"/>
          <w:sz w:val="22"/>
          <w:szCs w:val="22"/>
          <w:color w:val="auto"/>
        </w:rPr>
        <w:fldChar w:fldCharType="separate"/>
      </w:r>
      <w:r>
        <w:rPr>
          <w:rStyle w:val="Hyperlink"/>
          <w:color w:val="auto"/>
          <w:sz w:val="22"/>
          <w:szCs w:val="22"/>
        </w:rPr>
        <w:t>§§ 1º ao 3º do art. 4º, da Lei n.º 14.133, de 2021.</w:t>
      </w:r>
      <w:r>
        <w:rPr>
          <w:rStyle w:val="Hyperlink"/>
          <w:sz w:val="22"/>
          <w:szCs w:val="22"/>
          <w:color w:val="auto"/>
        </w:rPr>
        <w:fldChar w:fldCharType="end"/>
      </w:r>
      <w:bookmarkEnd w:id="10"/>
      <w:r>
        <w:rPr>
          <w:color w:val="auto"/>
          <w:sz w:val="22"/>
          <w:szCs w:val="22"/>
        </w:rPr>
        <w:t xml:space="preserve"> </w:t>
      </w:r>
    </w:p>
    <w:p>
      <w:pPr>
        <w:pStyle w:val="Nivel2"/>
        <w:numPr>
          <w:ilvl w:val="1"/>
          <w:numId w:val="5"/>
        </w:numPr>
        <w:spacing w:lineRule="auto" w:line="360" w:before="0" w:after="0"/>
        <w:ind w:hanging="0" w:left="0"/>
        <w:rPr>
          <w:color w:val="auto"/>
          <w:sz w:val="22"/>
          <w:szCs w:val="22"/>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7">
        <w:r>
          <w:rPr>
            <w:rStyle w:val="Hyperlink"/>
            <w:color w:val="auto"/>
            <w:sz w:val="22"/>
            <w:szCs w:val="22"/>
          </w:rPr>
          <w:t>Lei nº 14.133, de 2021</w:t>
        </w:r>
      </w:hyperlink>
      <w:r>
        <w:rPr>
          <w:color w:val="auto"/>
          <w:sz w:val="22"/>
          <w:szCs w:val="22"/>
        </w:rPr>
        <w:t>, e neste Edital.</w:t>
      </w:r>
    </w:p>
    <w:p>
      <w:pPr>
        <w:pStyle w:val="Nivel2"/>
        <w:numPr>
          <w:ilvl w:val="1"/>
          <w:numId w:val="5"/>
        </w:numPr>
        <w:spacing w:lineRule="auto" w:line="360"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5"/>
        </w:numPr>
        <w:spacing w:lineRule="auto" w:line="360" w:before="0" w:after="0"/>
        <w:ind w:hanging="0" w:left="0"/>
        <w:rPr>
          <w:color w:val="auto"/>
          <w:sz w:val="22"/>
          <w:szCs w:val="22"/>
        </w:rPr>
      </w:pPr>
      <w:r>
        <w:rPr>
          <w:color w:val="auto"/>
          <w:sz w:val="22"/>
          <w:szCs w:val="22"/>
        </w:rPr>
        <w:t>Não haverá ordem de classificação na etapa de apresentação da pelo licitante, o que ocorrerá somente após os procedimentos de abertura da sessão pública e da fase de envio de lances.</w:t>
      </w:r>
    </w:p>
    <w:p>
      <w:pPr>
        <w:pStyle w:val="Nivel2"/>
        <w:numPr>
          <w:ilvl w:val="1"/>
          <w:numId w:val="5"/>
        </w:numPr>
        <w:spacing w:lineRule="auto" w:line="360" w:before="0" w:after="0"/>
        <w:ind w:hanging="0" w:left="0"/>
        <w:rPr>
          <w:color w:val="auto"/>
          <w:sz w:val="22"/>
          <w:szCs w:val="22"/>
        </w:rPr>
      </w:pPr>
      <w:r>
        <w:rPr>
          <w:color w:val="auto"/>
          <w:sz w:val="22"/>
          <w:szCs w:val="22"/>
        </w:rPr>
        <w:t>Serão disponibilizados para acesso público os documentos que compõem a proposta dos licitantes quando convocados para apresentação de propostas, após a fase de envio de lances.</w:t>
      </w:r>
    </w:p>
    <w:p>
      <w:pPr>
        <w:pStyle w:val="Nivel2"/>
        <w:numPr>
          <w:ilvl w:val="1"/>
          <w:numId w:val="5"/>
        </w:numPr>
        <w:spacing w:lineRule="auto" w:line="360" w:before="0" w:after="0"/>
        <w:ind w:hanging="0" w:left="0"/>
        <w:rPr>
          <w:color w:val="auto"/>
          <w:sz w:val="22"/>
          <w:szCs w:val="22"/>
        </w:rPr>
      </w:pPr>
      <w:bookmarkStart w:id="11"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1"/>
      <w:r>
        <w:rPr>
          <w:color w:val="auto"/>
          <w:sz w:val="22"/>
          <w:szCs w:val="22"/>
        </w:rPr>
        <w:t xml:space="preserve"> </w:t>
      </w:r>
    </w:p>
    <w:p>
      <w:pPr>
        <w:pStyle w:val="Nivel2"/>
        <w:numPr>
          <w:ilvl w:val="1"/>
          <w:numId w:val="5"/>
        </w:numPr>
        <w:spacing w:lineRule="auto" w:line="360"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5"/>
        </w:numPr>
        <w:spacing w:lineRule="auto" w:line="360" w:before="0" w:after="0"/>
        <w:ind w:hanging="0" w:left="567"/>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5"/>
        </w:numPr>
        <w:spacing w:lineRule="auto" w:line="360" w:before="0" w:after="0"/>
        <w:ind w:hanging="0" w:left="567"/>
        <w:rPr>
          <w:color w:val="auto"/>
          <w:sz w:val="22"/>
          <w:szCs w:val="22"/>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5"/>
        </w:numPr>
        <w:spacing w:lineRule="auto" w:line="360" w:before="0" w:after="0"/>
        <w:ind w:hanging="0" w:left="0"/>
        <w:rPr>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5"/>
        </w:numPr>
        <w:spacing w:lineRule="auto" w:line="360"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5"/>
        </w:numPr>
        <w:spacing w:lineRule="auto" w:line="360"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5"/>
        </w:numPr>
        <w:spacing w:lineRule="auto" w:line="360"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5"/>
        </w:numPr>
        <w:spacing w:lineRule="auto" w:line="360" w:before="0" w:after="0"/>
        <w:ind w:hanging="0" w:left="0"/>
        <w:rPr>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5"/>
        </w:numPr>
        <w:spacing w:lineRule="auto" w:line="360" w:before="0" w:after="0"/>
        <w:ind w:hanging="0" w:left="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ormal"/>
        <w:spacing w:lineRule="auto" w:line="360"/>
        <w:rPr>
          <w:rFonts w:ascii="Arial" w:hAnsi="Arial" w:cs="Arial"/>
          <w:sz w:val="22"/>
          <w:szCs w:val="22"/>
        </w:rPr>
      </w:pPr>
      <w:r>
        <w:rPr>
          <w:rFonts w:cs="Arial" w:ascii="Arial" w:hAnsi="Arial"/>
          <w:sz w:val="22"/>
          <w:szCs w:val="22"/>
        </w:rPr>
      </w:r>
    </w:p>
    <w:p>
      <w:pPr>
        <w:pStyle w:val="Nivel01"/>
        <w:numPr>
          <w:ilvl w:val="0"/>
          <w:numId w:val="5"/>
        </w:numPr>
        <w:spacing w:lineRule="auto" w:line="360" w:before="0" w:after="0"/>
        <w:ind w:hanging="0" w:left="0"/>
        <w:rPr>
          <w:sz w:val="22"/>
          <w:szCs w:val="22"/>
        </w:rPr>
      </w:pPr>
      <w:r>
        <w:rPr>
          <w:sz w:val="22"/>
          <w:szCs w:val="22"/>
        </w:rPr>
        <w:t>DO PREENCHIMENTO DA PROPOSTA</w:t>
      </w:r>
    </w:p>
    <w:p>
      <w:pPr>
        <w:pStyle w:val="Nivel2"/>
        <w:numPr>
          <w:ilvl w:val="1"/>
          <w:numId w:val="5"/>
        </w:numPr>
        <w:spacing w:lineRule="auto" w:line="360" w:before="0" w:after="0"/>
        <w:ind w:hanging="0" w:left="0"/>
        <w:rPr>
          <w:color w:val="auto"/>
          <w:sz w:val="22"/>
          <w:szCs w:val="22"/>
        </w:rPr>
      </w:pPr>
      <w:r>
        <w:rPr>
          <w:color w:val="auto"/>
          <w:sz w:val="22"/>
          <w:szCs w:val="22"/>
        </w:rPr>
        <w:t>O licitante deverá enviar sua proposta mediante o preenchimento, no sistema eletrônico, do campo: VALOR UNITÁRIO DO ITEM.</w:t>
      </w:r>
      <w:r>
        <w:rPr>
          <w:i/>
          <w:color w:val="auto"/>
          <w:sz w:val="22"/>
          <w:szCs w:val="22"/>
        </w:rPr>
        <w:t xml:space="preserve"> </w:t>
      </w:r>
    </w:p>
    <w:p>
      <w:pPr>
        <w:pStyle w:val="Nivel2"/>
        <w:numPr>
          <w:ilvl w:val="1"/>
          <w:numId w:val="5"/>
        </w:numPr>
        <w:spacing w:lineRule="auto" w:line="360"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5"/>
        </w:numPr>
        <w:spacing w:lineRule="auto" w:line="360"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5"/>
        </w:numPr>
        <w:spacing w:lineRule="auto" w:line="360" w:before="0" w:after="0"/>
        <w:ind w:hanging="0" w:left="0"/>
        <w:rPr>
          <w:b/>
          <w:bCs/>
          <w:color w:val="auto"/>
          <w:sz w:val="22"/>
          <w:szCs w:val="22"/>
        </w:rPr>
      </w:pPr>
      <w:r>
        <w:rPr>
          <w:b/>
          <w:bCs/>
          <w:color w:val="auto"/>
          <w:sz w:val="22"/>
          <w:szCs w:val="22"/>
        </w:rPr>
        <w:t>Será permitido o preço com até 03 (três) casas após a vírgula.</w:t>
      </w:r>
    </w:p>
    <w:p>
      <w:pPr>
        <w:pStyle w:val="Nivel2"/>
        <w:numPr>
          <w:ilvl w:val="1"/>
          <w:numId w:val="5"/>
        </w:numPr>
        <w:spacing w:lineRule="auto" w:line="360" w:before="0" w:after="0"/>
        <w:ind w:hanging="0" w:left="0"/>
        <w:rPr>
          <w:b/>
          <w:bCs/>
          <w:color w:val="auto"/>
          <w:sz w:val="22"/>
          <w:szCs w:val="22"/>
        </w:rPr>
      </w:pPr>
      <w:r>
        <w:rPr>
          <w:b/>
          <w:bCs/>
          <w:color w:val="auto"/>
          <w:sz w:val="22"/>
          <w:szCs w:val="22"/>
        </w:rPr>
        <w:t xml:space="preserve">A licitante deverá aplicar o CAP – Coeficiente de Adequação de Preço, determinado pelo CMED (Câmara de Regulação do Mercado de Medicamentos) e atualizado anualmente, nos itens </w:t>
      </w:r>
      <w:r>
        <w:rPr>
          <w:b/>
          <w:bCs/>
          <w:sz w:val="22"/>
          <w:szCs w:val="22"/>
        </w:rPr>
        <w:t>1, 7, 8, 10, 11, 23, 34, 35, 36, 47, 49, 50, 53, 57, 83, 84, 85, 86, 87, 88, 89, 90, 91, 92 e 93.</w:t>
      </w:r>
    </w:p>
    <w:p>
      <w:pPr>
        <w:pStyle w:val="Nivel2"/>
        <w:numPr>
          <w:ilvl w:val="1"/>
          <w:numId w:val="5"/>
        </w:numPr>
        <w:spacing w:lineRule="auto" w:line="360" w:before="0" w:after="0"/>
        <w:ind w:hanging="0" w:left="0"/>
        <w:rPr>
          <w:color w:val="auto"/>
          <w:sz w:val="22"/>
          <w:szCs w:val="22"/>
        </w:rPr>
      </w:pPr>
      <w:r>
        <w:rPr>
          <w:color w:val="auto"/>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5"/>
        </w:numPr>
        <w:spacing w:lineRule="auto" w:line="360" w:before="0" w:after="0"/>
        <w:ind w:hanging="0" w:left="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5"/>
        </w:numPr>
        <w:spacing w:lineRule="auto" w:line="360"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5"/>
        </w:numPr>
        <w:spacing w:lineRule="auto" w:line="360" w:before="0" w:after="0"/>
        <w:ind w:hanging="0" w:left="0"/>
        <w:rPr>
          <w:color w:val="auto"/>
          <w:sz w:val="22"/>
          <w:szCs w:val="22"/>
        </w:rPr>
      </w:pPr>
      <w:r>
        <w:rPr>
          <w:color w:val="auto"/>
          <w:sz w:val="22"/>
          <w:szCs w:val="22"/>
        </w:rPr>
        <w:t xml:space="preserve">O prazo de validade da proposta é de </w:t>
      </w:r>
      <w:r>
        <w:rPr>
          <w:b/>
          <w:bCs/>
          <w:color w:val="auto"/>
          <w:sz w:val="22"/>
          <w:szCs w:val="22"/>
        </w:rPr>
        <w:t>120 (cento e vinte)</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5"/>
        </w:numPr>
        <w:spacing w:lineRule="auto" w:line="360" w:before="0" w:after="0"/>
        <w:ind w:hanging="0" w:lef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5"/>
        </w:numPr>
        <w:spacing w:lineRule="auto" w:line="360" w:before="0" w:after="0"/>
        <w:ind w:hanging="0" w:left="0"/>
        <w:rPr>
          <w:sz w:val="22"/>
          <w:szCs w:val="22"/>
        </w:rPr>
      </w:pPr>
      <w:r>
        <w:rPr>
          <w:sz w:val="22"/>
          <w:szCs w:val="22"/>
        </w:rPr>
        <w:t>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Nivel01"/>
        <w:numPr>
          <w:ilvl w:val="0"/>
          <w:numId w:val="7"/>
        </w:numPr>
        <w:spacing w:lineRule="auto" w:line="360" w:before="0" w:after="0"/>
        <w:ind w:hanging="11" w:left="0"/>
        <w:rPr>
          <w:sz w:val="22"/>
          <w:szCs w:val="22"/>
        </w:rPr>
      </w:pPr>
      <w:r>
        <w:rPr>
          <w:b w:val="false"/>
          <w:bCs w:val="false"/>
          <w:sz w:val="22"/>
          <w:szCs w:val="22"/>
          <w:u w:val="single"/>
        </w:rPr>
        <w:t>Empresário individual</w:t>
      </w:r>
      <w:r>
        <w:rPr>
          <w:b w:val="false"/>
          <w:bCs w:val="false"/>
          <w:sz w:val="22"/>
          <w:szCs w:val="22"/>
        </w:rPr>
        <w:t>: inscrição no Registro Público de Empresas Mercantis, a cargo da Junta Comercial da respectiva sede;</w:t>
      </w:r>
    </w:p>
    <w:p>
      <w:pPr>
        <w:pStyle w:val="Nivel01"/>
        <w:numPr>
          <w:ilvl w:val="0"/>
          <w:numId w:val="7"/>
        </w:numPr>
        <w:spacing w:lineRule="auto" w:line="360" w:before="0" w:after="0"/>
        <w:ind w:hanging="11" w:left="0"/>
        <w:rPr>
          <w:sz w:val="22"/>
          <w:szCs w:val="22"/>
        </w:rPr>
      </w:pPr>
      <w:r>
        <w:rPr>
          <w:b w:val="false"/>
          <w:bCs w:val="false"/>
          <w:sz w:val="22"/>
          <w:szCs w:val="22"/>
          <w:u w:val="single"/>
        </w:rPr>
        <w:t>Microempreendedor Individual</w:t>
      </w:r>
      <w:r>
        <w:rPr>
          <w:b w:val="false"/>
          <w:bCs w:val="false"/>
          <w:sz w:val="22"/>
          <w:szCs w:val="22"/>
        </w:rPr>
        <w:t xml:space="preserve"> - MEI: Certificado da Condição de Microempreendedor Individual - CCMEI, cuja aceitação ficará condicionada à verificação da autenticidade no sítio https://www.gov.br/empresas-enegocios/pt-br/empreendedor;</w:t>
      </w:r>
    </w:p>
    <w:p>
      <w:pPr>
        <w:pStyle w:val="Nivel01"/>
        <w:numPr>
          <w:ilvl w:val="0"/>
          <w:numId w:val="7"/>
        </w:numPr>
        <w:spacing w:lineRule="auto" w:line="360" w:before="0" w:after="0"/>
        <w:ind w:hanging="11" w:left="0"/>
        <w:rPr>
          <w:sz w:val="22"/>
          <w:szCs w:val="22"/>
        </w:rPr>
      </w:pPr>
      <w:r>
        <w:rPr>
          <w:b w:val="false"/>
          <w:bCs w:val="false"/>
          <w:sz w:val="22"/>
          <w:szCs w:val="22"/>
          <w:u w:val="single"/>
        </w:rPr>
        <w:t>Sociedade empresária, sociedade limitada unipessoal – SLU</w:t>
      </w:r>
      <w:r>
        <w:rPr>
          <w:b w:val="false"/>
          <w:bCs w:val="false"/>
          <w:sz w:val="22"/>
          <w:szCs w:val="22"/>
        </w:rPr>
        <w:t xml:space="preserve">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Nivel01"/>
        <w:numPr>
          <w:ilvl w:val="0"/>
          <w:numId w:val="7"/>
        </w:numPr>
        <w:spacing w:lineRule="auto" w:line="360" w:before="0" w:after="0"/>
        <w:ind w:hanging="11" w:left="0"/>
        <w:rPr>
          <w:sz w:val="22"/>
          <w:szCs w:val="22"/>
        </w:rPr>
      </w:pPr>
      <w:r>
        <w:rPr>
          <w:b w:val="false"/>
          <w:bCs w:val="false"/>
          <w:sz w:val="22"/>
          <w:szCs w:val="22"/>
          <w:u w:val="single"/>
        </w:rPr>
        <w:t>Sociedade empresária estrangeira</w:t>
      </w:r>
      <w:r>
        <w:rPr>
          <w:b w:val="false"/>
          <w:bCs w:val="false"/>
          <w:sz w:val="22"/>
          <w:szCs w:val="22"/>
        </w:rPr>
        <w:t>: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Nivel01"/>
        <w:numPr>
          <w:ilvl w:val="0"/>
          <w:numId w:val="7"/>
        </w:numPr>
        <w:spacing w:lineRule="auto" w:line="360" w:before="0" w:after="0"/>
        <w:ind w:hanging="11" w:left="0"/>
        <w:rPr>
          <w:sz w:val="22"/>
          <w:szCs w:val="22"/>
        </w:rPr>
      </w:pPr>
      <w:r>
        <w:rPr>
          <w:b w:val="false"/>
          <w:bCs w:val="false"/>
          <w:sz w:val="22"/>
          <w:szCs w:val="22"/>
          <w:u w:val="single"/>
        </w:rPr>
        <w:t>Sociedade simples</w:t>
      </w:r>
      <w:r>
        <w:rPr>
          <w:b w:val="false"/>
          <w:bCs w:val="false"/>
          <w:sz w:val="22"/>
          <w:szCs w:val="22"/>
        </w:rPr>
        <w:t>: inscrição do ato constitutivo no Registro Civil de Pessoas Jurídicas do local de sua sede, acompanhada de documento comprobatório de seus administradores;</w:t>
      </w:r>
    </w:p>
    <w:p>
      <w:pPr>
        <w:pStyle w:val="Nivel01"/>
        <w:numPr>
          <w:ilvl w:val="0"/>
          <w:numId w:val="7"/>
        </w:numPr>
        <w:spacing w:lineRule="auto" w:line="360" w:before="0" w:after="0"/>
        <w:ind w:hanging="11" w:left="0"/>
        <w:rPr>
          <w:sz w:val="22"/>
          <w:szCs w:val="22"/>
        </w:rPr>
      </w:pPr>
      <w:r>
        <w:rPr>
          <w:b w:val="false"/>
          <w:bCs w:val="false"/>
          <w:sz w:val="22"/>
          <w:szCs w:val="22"/>
          <w:u w:val="single"/>
        </w:rPr>
        <w:t>Decreto de autorização</w:t>
      </w:r>
      <w:r>
        <w:rPr>
          <w:b w:val="false"/>
          <w:bCs w:val="false"/>
          <w:sz w:val="22"/>
          <w:szCs w:val="22"/>
        </w:rPr>
        <w:t>, em se tratando de empresa ou sociedade estrangeira em funcionamento no País, e ato de registro ou autorização para funcionamento expedidos pelo órgão competente, quando a atividade assim o exigir.</w:t>
      </w:r>
    </w:p>
    <w:p>
      <w:pPr>
        <w:pStyle w:val="Nivel01"/>
        <w:numPr>
          <w:ilvl w:val="0"/>
          <w:numId w:val="7"/>
        </w:numPr>
        <w:spacing w:lineRule="auto" w:line="360" w:before="0" w:after="0"/>
        <w:ind w:hanging="11" w:left="0"/>
        <w:rPr>
          <w:b w:val="false"/>
          <w:bCs w:val="false"/>
          <w:sz w:val="22"/>
          <w:szCs w:val="22"/>
        </w:rPr>
      </w:pPr>
      <w:r>
        <w:rPr>
          <w:b w:val="false"/>
          <w:bCs w:val="false"/>
          <w:sz w:val="22"/>
          <w:szCs w:val="22"/>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bookmarkStart w:id="12" w:name="_Hlk209085050"/>
      <w:r>
        <w:rPr>
          <w:rFonts w:cs="Arial" w:ascii="Arial" w:hAnsi="Arial"/>
          <w:sz w:val="22"/>
          <w:szCs w:val="22"/>
        </w:rPr>
        <w:t>a) Certidão Negativa de Falência expedida pelo distribuidor da sede da pessoa jurídica.</w:t>
      </w:r>
      <w:bookmarkEnd w:id="12"/>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sz w:val="22"/>
          <w:szCs w:val="22"/>
        </w:rPr>
      </w:pPr>
      <w:r>
        <w:rPr>
          <w:rFonts w:cs="Arial" w:ascii="Arial" w:hAnsi="Arial"/>
          <w:sz w:val="22"/>
          <w:szCs w:val="22"/>
        </w:rPr>
        <w:t xml:space="preserve">b) </w:t>
      </w:r>
      <w:r>
        <w:rPr>
          <w:rFonts w:cs="Arial" w:ascii="Arial" w:hAnsi="Arial"/>
          <w:b/>
          <w:sz w:val="22"/>
          <w:szCs w:val="22"/>
        </w:rPr>
        <w:t>Comprovante de Autorização de Funcionamento da empresa participante conforme portaria 3765/98;</w:t>
      </w:r>
    </w:p>
    <w:p>
      <w:pPr>
        <w:pStyle w:val="Normal"/>
        <w:spacing w:lineRule="auto" w:line="360"/>
        <w:ind w:right="-57"/>
        <w:jc w:val="both"/>
        <w:rPr>
          <w:rFonts w:ascii="Arial" w:hAnsi="Arial" w:cs="Arial"/>
          <w:b/>
          <w:bCs/>
          <w:sz w:val="22"/>
          <w:szCs w:val="22"/>
        </w:rPr>
      </w:pPr>
      <w:r>
        <w:rPr>
          <w:rFonts w:cs="Arial" w:ascii="Arial" w:hAnsi="Arial"/>
          <w:b/>
          <w:bCs/>
          <w:sz w:val="22"/>
          <w:szCs w:val="22"/>
        </w:rPr>
        <w:t>c) Licença de funcionamento emitida pela Vigilância Sanitária do Estado e ou Município.</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t>5.6 - DISPOSIÇÕES GERAIS DA HABILITAÇÃO</w:t>
      </w:r>
    </w:p>
    <w:p>
      <w:pPr>
        <w:pStyle w:val="Normal"/>
        <w:spacing w:lineRule="auto" w:line="360"/>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5"/>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5"/>
        </w:numPr>
        <w:spacing w:lineRule="auto" w:line="360" w:before="0" w:after="0"/>
        <w:ind w:hanging="0"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5"/>
        </w:numPr>
        <w:spacing w:lineRule="auto" w:line="360"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5"/>
        </w:numPr>
        <w:spacing w:lineRule="auto" w:line="360" w:before="0" w:after="0"/>
        <w:ind w:hanging="0" w:left="0"/>
        <w:rPr>
          <w:color w:val="auto"/>
          <w:sz w:val="22"/>
          <w:szCs w:val="22"/>
        </w:rPr>
      </w:pPr>
      <w:r>
        <w:rPr>
          <w:color w:val="auto"/>
          <w:sz w:val="22"/>
          <w:szCs w:val="22"/>
        </w:rPr>
        <w:t>Será desclassificada a proposta que identifique o licitante.</w:t>
      </w:r>
    </w:p>
    <w:p>
      <w:pPr>
        <w:pStyle w:val="Nivel2"/>
        <w:numPr>
          <w:ilvl w:val="1"/>
          <w:numId w:val="5"/>
        </w:numPr>
        <w:spacing w:lineRule="auto" w:line="360"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5"/>
        </w:numPr>
        <w:spacing w:lineRule="auto" w:line="360"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5"/>
        </w:numPr>
        <w:spacing w:lineRule="auto" w:line="360"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5"/>
        </w:numPr>
        <w:spacing w:lineRule="auto" w:line="360"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5"/>
        </w:numPr>
        <w:spacing w:lineRule="auto" w:line="360"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5"/>
        </w:numPr>
        <w:spacing w:lineRule="auto" w:line="360" w:before="0" w:after="0"/>
        <w:ind w:hanging="0" w:left="0"/>
        <w:rPr>
          <w:color w:val="auto"/>
          <w:sz w:val="22"/>
          <w:szCs w:val="22"/>
        </w:rPr>
      </w:pPr>
      <w:r>
        <w:rPr>
          <w:color w:val="auto"/>
          <w:sz w:val="22"/>
          <w:szCs w:val="22"/>
        </w:rPr>
        <w:t>O lance deverá ser ofertado pelo valor unitário do item.</w:t>
      </w:r>
    </w:p>
    <w:p>
      <w:pPr>
        <w:pStyle w:val="Nivel2"/>
        <w:numPr>
          <w:ilvl w:val="1"/>
          <w:numId w:val="5"/>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5"/>
        </w:numPr>
        <w:spacing w:lineRule="auto" w:line="360"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5"/>
        </w:numPr>
        <w:spacing w:lineRule="auto" w:line="360" w:before="0" w:after="0"/>
        <w:ind w:hanging="0" w:left="0"/>
        <w:rPr>
          <w:color w:val="auto"/>
          <w:sz w:val="22"/>
          <w:szCs w:val="22"/>
        </w:rPr>
      </w:pPr>
      <w:r>
        <w:rPr>
          <w:color w:val="auto"/>
          <w:sz w:val="22"/>
          <w:szCs w:val="22"/>
        </w:rPr>
        <w:t>O procedimento seguirá de acordo com o modo de disputa adotado.</w:t>
      </w:r>
    </w:p>
    <w:p>
      <w:pPr>
        <w:pStyle w:val="Nivel2"/>
        <w:numPr>
          <w:ilvl w:val="1"/>
          <w:numId w:val="5"/>
        </w:numPr>
        <w:spacing w:lineRule="auto" w:line="360"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5"/>
        </w:numPr>
        <w:spacing w:lineRule="auto" w:line="360" w:before="0" w:after="0"/>
        <w:ind w:hanging="0" w:left="0"/>
        <w:rPr>
          <w:color w:val="auto"/>
          <w:sz w:val="22"/>
          <w:szCs w:val="22"/>
        </w:rPr>
      </w:pPr>
      <w:bookmarkStart w:id="13" w:name="_Hlk113697759"/>
      <w:bookmarkEnd w:id="13"/>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5"/>
        </w:numPr>
        <w:spacing w:lineRule="auto" w:line="360" w:before="0" w:after="0"/>
        <w:ind w:hanging="0" w:left="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5"/>
        </w:numPr>
        <w:spacing w:lineRule="auto" w:line="360" w:before="0" w:after="0"/>
        <w:ind w:hanging="0" w:left="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5"/>
        </w:numPr>
        <w:spacing w:lineRule="auto" w:line="360" w:before="0" w:after="0"/>
        <w:ind w:hanging="0" w:left="0"/>
        <w:rPr>
          <w:color w:val="auto"/>
          <w:sz w:val="22"/>
          <w:szCs w:val="22"/>
        </w:rPr>
      </w:pPr>
      <w:r>
        <w:rPr>
          <w:color w:val="auto"/>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5"/>
        </w:numPr>
        <w:spacing w:lineRule="auto" w:line="360" w:before="0" w:after="0"/>
        <w:ind w:hanging="0" w:left="0"/>
        <w:rPr>
          <w:color w:val="auto"/>
          <w:sz w:val="22"/>
          <w:szCs w:val="22"/>
        </w:rPr>
      </w:pPr>
      <w:bookmarkStart w:id="14" w:name="_Hlk113697816"/>
      <w:r>
        <w:rPr>
          <w:color w:val="auto"/>
          <w:sz w:val="22"/>
          <w:szCs w:val="22"/>
        </w:rPr>
        <w:t>Após o reinício previsto no item supra, os licitantes serão convocados para apresentar lances intermediários.</w:t>
      </w:r>
      <w:bookmarkEnd w:id="14"/>
      <w:r>
        <w:rPr>
          <w:color w:val="auto"/>
          <w:sz w:val="22"/>
          <w:szCs w:val="22"/>
        </w:rPr>
        <w:t xml:space="preserve"> </w:t>
      </w:r>
    </w:p>
    <w:p>
      <w:pPr>
        <w:pStyle w:val="Nivel2"/>
        <w:numPr>
          <w:ilvl w:val="1"/>
          <w:numId w:val="5"/>
        </w:numPr>
        <w:spacing w:lineRule="auto" w:line="360" w:before="0" w:after="0"/>
        <w:ind w:hanging="0" w:left="0"/>
        <w:rPr>
          <w:color w:val="auto"/>
          <w:sz w:val="22"/>
          <w:szCs w:val="22"/>
        </w:rPr>
      </w:pPr>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5"/>
        </w:numPr>
        <w:spacing w:lineRule="auto" w:line="360"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5"/>
        </w:numPr>
        <w:spacing w:lineRule="auto" w:line="360"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5"/>
        </w:numPr>
        <w:spacing w:lineRule="auto" w:line="360"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5"/>
        </w:numPr>
        <w:spacing w:lineRule="auto" w:line="360"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5"/>
        </w:numPr>
        <w:spacing w:lineRule="auto" w:line="360"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5"/>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9">
        <w:r>
          <w:rPr>
            <w:rStyle w:val="Hyperlink"/>
            <w:rFonts w:eastAsia="Zurich BT"/>
            <w:color w:val="auto"/>
            <w:sz w:val="22"/>
            <w:szCs w:val="22"/>
          </w:rPr>
          <w:t>Decreto nº 8.538, de 2015</w:t>
        </w:r>
      </w:hyperlink>
      <w:r>
        <w:rPr>
          <w:rFonts w:eastAsia="Zurich BT"/>
          <w:color w:val="auto"/>
          <w:sz w:val="22"/>
          <w:szCs w:val="22"/>
        </w:rPr>
        <w:t>.</w:t>
      </w:r>
    </w:p>
    <w:p>
      <w:pPr>
        <w:pStyle w:val="Nivel3"/>
        <w:numPr>
          <w:ilvl w:val="2"/>
          <w:numId w:val="5"/>
        </w:numPr>
        <w:spacing w:lineRule="auto" w:line="360" w:before="0" w:after="0"/>
        <w:ind w:hanging="0" w:left="0"/>
        <w:rPr>
          <w:color w:val="auto"/>
          <w:sz w:val="22"/>
          <w:szCs w:val="22"/>
        </w:rPr>
      </w:pPr>
      <w:r>
        <w:rPr>
          <w:color w:val="auto"/>
          <w:sz w:val="22"/>
          <w:szCs w:val="22"/>
        </w:rPr>
        <w:t xml:space="preserve">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numPr>
          <w:ilvl w:val="2"/>
          <w:numId w:val="5"/>
        </w:numPr>
        <w:spacing w:lineRule="auto" w:line="360" w:before="0" w:after="0"/>
        <w:ind w:hanging="0" w:left="0"/>
        <w:rPr>
          <w:color w:val="auto"/>
          <w:sz w:val="22"/>
          <w:szCs w:val="22"/>
        </w:rPr>
      </w:pPr>
      <w:r>
        <w:rPr>
          <w:color w:val="auto"/>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5"/>
        </w:numPr>
        <w:spacing w:lineRule="auto" w:line="360" w:before="0" w:after="0"/>
        <w:ind w:hanging="0" w:left="0"/>
        <w:rPr>
          <w:color w:val="auto"/>
          <w:sz w:val="22"/>
          <w:szCs w:val="22"/>
        </w:rPr>
      </w:pPr>
      <w:r>
        <w:rPr>
          <w:color w:val="auto"/>
          <w:sz w:val="22"/>
          <w:szCs w:val="22"/>
        </w:rPr>
        <w:t xml:space="preserve">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numPr>
          <w:ilvl w:val="2"/>
          <w:numId w:val="5"/>
        </w:numPr>
        <w:spacing w:lineRule="auto" w:line="360" w:before="0" w:after="0"/>
        <w:ind w:hanging="0" w:left="0"/>
        <w:rPr>
          <w:color w:val="auto"/>
          <w:sz w:val="22"/>
          <w:szCs w:val="22"/>
        </w:rPr>
      </w:pPr>
      <w:r>
        <w:rPr>
          <w:color w:val="auto"/>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5"/>
        </w:numPr>
        <w:spacing w:lineRule="auto" w:line="360" w:before="0" w:after="0"/>
        <w:ind w:hanging="0" w:left="0"/>
        <w:rPr>
          <w:color w:val="auto"/>
          <w:sz w:val="22"/>
          <w:szCs w:val="22"/>
        </w:rPr>
      </w:pPr>
      <w:r>
        <w:rPr>
          <w:color w:val="auto"/>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5"/>
        </w:numPr>
        <w:spacing w:lineRule="auto" w:line="360" w:before="0" w:after="0"/>
        <w:ind w:hanging="0" w:left="0"/>
        <w:rPr>
          <w:color w:val="auto"/>
          <w:sz w:val="22"/>
          <w:szCs w:val="22"/>
        </w:rPr>
      </w:pPr>
      <w:r>
        <w:rPr>
          <w:color w:val="auto"/>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5"/>
        </w:numPr>
        <w:spacing w:lineRule="auto" w:line="360" w:before="0" w:after="0"/>
        <w:ind w:hanging="0" w:left="0"/>
        <w:rPr>
          <w:color w:val="auto"/>
          <w:sz w:val="22"/>
          <w:szCs w:val="22"/>
        </w:rPr>
      </w:pP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numPr>
          <w:ilvl w:val="2"/>
          <w:numId w:val="5"/>
        </w:numPr>
        <w:spacing w:lineRule="auto" w:line="360" w:before="0" w:after="0"/>
        <w:ind w:hanging="0" w:left="0"/>
        <w:rPr>
          <w:rFonts w:eastAsia="Times New Roman"/>
          <w:color w:val="auto"/>
          <w:sz w:val="22"/>
          <w:szCs w:val="22"/>
        </w:rPr>
      </w:pPr>
      <w:r>
        <w:rPr>
          <w:rFonts w:eastAsia="Times New Roman"/>
          <w:color w:val="auto"/>
          <w:sz w:val="22"/>
          <w:szCs w:val="22"/>
        </w:rPr>
        <w:t>O resultado da negociação será divulgado a todos os licitantes e anexado aos autos do processo licitatório</w:t>
      </w:r>
    </w:p>
    <w:p>
      <w:pPr>
        <w:pStyle w:val="Nivel2"/>
        <w:numPr>
          <w:ilvl w:val="1"/>
          <w:numId w:val="5"/>
        </w:numPr>
        <w:spacing w:lineRule="auto" w:line="360" w:before="0" w:after="0"/>
        <w:ind w:hanging="0" w:left="0"/>
        <w:rPr>
          <w:color w:val="auto"/>
          <w:sz w:val="22"/>
          <w:szCs w:val="22"/>
        </w:rPr>
      </w:pPr>
      <w:bookmarkStart w:id="15" w:name="_Hlk114646655"/>
      <w:r>
        <w:rPr>
          <w:color w:val="auto"/>
          <w:sz w:val="22"/>
          <w:szCs w:val="22"/>
        </w:rPr>
        <w:t>Após a negociação do preço, o Pregoeiro iniciará a fase de aceitação e julgamento da proposta.</w:t>
      </w:r>
      <w:bookmarkEnd w:id="15"/>
      <w:r>
        <w:rPr>
          <w:color w:val="auto"/>
          <w:sz w:val="22"/>
          <w:szCs w:val="22"/>
        </w:rPr>
        <w:t xml:space="preserve"> </w:t>
      </w:r>
    </w:p>
    <w:p>
      <w:pPr>
        <w:pStyle w:val="ListParagraph"/>
        <w:widowControl w:val="false"/>
        <w:spacing w:lineRule="auto" w:line="360" w:before="0" w:after="0"/>
        <w:ind w:left="0"/>
        <w:jc w:val="both"/>
        <w:rPr>
          <w:rFonts w:ascii="Arial" w:hAnsi="Arial" w:cs="Arial"/>
        </w:rPr>
      </w:pPr>
      <w:bookmarkStart w:id="16" w:name="_Hlk204237234"/>
      <w:r>
        <w:rPr>
          <w:rFonts w:cs="Arial" w:ascii="Arial" w:hAnsi="Arial"/>
        </w:rPr>
        <w:t>6.23 - Havendo empate entre propostas ou lances, o critério de desempate será aquele previsto no art. 60 da Lei nº 14.133, de 2021, nesta ordem: </w:t>
      </w:r>
    </w:p>
    <w:p>
      <w:pPr>
        <w:pStyle w:val="ListParagraph"/>
        <w:widowControl w:val="false"/>
        <w:numPr>
          <w:ilvl w:val="0"/>
          <w:numId w:val="16"/>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disputa final, hipótese em que os licitantes empatados poderão apresentar nova proposta em ato contínuo à classificação; </w:t>
      </w:r>
    </w:p>
    <w:p>
      <w:pPr>
        <w:pStyle w:val="ListParagraph"/>
        <w:widowControl w:val="false"/>
        <w:numPr>
          <w:ilvl w:val="0"/>
          <w:numId w:val="16"/>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avaliação do desempenho contratual prévio dos licitantes, para a qual deverão preferencialmente ser utilizados registros cadastrais para efeito de atesto de cumprimento de obrigações previstos nesta Lei; </w:t>
      </w:r>
    </w:p>
    <w:p>
      <w:pPr>
        <w:pStyle w:val="ListParagraph"/>
        <w:widowControl w:val="false"/>
        <w:numPr>
          <w:ilvl w:val="0"/>
          <w:numId w:val="16"/>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ações de equidade entre homens e mulheres no ambiente de trabalho, conforme regulamento; </w:t>
      </w:r>
    </w:p>
    <w:p>
      <w:pPr>
        <w:pStyle w:val="ListParagraph"/>
        <w:widowControl w:val="false"/>
        <w:numPr>
          <w:ilvl w:val="0"/>
          <w:numId w:val="16"/>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desenvolvimento pelo licitante de programa de integridade (compliance), conforme orientações dos órgãos de controle.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6.24 - Persistindo o empate, será assegurada preferência, sucessivamente, aos bens e serviços produzidos ou prestados por: </w:t>
      </w:r>
    </w:p>
    <w:p>
      <w:pPr>
        <w:pStyle w:val="ListParagraph"/>
        <w:spacing w:lineRule="auto" w:line="360" w:before="0" w:after="0"/>
        <w:ind w:left="0"/>
        <w:jc w:val="both"/>
        <w:rPr>
          <w:rFonts w:ascii="Arial" w:hAnsi="Arial" w:cs="Arial"/>
        </w:rPr>
      </w:pPr>
      <w:r>
        <w:rPr>
          <w:rFonts w:cs="Arial" w:ascii="Arial" w:hAnsi="Arial"/>
        </w:rPr>
        <w:t> </w:t>
      </w:r>
      <w:r>
        <w:rPr>
          <w:rFonts w:cs="Arial" w:ascii="Arial" w:hAnsi="Arial"/>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ListParagraph"/>
        <w:widowControl w:val="false"/>
        <w:numPr>
          <w:ilvl w:val="0"/>
          <w:numId w:val="17"/>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brasileiras; </w:t>
      </w:r>
    </w:p>
    <w:p>
      <w:pPr>
        <w:pStyle w:val="ListParagraph"/>
        <w:widowControl w:val="false"/>
        <w:numPr>
          <w:ilvl w:val="0"/>
          <w:numId w:val="17"/>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invistam em pesquisa e no desenvolvimento de tecnologia no País; </w:t>
      </w:r>
    </w:p>
    <w:p>
      <w:pPr>
        <w:pStyle w:val="ListParagraph"/>
        <w:widowControl w:val="false"/>
        <w:numPr>
          <w:ilvl w:val="0"/>
          <w:numId w:val="17"/>
        </w:numPr>
        <w:tabs>
          <w:tab w:val="clear" w:pos="709"/>
          <w:tab w:val="left" w:pos="1134" w:leader="none"/>
        </w:tabs>
        <w:suppressAutoHyphens w:val="false"/>
        <w:spacing w:lineRule="auto" w:line="360" w:before="0" w:after="0"/>
        <w:ind w:hanging="0" w:left="0"/>
        <w:jc w:val="both"/>
        <w:rPr>
          <w:rFonts w:ascii="Arial" w:hAnsi="Arial" w:cs="Arial"/>
        </w:rPr>
      </w:pPr>
      <w:r>
        <w:rPr>
          <w:rFonts w:cs="Arial" w:ascii="Arial" w:hAnsi="Arial"/>
        </w:rPr>
        <w:t>empresas que comprovem a prática de mitigação, nos termos da Lei nº 12.187, de 29 de dezembro de 2009. </w:t>
      </w:r>
    </w:p>
    <w:p>
      <w:pPr>
        <w:pStyle w:val="ListParagraph"/>
        <w:spacing w:lineRule="auto" w:line="360" w:before="0" w:after="0"/>
        <w:ind w:left="0"/>
        <w:jc w:val="both"/>
        <w:rPr>
          <w:rFonts w:ascii="Arial" w:hAnsi="Arial" w:cs="Arial"/>
          <w:highlight w:val="yellow"/>
        </w:rPr>
      </w:pPr>
      <w:r>
        <w:rPr>
          <w:rFonts w:cs="Arial" w:ascii="Arial" w:hAnsi="Arial"/>
        </w:rPr>
        <w:t> </w:t>
      </w:r>
      <w:r>
        <w:rPr>
          <w:rFonts w:cs="Arial" w:ascii="Arial" w:hAnsi="Arial"/>
        </w:rPr>
        <w:t xml:space="preserve">6.25 - Persistindo o empate após a aplicação dos critérios estabelecidos no artigo 60 da Lei nº 14.133, de 2021, poderá ser aplicado sorteio conforme disposto no artigo 28 da Instrução Normativa SEGES/MGI Nº 79, de 12 de setembro de 2024. </w:t>
      </w:r>
      <w:bookmarkEnd w:id="16"/>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5"/>
        </w:numPr>
        <w:spacing w:lineRule="auto" w:line="360" w:before="0" w:after="0"/>
        <w:ind w:hanging="0" w:left="0"/>
        <w:rPr>
          <w:sz w:val="22"/>
          <w:szCs w:val="22"/>
        </w:rPr>
      </w:pPr>
      <w:r>
        <w:rPr>
          <w:sz w:val="22"/>
          <w:szCs w:val="22"/>
        </w:rPr>
        <w:t>DA FASE DE JULGAMENTO</w:t>
      </w:r>
    </w:p>
    <w:p>
      <w:pPr>
        <w:pStyle w:val="Nivel2"/>
        <w:numPr>
          <w:ilvl w:val="1"/>
          <w:numId w:val="5"/>
        </w:numPr>
        <w:spacing w:lineRule="auto" w:line="360" w:before="0" w:after="0"/>
        <w:ind w:hanging="0" w:left="0"/>
        <w:rPr>
          <w:color w:val="auto"/>
          <w:sz w:val="22"/>
          <w:szCs w:val="22"/>
        </w:rPr>
      </w:pPr>
      <w:bookmarkStart w:id="17" w:name="_Ref117019424"/>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2.6</w:t>
      </w:r>
      <w:r>
        <w:rPr>
          <w:sz w:val="22"/>
          <w:szCs w:val="22"/>
          <w:color w:val="auto"/>
        </w:rPr>
        <w:fldChar w:fldCharType="end"/>
      </w:r>
      <w:r>
        <w:rPr>
          <w:color w:val="auto"/>
          <w:sz w:val="22"/>
          <w:szCs w:val="22"/>
        </w:rPr>
        <w:t xml:space="preserve"> do edital, </w:t>
      </w:r>
      <w:bookmarkEnd w:id="17"/>
      <w:r>
        <w:rPr>
          <w:color w:val="auto"/>
          <w:sz w:val="22"/>
          <w:szCs w:val="22"/>
          <w:lang w:eastAsia="ar-SA"/>
        </w:rPr>
        <w:t>especialmente quanto à existência de sanção que impeça a participação no certame ou a futura contratação.</w:t>
      </w:r>
    </w:p>
    <w:p>
      <w:pPr>
        <w:pStyle w:val="Nivel2"/>
        <w:numPr>
          <w:ilvl w:val="1"/>
          <w:numId w:val="5"/>
        </w:numPr>
        <w:spacing w:lineRule="auto" w:line="360"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5"/>
        </w:numPr>
        <w:spacing w:lineRule="auto" w:line="360" w:before="0" w:after="0"/>
        <w:ind w:hanging="0" w:left="0"/>
        <w:rPr>
          <w:color w:val="auto"/>
          <w:sz w:val="22"/>
          <w:szCs w:val="22"/>
        </w:rPr>
      </w:pPr>
      <w:r>
        <w:rPr>
          <w:color w:val="auto"/>
          <w:sz w:val="22"/>
          <w:szCs w:val="22"/>
        </w:rPr>
        <w:t>Caso o licitante provisoriamente classificado em primeiro lugar tenha se utilizado de algum tratamento favorecido às ME/EPPs, o pregoeiro verificará se faz jus ao benefício.</w:t>
      </w:r>
    </w:p>
    <w:p>
      <w:pPr>
        <w:pStyle w:val="Nivel2"/>
        <w:numPr>
          <w:ilvl w:val="1"/>
          <w:numId w:val="5"/>
        </w:numPr>
        <w:spacing w:lineRule="auto" w:line="360" w:before="0" w:after="0"/>
        <w:ind w:hanging="0" w:left="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5"/>
        </w:numPr>
        <w:spacing w:lineRule="auto" w:line="360"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5"/>
        </w:numPr>
        <w:spacing w:lineRule="auto" w:line="360" w:before="0" w:after="0"/>
        <w:ind w:hanging="0" w:left="0"/>
        <w:rPr>
          <w:color w:val="auto"/>
          <w:sz w:val="22"/>
          <w:szCs w:val="22"/>
        </w:rPr>
      </w:pPr>
      <w:r>
        <w:rPr>
          <w:color w:val="auto"/>
          <w:sz w:val="22"/>
          <w:szCs w:val="22"/>
        </w:rPr>
        <w:t>contiver vícios insanáveis;</w:t>
      </w:r>
    </w:p>
    <w:p>
      <w:pPr>
        <w:pStyle w:val="Nivel3"/>
        <w:numPr>
          <w:ilvl w:val="2"/>
          <w:numId w:val="5"/>
        </w:numPr>
        <w:spacing w:lineRule="auto" w:line="360" w:before="0" w:after="0"/>
        <w:ind w:hanging="0" w:left="0"/>
        <w:rPr>
          <w:color w:val="auto"/>
          <w:sz w:val="22"/>
          <w:szCs w:val="22"/>
        </w:rPr>
      </w:pPr>
      <w:r>
        <w:rPr>
          <w:color w:val="auto"/>
          <w:sz w:val="22"/>
          <w:szCs w:val="22"/>
        </w:rPr>
        <w:t>não obedecer às especificações técnicas contidas no Termo de Referência;</w:t>
      </w:r>
    </w:p>
    <w:p>
      <w:pPr>
        <w:pStyle w:val="Nivel3"/>
        <w:numPr>
          <w:ilvl w:val="2"/>
          <w:numId w:val="5"/>
        </w:numPr>
        <w:spacing w:lineRule="auto" w:line="360" w:before="0" w:after="0"/>
        <w:ind w:hanging="0" w:left="0"/>
        <w:rPr>
          <w:color w:val="auto"/>
          <w:sz w:val="22"/>
          <w:szCs w:val="22"/>
        </w:rPr>
      </w:pPr>
      <w:r>
        <w:rPr>
          <w:color w:val="auto"/>
          <w:sz w:val="22"/>
          <w:szCs w:val="22"/>
        </w:rPr>
        <w:t>apresentar preços inexequíveis ou permanecerem acima do preço máximo definido para a contratação;</w:t>
      </w:r>
    </w:p>
    <w:p>
      <w:pPr>
        <w:pStyle w:val="Nivel3"/>
        <w:numPr>
          <w:ilvl w:val="2"/>
          <w:numId w:val="5"/>
        </w:numPr>
        <w:spacing w:lineRule="auto" w:line="360" w:before="0" w:after="0"/>
        <w:ind w:hanging="0" w:left="0"/>
        <w:rPr>
          <w:color w:val="auto"/>
          <w:sz w:val="22"/>
          <w:szCs w:val="22"/>
        </w:rPr>
      </w:pPr>
      <w:r>
        <w:rPr>
          <w:color w:val="auto"/>
          <w:sz w:val="22"/>
          <w:szCs w:val="22"/>
        </w:rPr>
        <w:t>não tiverem sua exequibilidade demonstrada, quando exigido pela Administração;</w:t>
      </w:r>
    </w:p>
    <w:p>
      <w:pPr>
        <w:pStyle w:val="Nivel3"/>
        <w:numPr>
          <w:ilvl w:val="2"/>
          <w:numId w:val="5"/>
        </w:numPr>
        <w:spacing w:lineRule="auto" w:line="360" w:before="0" w:after="0"/>
        <w:ind w:hanging="0" w:left="0"/>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5"/>
        </w:numPr>
        <w:spacing w:lineRule="auto" w:line="360" w:before="0" w:after="0"/>
        <w:ind w:hanging="0" w:left="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5"/>
        </w:numPr>
        <w:spacing w:lineRule="auto" w:line="360" w:before="0" w:after="0"/>
        <w:ind w:hanging="0" w:left="0"/>
        <w:rPr>
          <w:color w:val="auto"/>
          <w:sz w:val="22"/>
          <w:szCs w:val="22"/>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numPr>
          <w:ilvl w:val="1"/>
          <w:numId w:val="5"/>
        </w:numPr>
        <w:spacing w:lineRule="auto" w:line="360" w:before="0" w:after="0"/>
        <w:ind w:hanging="0" w:left="0"/>
        <w:rPr>
          <w:color w:val="auto"/>
          <w:sz w:val="22"/>
          <w:szCs w:val="22"/>
        </w:rPr>
      </w:pPr>
      <w:r>
        <w:rPr>
          <w:color w:val="auto"/>
          <w:sz w:val="22"/>
          <w:szCs w:val="22"/>
        </w:rPr>
        <w:t>A sessão será suspensa para a apresentação e análise das documentações e os envelopes de habilitação, devidamente rubricados pelo(a) pregoeiro(a) e pelos representantes credenciados, ficarão sob a guarda do(a) pregoeiro(a), sendo exibidos aos licitantes na reabertura da sessão que será marcada, com no mínimo três (03) dias úteis de antecedência, pela Imprensa Oficial do Município, para prosseguimento dos trabalhos.</w:t>
      </w:r>
    </w:p>
    <w:p>
      <w:pPr>
        <w:pStyle w:val="Nivel2"/>
        <w:numPr>
          <w:ilvl w:val="1"/>
          <w:numId w:val="5"/>
        </w:numPr>
        <w:spacing w:lineRule="auto" w:line="360" w:before="0" w:after="0"/>
        <w:ind w:hanging="0" w:left="0"/>
        <w:rPr>
          <w:color w:val="auto"/>
          <w:sz w:val="22"/>
          <w:szCs w:val="22"/>
        </w:rPr>
      </w:pPr>
      <w:r>
        <w:rPr>
          <w:bCs/>
          <w:color w:val="auto"/>
          <w:sz w:val="22"/>
          <w:szCs w:val="22"/>
        </w:rPr>
        <w:t xml:space="preserve">O licitante classificado em primeiro lugar, terá o prazo de até 02 (dois) dias úteis, contados da sessão de processamento da licitação, para apresentar mediante protocolo na </w:t>
      </w:r>
      <w:r>
        <w:rPr>
          <w:bCs/>
          <w:color w:val="auto"/>
          <w:sz w:val="22"/>
          <w:szCs w:val="22"/>
          <w:u w:val="single"/>
        </w:rPr>
        <w:t>Secretaria da Saúde, situada na Rua Marcos Dian, 365 – Jd de Lucca</w:t>
      </w:r>
      <w:r>
        <w:rPr>
          <w:bCs/>
          <w:color w:val="auto"/>
          <w:sz w:val="22"/>
          <w:szCs w:val="22"/>
        </w:rPr>
        <w:t>, aos cuidados do pregoeiro, os seguintes documentos dos produtos ofertados:</w:t>
      </w:r>
    </w:p>
    <w:p>
      <w:pPr>
        <w:pStyle w:val="Normal"/>
        <w:numPr>
          <w:ilvl w:val="0"/>
          <w:numId w:val="6"/>
        </w:numPr>
        <w:tabs>
          <w:tab w:val="clear" w:pos="709"/>
          <w:tab w:val="left" w:pos="993" w:leader="none"/>
        </w:tabs>
        <w:spacing w:lineRule="auto" w:line="360"/>
        <w:ind w:hanging="0" w:left="567"/>
        <w:jc w:val="both"/>
        <w:rPr>
          <w:rFonts w:ascii="Arial" w:hAnsi="Arial" w:cs="Arial"/>
          <w:b/>
          <w:bCs/>
          <w:sz w:val="22"/>
          <w:szCs w:val="22"/>
        </w:rPr>
      </w:pPr>
      <w:r>
        <w:rPr>
          <w:rFonts w:cs="Arial" w:ascii="Arial" w:hAnsi="Arial"/>
          <w:b/>
          <w:bCs/>
          <w:sz w:val="22"/>
          <w:szCs w:val="22"/>
        </w:rPr>
        <w:t>Registro do Produto na ANVISA, atualizado e vigente;</w:t>
      </w:r>
    </w:p>
    <w:p>
      <w:pPr>
        <w:pStyle w:val="Normal"/>
        <w:numPr>
          <w:ilvl w:val="0"/>
          <w:numId w:val="6"/>
        </w:numPr>
        <w:tabs>
          <w:tab w:val="clear" w:pos="709"/>
          <w:tab w:val="left" w:pos="993" w:leader="none"/>
        </w:tabs>
        <w:spacing w:lineRule="auto" w:line="360"/>
        <w:ind w:hanging="0" w:left="567"/>
        <w:jc w:val="both"/>
        <w:rPr>
          <w:rFonts w:ascii="Arial" w:hAnsi="Arial" w:cs="Arial"/>
          <w:b/>
          <w:bCs/>
          <w:sz w:val="22"/>
          <w:szCs w:val="22"/>
        </w:rPr>
      </w:pPr>
      <w:r>
        <w:rPr>
          <w:rFonts w:cs="Arial" w:ascii="Arial" w:hAnsi="Arial"/>
          <w:b/>
          <w:bCs/>
          <w:sz w:val="22"/>
          <w:szCs w:val="22"/>
        </w:rPr>
        <w:t>Especificação técnica do produto ofertado que pode ser bula ou informação via internet.</w:t>
      </w:r>
    </w:p>
    <w:p>
      <w:pPr>
        <w:pStyle w:val="Normal"/>
        <w:spacing w:lineRule="auto" w:line="360"/>
        <w:jc w:val="both"/>
        <w:rPr>
          <w:rFonts w:ascii="Arial" w:hAnsi="Arial" w:cs="Arial"/>
          <w:bCs/>
          <w:sz w:val="22"/>
          <w:szCs w:val="22"/>
        </w:rPr>
      </w:pPr>
      <w:r>
        <w:rPr>
          <w:rFonts w:cs="Arial" w:ascii="Arial" w:hAnsi="Arial"/>
          <w:bCs/>
          <w:sz w:val="22"/>
          <w:szCs w:val="22"/>
        </w:rPr>
        <w:t>7.10 - A falta de entrega dos documentos dentro do prazo estabelecido caracterizará desistência de proposta e a entrega em desconformidade com as especificações contidas no edital implicará em desclassificação.</w:t>
      </w:r>
    </w:p>
    <w:p>
      <w:pPr>
        <w:pStyle w:val="Normal"/>
        <w:spacing w:lineRule="auto" w:line="360"/>
        <w:jc w:val="both"/>
        <w:rPr>
          <w:rFonts w:ascii="Arial" w:hAnsi="Arial" w:cs="Arial"/>
          <w:bCs/>
          <w:sz w:val="22"/>
          <w:szCs w:val="22"/>
        </w:rPr>
      </w:pPr>
      <w:r>
        <w:rPr>
          <w:rFonts w:cs="Arial" w:ascii="Arial" w:hAnsi="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360"/>
        <w:jc w:val="both"/>
        <w:rPr>
          <w:rFonts w:ascii="Arial" w:hAnsi="Arial" w:cs="Arial"/>
          <w:sz w:val="22"/>
          <w:szCs w:val="22"/>
        </w:rPr>
      </w:pPr>
      <w:r>
        <w:rPr>
          <w:rFonts w:cs="Arial" w:ascii="Arial" w:hAnsi="Arial"/>
          <w:sz w:val="22"/>
          <w:szCs w:val="22"/>
        </w:rPr>
        <w:t>7.12 - Aprovadas as documentações, na retomada da sessão o proponente será definitivamente declarado vencedor, e terá o seu preço registrado na ata que será formalizada, após adjudicação do objeto e homologação do procedimento.</w:t>
      </w:r>
    </w:p>
    <w:p>
      <w:pPr>
        <w:pStyle w:val="Normal"/>
        <w:spacing w:lineRule="auto" w:line="360"/>
        <w:jc w:val="both"/>
        <w:rPr>
          <w:rFonts w:ascii="Arial" w:hAnsi="Arial" w:cs="Arial"/>
          <w:sz w:val="22"/>
          <w:szCs w:val="22"/>
        </w:rPr>
      </w:pPr>
      <w:r>
        <w:rPr>
          <w:rFonts w:cs="Arial" w:ascii="Arial" w:hAnsi="Arial"/>
          <w:sz w:val="22"/>
          <w:szCs w:val="22"/>
        </w:rPr>
      </w:r>
    </w:p>
    <w:p>
      <w:pPr>
        <w:pStyle w:val="Nivel01"/>
        <w:numPr>
          <w:ilvl w:val="0"/>
          <w:numId w:val="5"/>
        </w:numPr>
        <w:spacing w:lineRule="auto" w:line="360" w:before="0" w:after="0"/>
        <w:ind w:hanging="0" w:left="0"/>
        <w:rPr>
          <w:sz w:val="22"/>
          <w:szCs w:val="22"/>
        </w:rPr>
      </w:pPr>
      <w:r>
        <w:rPr>
          <w:sz w:val="22"/>
          <w:szCs w:val="22"/>
        </w:rPr>
        <w:t>DA FASE DE HABILITAÇÃO</w:t>
      </w:r>
    </w:p>
    <w:p>
      <w:pPr>
        <w:pStyle w:val="Nivel2"/>
        <w:numPr>
          <w:ilvl w:val="1"/>
          <w:numId w:val="5"/>
        </w:numPr>
        <w:spacing w:lineRule="auto" w:line="360" w:before="0" w:after="0"/>
        <w:ind w:hanging="0" w:left="0"/>
        <w:rPr>
          <w:color w:val="auto"/>
          <w:sz w:val="22"/>
          <w:szCs w:val="22"/>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auto"/>
        </w:rPr>
        <w:instrText xml:space="preserve"> HYPERLINK "http://www.planalto.gov.br/ccivil_03/_ato2019-2022/2021/lei/L14133.htm" \l "art62"</w:instrText>
      </w:r>
      <w:r>
        <w:rPr>
          <w:rStyle w:val="Hyperlink"/>
          <w:sz w:val="22"/>
          <w:szCs w:val="22"/>
          <w:color w:val="auto"/>
        </w:rPr>
        <w:fldChar w:fldCharType="separate"/>
      </w:r>
      <w:r>
        <w:rPr>
          <w:rStyle w:val="Hyperlink"/>
          <w:color w:val="auto"/>
          <w:sz w:val="22"/>
          <w:szCs w:val="22"/>
        </w:rPr>
        <w:t>arts. 62 a 70 da Lei nº 14.133, de 2021</w:t>
      </w:r>
      <w:r>
        <w:rPr>
          <w:rStyle w:val="Hyperlink"/>
          <w:sz w:val="22"/>
          <w:szCs w:val="22"/>
          <w:color w:val="auto"/>
        </w:rPr>
        <w:fldChar w:fldCharType="end"/>
      </w:r>
      <w:r>
        <w:rPr>
          <w:rStyle w:val="InternetLink"/>
          <w:color w:val="auto"/>
          <w:sz w:val="22"/>
          <w:szCs w:val="22"/>
        </w:rPr>
        <w:t>.</w:t>
      </w:r>
    </w:p>
    <w:p>
      <w:pPr>
        <w:pStyle w:val="ListParagraph"/>
        <w:numPr>
          <w:ilvl w:val="0"/>
          <w:numId w:val="19"/>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9"/>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9"/>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9"/>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9"/>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9"/>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9"/>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0"/>
          <w:numId w:val="19"/>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ListParagraph"/>
        <w:numPr>
          <w:ilvl w:val="1"/>
          <w:numId w:val="19"/>
        </w:numPr>
        <w:suppressAutoHyphens w:val="false"/>
        <w:spacing w:lineRule="auto" w:line="360" w:before="0" w:after="0"/>
        <w:jc w:val="both"/>
        <w:rPr>
          <w:rFonts w:ascii="Arial" w:hAnsi="Arial" w:eastAsia="MS Mincho;ＭＳ 明朝" w:cs="Arial"/>
          <w:vanish/>
          <w:color w:val="000000"/>
          <w:kern w:val="0"/>
        </w:rPr>
      </w:pPr>
      <w:r>
        <w:rPr>
          <w:rFonts w:eastAsia="MS Mincho;ＭＳ 明朝" w:cs="Arial" w:ascii="Arial" w:hAnsi="Arial"/>
          <w:vanish/>
          <w:color w:val="000000"/>
          <w:kern w:val="0"/>
        </w:rPr>
      </w:r>
    </w:p>
    <w:p>
      <w:pPr>
        <w:pStyle w:val="Nivel2"/>
        <w:numPr>
          <w:ilvl w:val="1"/>
          <w:numId w:val="19"/>
        </w:numPr>
        <w:tabs>
          <w:tab w:val="clear" w:pos="0"/>
          <w:tab w:val="left" w:pos="-1055" w:leader="none"/>
        </w:tabs>
        <w:spacing w:lineRule="auto" w:line="360" w:before="0" w:after="0"/>
        <w:ind w:hanging="432" w:left="432"/>
        <w:rPr/>
      </w:pPr>
      <w:r>
        <w:rPr>
          <w:sz w:val="22"/>
          <w:szCs w:val="22"/>
        </w:rPr>
        <w:t>Os documentos exigidos para fins de habilitação poderão ser apresentados em original, por cópia autenticada, através do sistema da BBMnet.</w:t>
      </w:r>
    </w:p>
    <w:p>
      <w:pPr>
        <w:pStyle w:val="Nivel2"/>
        <w:numPr>
          <w:ilvl w:val="1"/>
          <w:numId w:val="19"/>
        </w:numPr>
        <w:tabs>
          <w:tab w:val="clear" w:pos="0"/>
        </w:tabs>
        <w:spacing w:lineRule="auto" w:line="360" w:before="0" w:after="0"/>
        <w:ind w:hanging="0" w:left="0"/>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19"/>
        </w:numPr>
        <w:tabs>
          <w:tab w:val="clear" w:pos="0"/>
        </w:tabs>
        <w:spacing w:lineRule="auto" w:line="360" w:before="0" w:after="0"/>
        <w:ind w:hanging="0" w:left="0"/>
        <w:rPr/>
      </w:pPr>
      <w:bookmarkStart w:id="18" w:name="_Hlk204237513"/>
      <w:bookmarkStart w:id="19" w:name="_Ref114663151"/>
      <w:r>
        <w:rPr>
          <w:sz w:val="22"/>
          <w:szCs w:val="22"/>
        </w:rPr>
        <w:t xml:space="preserve">Os </w:t>
      </w:r>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xml:space="preserve">, </w:t>
      </w:r>
      <w:bookmarkEnd w:id="19"/>
      <w:r>
        <w:rPr>
          <w:sz w:val="22"/>
          <w:szCs w:val="22"/>
        </w:rPr>
        <w:t>contado da solicitação do Agente de Contratação.</w:t>
      </w:r>
      <w:bookmarkEnd w:id="18"/>
    </w:p>
    <w:p>
      <w:pPr>
        <w:pStyle w:val="Nivel2"/>
        <w:numPr>
          <w:ilvl w:val="1"/>
          <w:numId w:val="19"/>
        </w:numPr>
        <w:tabs>
          <w:tab w:val="clear" w:pos="0"/>
        </w:tabs>
        <w:spacing w:lineRule="auto" w:line="360" w:before="0" w:after="0"/>
        <w:ind w:hanging="0" w:left="0"/>
        <w:rPr>
          <w:color w:val="auto"/>
        </w:rPr>
      </w:pPr>
      <w:r>
        <w:rPr>
          <w:color w:val="auto"/>
          <w:sz w:val="22"/>
          <w:szCs w:val="22"/>
        </w:rPr>
        <w:t>A exigência das documentações de habilitação somente será feita em relação ao licitante vencedor.</w:t>
      </w:r>
    </w:p>
    <w:p>
      <w:pPr>
        <w:pStyle w:val="Nivel2"/>
        <w:numPr>
          <w:ilvl w:val="1"/>
          <w:numId w:val="19"/>
        </w:numPr>
        <w:tabs>
          <w:tab w:val="clear" w:pos="0"/>
        </w:tabs>
        <w:spacing w:lineRule="auto" w:line="360" w:before="0" w:after="0"/>
        <w:ind w:hanging="0" w:left="0"/>
        <w:rPr>
          <w:color w:val="auto"/>
          <w:sz w:val="22"/>
          <w:szCs w:val="22"/>
        </w:rPr>
      </w:pPr>
      <w:bookmarkStart w:id="20" w:name="_Hlk204237555"/>
      <w:r>
        <w:rPr>
          <w:color w:val="auto"/>
          <w:sz w:val="22"/>
          <w:szCs w:val="22"/>
        </w:rPr>
        <w:t xml:space="preserve">Ao iniciar a fase de Habilitação também será exigido do licitante vencedor o envio do </w:t>
      </w:r>
      <w:r>
        <w:rPr>
          <w:b/>
          <w:bCs/>
          <w:color w:val="auto"/>
          <w:sz w:val="22"/>
          <w:szCs w:val="22"/>
        </w:rPr>
        <w:t>ARQUIVO DA PROPOSTA FINAL AJUSTADA</w:t>
      </w:r>
      <w:r>
        <w:rPr>
          <w:color w:val="auto"/>
          <w:sz w:val="22"/>
          <w:szCs w:val="22"/>
        </w:rPr>
        <w:t xml:space="preserve"> por meio de comando próprio do sistema. O prazo para a inserção do documento será de 02 (duas) horas, a contar do disparo da mensagem no chat solicitando a ação, sujeito a desclassificação caso não faça no tempo determinado</w:t>
      </w:r>
      <w:bookmarkEnd w:id="20"/>
    </w:p>
    <w:p>
      <w:pPr>
        <w:pStyle w:val="Nivel2"/>
        <w:numPr>
          <w:ilvl w:val="1"/>
          <w:numId w:val="19"/>
        </w:numPr>
        <w:tabs>
          <w:tab w:val="clear" w:pos="0"/>
        </w:tabs>
        <w:spacing w:lineRule="auto" w:line="360" w:before="0" w:after="0"/>
        <w:ind w:hanging="0" w:left="0"/>
        <w:rPr>
          <w:color w:val="auto"/>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InternetLink5"/>
          <w:color w:val="auto"/>
          <w:sz w:val="22"/>
          <w:szCs w:val="22"/>
        </w:rPr>
        <w:t>)</w:t>
      </w:r>
    </w:p>
    <w:p>
      <w:pPr>
        <w:pStyle w:val="Nivel3"/>
        <w:numPr>
          <w:ilvl w:val="2"/>
          <w:numId w:val="19"/>
        </w:numPr>
        <w:tabs>
          <w:tab w:val="clear" w:pos="0"/>
        </w:tabs>
        <w:spacing w:lineRule="auto" w:line="360" w:before="0" w:after="0"/>
        <w:ind w:hanging="0" w:left="0"/>
        <w:rPr>
          <w:color w:val="auto"/>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19"/>
        </w:numPr>
        <w:tabs>
          <w:tab w:val="clear" w:pos="0"/>
        </w:tabs>
        <w:spacing w:lineRule="auto" w:line="360" w:before="0" w:after="0"/>
        <w:ind w:hanging="0" w:left="0"/>
        <w:rPr>
          <w:color w:val="auto"/>
        </w:rPr>
      </w:pPr>
      <w:r>
        <w:rPr>
          <w:color w:val="auto"/>
          <w:sz w:val="22"/>
          <w:szCs w:val="22"/>
        </w:rPr>
        <w:t>atualização de documentos cuja validade tenha expirado após a data de recebimento das propostas;</w:t>
      </w:r>
    </w:p>
    <w:p>
      <w:pPr>
        <w:pStyle w:val="Nivel2"/>
        <w:numPr>
          <w:ilvl w:val="1"/>
          <w:numId w:val="19"/>
        </w:numPr>
        <w:tabs>
          <w:tab w:val="clear" w:pos="0"/>
        </w:tabs>
        <w:spacing w:lineRule="auto" w:line="360" w:before="0" w:after="0"/>
        <w:ind w:hanging="0" w:left="0"/>
        <w:rPr>
          <w:color w:val="auto"/>
        </w:rPr>
      </w:pPr>
      <w:bookmarkStart w:id="21"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22" w:name="_Ref114665528"/>
      <w:bookmarkEnd w:id="21"/>
    </w:p>
    <w:p>
      <w:pPr>
        <w:pStyle w:val="Nivel2"/>
        <w:numPr>
          <w:ilvl w:val="1"/>
          <w:numId w:val="19"/>
        </w:numPr>
        <w:tabs>
          <w:tab w:val="clear" w:pos="0"/>
        </w:tabs>
        <w:spacing w:lineRule="auto" w:line="360" w:before="0" w:after="0"/>
        <w:ind w:hanging="0" w:left="0"/>
        <w:rPr>
          <w:color w:val="auto"/>
        </w:rPr>
      </w:pPr>
      <w:r>
        <w:rPr>
          <w:color w:val="auto"/>
          <w:sz w:val="22"/>
          <w:szCs w:val="22"/>
        </w:rPr>
        <w:t>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8.3.1.</w:t>
      </w:r>
      <w:bookmarkEnd w:id="22"/>
    </w:p>
    <w:p>
      <w:pPr>
        <w:pStyle w:val="Nivel2"/>
        <w:numPr>
          <w:ilvl w:val="1"/>
          <w:numId w:val="19"/>
        </w:numPr>
        <w:tabs>
          <w:tab w:val="clear" w:pos="0"/>
        </w:tabs>
        <w:spacing w:lineRule="auto" w:line="360" w:before="0" w:after="0"/>
        <w:ind w:hanging="0" w:left="0"/>
        <w:rPr>
          <w:color w:val="auto"/>
        </w:rPr>
      </w:pPr>
      <w:bookmarkStart w:id="23" w:name="_Ref114665515"/>
      <w:r>
        <w:rPr>
          <w:sz w:val="22"/>
          <w:szCs w:val="22"/>
        </w:rPr>
        <w:t xml:space="preserve">Somente serão disponibilizados para acesso público os documentos de habilitação do licitante cuja proposta atenda ao edital de licitação, após concluídos os procedimentos de que trata </w:t>
      </w:r>
      <w:r>
        <w:rPr>
          <w:color w:val="auto"/>
          <w:sz w:val="22"/>
          <w:szCs w:val="22"/>
        </w:rPr>
        <w:t>o subitem anterior</w:t>
      </w:r>
      <w:bookmarkEnd w:id="23"/>
      <w:r>
        <w:rPr>
          <w:color w:val="auto"/>
          <w:sz w:val="22"/>
          <w:szCs w:val="22"/>
        </w:rPr>
        <w:t>.</w:t>
      </w:r>
      <w:bookmarkStart w:id="24" w:name="_Hlk204237715"/>
    </w:p>
    <w:p>
      <w:pPr>
        <w:pStyle w:val="Nivel2"/>
        <w:numPr>
          <w:ilvl w:val="1"/>
          <w:numId w:val="19"/>
        </w:numPr>
        <w:spacing w:lineRule="auto" w:line="360" w:before="0" w:after="0"/>
        <w:ind w:hanging="0" w:left="0"/>
        <w:rPr>
          <w:rFonts w:eastAsia="Times New Roman"/>
          <w:color w:val="auto"/>
          <w:kern w:val="2"/>
          <w:sz w:val="22"/>
          <w:szCs w:val="22"/>
        </w:rPr>
      </w:pPr>
      <w:r>
        <w:rPr>
          <w:color w:val="auto"/>
        </w:rPr>
        <w:t>As</w:t>
      </w:r>
      <w:r>
        <w:rPr>
          <w:color w:val="auto"/>
          <w:sz w:val="22"/>
          <w:szCs w:val="22"/>
        </w:rPr>
        <w:t xml:space="preserve"> empresas Vencedoras, deverão encaminhar </w:t>
      </w:r>
      <w:r>
        <w:rPr>
          <w:b/>
          <w:bCs/>
          <w:color w:val="auto"/>
          <w:sz w:val="22"/>
          <w:szCs w:val="22"/>
        </w:rPr>
        <w:t>no prazo de máximo de 48 horas, do término da sessão</w:t>
      </w:r>
      <w:r>
        <w:rPr>
          <w:color w:val="auto"/>
          <w:sz w:val="22"/>
          <w:szCs w:val="22"/>
        </w:rPr>
        <w:t xml:space="preserve">, para a Seção de Licitações, localizada à Avenida Luciano Consoline, nº   </w:t>
      </w:r>
      <w:r>
        <w:rPr>
          <w:rFonts w:eastAsia="Times New Roman"/>
          <w:color w:val="auto"/>
          <w:kern w:val="2"/>
          <w:sz w:val="22"/>
          <w:szCs w:val="22"/>
        </w:rPr>
        <w:t>600 – Jardim de Lucca, CEP 13.250-000, das 09h às 17h, os documentos abaixo relacionados:</w:t>
      </w:r>
    </w:p>
    <w:p>
      <w:pPr>
        <w:pStyle w:val="Normal"/>
        <w:spacing w:lineRule="auto" w:line="360"/>
        <w:jc w:val="both"/>
        <w:rPr>
          <w:rFonts w:ascii="Arial" w:hAnsi="Arial" w:cs="Arial"/>
          <w:sz w:val="22"/>
          <w:szCs w:val="22"/>
        </w:rPr>
      </w:pPr>
      <w:r>
        <w:rPr>
          <w:rFonts w:cs="Arial" w:ascii="Arial" w:hAnsi="Arial"/>
          <w:b/>
          <w:bCs/>
          <w:sz w:val="22"/>
          <w:szCs w:val="22"/>
          <w:u w:val="single"/>
        </w:rPr>
        <w:t>8.10.1 -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18"/>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18"/>
        </w:numPr>
        <w:spacing w:lineRule="auto" w:line="360" w:before="0" w:after="0"/>
        <w:ind w:hanging="0" w:left="0"/>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before="0" w:after="0"/>
        <w:ind w:left="0"/>
        <w:jc w:val="both"/>
        <w:rPr/>
      </w:pPr>
      <w:r>
        <w:rPr>
          <w:rFonts w:cs="Arial" w:ascii="Arial" w:hAnsi="Arial"/>
        </w:rPr>
        <w:t xml:space="preserve">8.11 -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bookmarkEnd w:id="24"/>
    </w:p>
    <w:p>
      <w:pPr>
        <w:pStyle w:val="Nivel2"/>
        <w:tabs>
          <w:tab w:val="clear" w:pos="0"/>
        </w:tabs>
        <w:spacing w:lineRule="auto" w:line="360" w:before="0" w:after="0"/>
        <w:ind w:hanging="0" w:left="0"/>
        <w:rPr>
          <w:i/>
          <w:i/>
          <w:color w:val="auto"/>
          <w:sz w:val="22"/>
          <w:szCs w:val="22"/>
        </w:rPr>
      </w:pPr>
      <w:r>
        <w:rPr>
          <w:i/>
          <w:color w:val="auto"/>
          <w:sz w:val="22"/>
          <w:szCs w:val="22"/>
        </w:rPr>
      </w:r>
    </w:p>
    <w:p>
      <w:pPr>
        <w:pStyle w:val="Nivel01"/>
        <w:numPr>
          <w:ilvl w:val="0"/>
          <w:numId w:val="5"/>
        </w:numPr>
        <w:spacing w:lineRule="auto" w:line="360" w:before="0" w:after="0"/>
        <w:ind w:hanging="0" w:left="0"/>
        <w:rPr>
          <w:sz w:val="22"/>
          <w:szCs w:val="22"/>
        </w:rPr>
      </w:pPr>
      <w:r>
        <w:rPr>
          <w:sz w:val="22"/>
          <w:szCs w:val="22"/>
        </w:rPr>
        <w:t>DA ATA DE REGISTRO DE PREÇOS</w:t>
      </w:r>
    </w:p>
    <w:p>
      <w:pPr>
        <w:pStyle w:val="Nivel2"/>
        <w:numPr>
          <w:ilvl w:val="1"/>
          <w:numId w:val="5"/>
        </w:numPr>
        <w:spacing w:lineRule="auto" w:line="360" w:before="0" w:after="0"/>
        <w:ind w:hanging="0" w:left="0"/>
        <w:rPr>
          <w:color w:val="auto"/>
          <w:sz w:val="22"/>
          <w:szCs w:val="22"/>
        </w:rPr>
      </w:pPr>
      <w:r>
        <w:rPr>
          <w:color w:val="auto"/>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5"/>
        </w:numPr>
        <w:spacing w:lineRule="auto" w:line="360" w:before="0" w:after="0"/>
        <w:ind w:hanging="0" w:left="0"/>
        <w:rPr>
          <w:color w:val="auto"/>
          <w:sz w:val="22"/>
          <w:szCs w:val="22"/>
        </w:rPr>
      </w:pPr>
      <w:r>
        <w:rPr>
          <w:color w:val="auto"/>
          <w:sz w:val="22"/>
          <w:szCs w:val="22"/>
        </w:rPr>
        <w:t>O prazo de convocação poderá ser prorrogado uma vez, por igual período, mediante solicitação do licitante mais bem classificado ou do fornecedor convocado, desde que:</w:t>
      </w:r>
    </w:p>
    <w:p>
      <w:pPr>
        <w:pStyle w:val="Nivel2"/>
        <w:tabs>
          <w:tab w:val="clear" w:pos="0"/>
        </w:tabs>
        <w:spacing w:lineRule="auto" w:line="360" w:before="0" w:after="0"/>
        <w:ind w:hanging="0" w:left="0"/>
        <w:rPr>
          <w:iCs/>
          <w:color w:val="auto"/>
          <w:sz w:val="22"/>
          <w:szCs w:val="22"/>
        </w:rPr>
      </w:pPr>
      <w:r>
        <w:rPr>
          <w:iCs/>
          <w:color w:val="auto"/>
          <w:sz w:val="22"/>
          <w:szCs w:val="22"/>
        </w:rPr>
        <w:t>(a) a solicitação seja devidamente justificada e apresentada dentro do prazo; e</w:t>
      </w:r>
    </w:p>
    <w:p>
      <w:pPr>
        <w:pStyle w:val="Nivel2"/>
        <w:tabs>
          <w:tab w:val="clear" w:pos="0"/>
        </w:tabs>
        <w:spacing w:lineRule="auto" w:line="360" w:before="0" w:after="0"/>
        <w:ind w:hanging="0" w:left="0"/>
        <w:rPr>
          <w:iCs/>
          <w:color w:val="auto"/>
          <w:sz w:val="22"/>
          <w:szCs w:val="22"/>
        </w:rPr>
      </w:pPr>
      <w:r>
        <w:rPr>
          <w:iCs/>
          <w:color w:val="auto"/>
          <w:sz w:val="22"/>
          <w:szCs w:val="22"/>
        </w:rPr>
        <w:t>(b) a justificativa apresentada seja aceita pela Administração.</w:t>
      </w:r>
    </w:p>
    <w:p>
      <w:pPr>
        <w:pStyle w:val="Nivel2"/>
        <w:numPr>
          <w:ilvl w:val="1"/>
          <w:numId w:val="5"/>
        </w:numPr>
        <w:spacing w:lineRule="auto" w:line="360" w:before="0" w:after="0"/>
        <w:ind w:hanging="0" w:left="0"/>
        <w:rPr>
          <w:color w:val="auto"/>
          <w:sz w:val="22"/>
          <w:szCs w:val="22"/>
        </w:rPr>
      </w:pPr>
      <w:r>
        <w:rPr>
          <w:color w:val="auto"/>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5"/>
        </w:numPr>
        <w:spacing w:lineRule="auto" w:line="360" w:before="0" w:after="0"/>
        <w:ind w:hanging="0" w:left="0"/>
        <w:rPr>
          <w:color w:val="auto"/>
          <w:sz w:val="22"/>
          <w:szCs w:val="22"/>
        </w:rPr>
      </w:pPr>
      <w:r>
        <w:rPr>
          <w:color w:val="auto"/>
          <w:sz w:val="22"/>
          <w:szCs w:val="22"/>
        </w:rPr>
        <w:t>O preço registrado, com a indicação dos fornecedores, será divulgado no PNCP e disponibilizado durante a vigência da ata de registro de preços.</w:t>
      </w:r>
    </w:p>
    <w:p>
      <w:pPr>
        <w:pStyle w:val="Nivel2"/>
        <w:numPr>
          <w:ilvl w:val="1"/>
          <w:numId w:val="5"/>
        </w:numPr>
        <w:spacing w:lineRule="auto" w:line="360" w:before="0" w:after="0"/>
        <w:ind w:hanging="0" w:left="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5"/>
        </w:numPr>
        <w:spacing w:lineRule="auto" w:line="360" w:before="0" w:after="0"/>
        <w:ind w:hanging="0" w:left="0"/>
        <w:rPr>
          <w:color w:val="auto"/>
          <w:sz w:val="22"/>
          <w:szCs w:val="22"/>
        </w:rPr>
      </w:pPr>
      <w:r>
        <w:rPr>
          <w:color w:val="auto"/>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5"/>
        </w:numPr>
        <w:spacing w:lineRule="auto" w:line="360" w:before="0" w:after="0"/>
        <w:ind w:hanging="0" w:left="0"/>
        <w:rPr>
          <w:sz w:val="22"/>
          <w:szCs w:val="22"/>
        </w:rPr>
      </w:pPr>
      <w:r>
        <w:rPr>
          <w:sz w:val="22"/>
          <w:szCs w:val="22"/>
        </w:rPr>
        <w:t xml:space="preserve">DA FORMAÇÃO DO CADASTRO DE RESERVA </w:t>
      </w:r>
    </w:p>
    <w:p>
      <w:pPr>
        <w:pStyle w:val="Nivel2"/>
        <w:numPr>
          <w:ilvl w:val="1"/>
          <w:numId w:val="5"/>
        </w:numPr>
        <w:spacing w:lineRule="auto" w:line="360" w:before="0" w:after="0"/>
        <w:ind w:hanging="0" w:left="0"/>
        <w:rPr>
          <w:color w:val="auto"/>
          <w:sz w:val="22"/>
          <w:szCs w:val="22"/>
        </w:rPr>
      </w:pPr>
      <w:r>
        <w:rPr>
          <w:color w:val="auto"/>
          <w:sz w:val="22"/>
          <w:szCs w:val="22"/>
        </w:rPr>
        <w:t>Após a homologação da licitação, será incluído na ata, na forma de anexo, o registro:</w:t>
      </w:r>
    </w:p>
    <w:p>
      <w:pPr>
        <w:pStyle w:val="Nivel3"/>
        <w:numPr>
          <w:ilvl w:val="2"/>
          <w:numId w:val="5"/>
        </w:numPr>
        <w:spacing w:lineRule="auto" w:line="360" w:before="0" w:after="0"/>
        <w:ind w:hanging="0" w:left="567"/>
        <w:rPr>
          <w:color w:val="auto"/>
          <w:sz w:val="22"/>
          <w:szCs w:val="22"/>
        </w:rPr>
      </w:pPr>
      <w:r>
        <w:rPr>
          <w:color w:val="auto"/>
          <w:sz w:val="22"/>
          <w:szCs w:val="22"/>
        </w:rPr>
        <w:t xml:space="preserve">dos licitantes </w:t>
      </w:r>
      <w:bookmarkStart w:id="25" w:name="_Hlk132991372"/>
      <w:r>
        <w:rPr>
          <w:color w:val="auto"/>
          <w:sz w:val="22"/>
          <w:szCs w:val="22"/>
        </w:rPr>
        <w:t xml:space="preserve">que </w:t>
      </w:r>
      <w:bookmarkStart w:id="26" w:name="_Hlk132989696"/>
      <w:r>
        <w:rPr>
          <w:color w:val="auto"/>
          <w:sz w:val="22"/>
          <w:szCs w:val="22"/>
        </w:rPr>
        <w:t>aceitarem cotar o objeto com preço igual ao do adjudicatári</w:t>
      </w:r>
      <w:bookmarkEnd w:id="25"/>
      <w:r>
        <w:rPr>
          <w:color w:val="auto"/>
          <w:sz w:val="22"/>
          <w:szCs w:val="22"/>
        </w:rPr>
        <w:t>o</w:t>
      </w:r>
      <w:bookmarkEnd w:id="26"/>
      <w:r>
        <w:rPr>
          <w:color w:val="auto"/>
          <w:sz w:val="22"/>
          <w:szCs w:val="22"/>
        </w:rPr>
        <w:t xml:space="preserve">, observada a classificação na licitação; e </w:t>
      </w:r>
    </w:p>
    <w:p>
      <w:pPr>
        <w:pStyle w:val="Nivel3"/>
        <w:numPr>
          <w:ilvl w:val="2"/>
          <w:numId w:val="5"/>
        </w:numPr>
        <w:spacing w:lineRule="auto" w:line="360" w:before="0" w:after="0"/>
        <w:ind w:hanging="0" w:left="567"/>
        <w:rPr>
          <w:color w:val="auto"/>
          <w:sz w:val="22"/>
          <w:szCs w:val="22"/>
        </w:rPr>
      </w:pPr>
      <w:r>
        <w:rPr>
          <w:color w:val="auto"/>
          <w:sz w:val="22"/>
          <w:szCs w:val="22"/>
        </w:rPr>
        <w:t>dos licitantes que mantiverem sua proposta original</w:t>
      </w:r>
    </w:p>
    <w:p>
      <w:pPr>
        <w:pStyle w:val="Nivel2"/>
        <w:numPr>
          <w:ilvl w:val="1"/>
          <w:numId w:val="5"/>
        </w:numPr>
        <w:spacing w:lineRule="auto" w:line="360" w:before="0" w:after="0"/>
        <w:ind w:hanging="0" w:left="0"/>
        <w:rPr>
          <w:color w:val="auto"/>
          <w:sz w:val="22"/>
          <w:szCs w:val="22"/>
        </w:rPr>
      </w:pPr>
      <w:r>
        <w:rPr>
          <w:rFonts w:eastAsia="Arial"/>
          <w:color w:val="auto"/>
          <w:sz w:val="22"/>
          <w:szCs w:val="22"/>
        </w:rPr>
        <w:t xml:space="preserve">          </w:t>
      </w:r>
      <w:r>
        <w:rPr>
          <w:color w:val="auto"/>
          <w:sz w:val="22"/>
          <w:szCs w:val="22"/>
        </w:rPr>
        <w:t>Será respeitada, nas contratações, a ordem de classificação dos licitantes ou fornecedores registrados na ata.</w:t>
      </w:r>
    </w:p>
    <w:p>
      <w:pPr>
        <w:pStyle w:val="Nivel3"/>
        <w:numPr>
          <w:ilvl w:val="2"/>
          <w:numId w:val="5"/>
        </w:numPr>
        <w:spacing w:lineRule="auto" w:line="360" w:before="0" w:after="0"/>
        <w:ind w:hanging="0" w:left="0"/>
        <w:rPr>
          <w:color w:val="auto"/>
          <w:sz w:val="22"/>
          <w:szCs w:val="22"/>
        </w:rPr>
      </w:pPr>
      <w:r>
        <w:rPr>
          <w:color w:val="auto"/>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hanging="0" w:left="0"/>
        <w:rPr>
          <w:color w:val="auto"/>
          <w:sz w:val="22"/>
          <w:szCs w:val="22"/>
        </w:rPr>
      </w:pPr>
      <w:r>
        <w:rPr>
          <w:color w:val="auto"/>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hanging="0" w:left="0"/>
        <w:rPr>
          <w:color w:val="auto"/>
          <w:sz w:val="22"/>
          <w:szCs w:val="22"/>
        </w:rPr>
      </w:pPr>
      <w:r>
        <w:rPr>
          <w:rFonts w:eastAsia="Arial"/>
          <w:color w:val="auto"/>
          <w:sz w:val="22"/>
          <w:szCs w:val="22"/>
        </w:rPr>
        <w:t xml:space="preserve"> </w:t>
      </w:r>
      <w:r>
        <w:rPr>
          <w:color w:val="auto"/>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color w:val="auto"/>
          <w:sz w:val="22"/>
          <w:szCs w:val="22"/>
        </w:rPr>
      </w:pPr>
      <w:r>
        <w:rPr>
          <w:rFonts w:eastAsia="Arial"/>
          <w:color w:val="auto"/>
          <w:sz w:val="22"/>
          <w:szCs w:val="22"/>
        </w:rPr>
        <w:t xml:space="preserve"> </w:t>
      </w:r>
      <w:r>
        <w:rPr>
          <w:color w:val="auto"/>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hanging="0" w:left="0"/>
        <w:rPr>
          <w:color w:val="auto"/>
          <w:sz w:val="22"/>
          <w:szCs w:val="22"/>
        </w:rPr>
      </w:pPr>
      <w:r>
        <w:rPr>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hanging="0" w:left="0"/>
        <w:rPr>
          <w:color w:val="auto"/>
          <w:sz w:val="22"/>
          <w:szCs w:val="22"/>
        </w:rPr>
      </w:pPr>
      <w:r>
        <w:rPr>
          <w:rFonts w:eastAsia="Arial"/>
          <w:color w:val="auto"/>
          <w:sz w:val="22"/>
          <w:szCs w:val="22"/>
        </w:rPr>
        <w:t xml:space="preserve"> </w:t>
      </w:r>
      <w:r>
        <w:rPr>
          <w:color w:val="auto"/>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hanging="0" w:left="0"/>
        <w:rPr>
          <w:color w:val="auto"/>
          <w:sz w:val="22"/>
          <w:szCs w:val="22"/>
        </w:rPr>
      </w:pPr>
      <w:r>
        <w:rPr>
          <w:rFonts w:eastAsia="Arial"/>
          <w:color w:val="auto"/>
          <w:sz w:val="22"/>
          <w:szCs w:val="22"/>
        </w:rPr>
        <w:t xml:space="preserve"> </w:t>
      </w:r>
      <w:r>
        <w:rPr>
          <w:color w:val="auto"/>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lineRule="auto" w:line="360" w:before="0" w:after="0"/>
        <w:ind w:hanging="0" w:left="0"/>
        <w:rPr>
          <w:i/>
          <w:i/>
          <w:color w:val="auto"/>
          <w:sz w:val="22"/>
          <w:szCs w:val="22"/>
        </w:rPr>
      </w:pPr>
      <w:r>
        <w:rPr>
          <w:i/>
          <w:color w:val="auto"/>
          <w:sz w:val="22"/>
          <w:szCs w:val="22"/>
        </w:rPr>
      </w:r>
    </w:p>
    <w:p>
      <w:pPr>
        <w:pStyle w:val="Nivel01"/>
        <w:numPr>
          <w:ilvl w:val="0"/>
          <w:numId w:val="5"/>
        </w:numPr>
        <w:spacing w:lineRule="auto" w:line="360" w:before="0" w:after="0"/>
        <w:ind w:hanging="0" w:left="0"/>
        <w:rPr>
          <w:sz w:val="22"/>
          <w:szCs w:val="22"/>
        </w:rPr>
      </w:pPr>
      <w:r>
        <w:rPr>
          <w:sz w:val="22"/>
          <w:szCs w:val="22"/>
        </w:rPr>
        <w:t>DOS RECURSOS</w:t>
      </w:r>
    </w:p>
    <w:p>
      <w:pPr>
        <w:pStyle w:val="Nivel2"/>
        <w:numPr>
          <w:ilvl w:val="1"/>
          <w:numId w:val="5"/>
        </w:numPr>
        <w:spacing w:lineRule="auto" w:line="360" w:before="0" w:after="0"/>
        <w:ind w:hanging="0"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ListParagraph"/>
        <w:widowControl w:val="false"/>
        <w:numPr>
          <w:ilvl w:val="1"/>
          <w:numId w:val="5"/>
        </w:numPr>
        <w:suppressAutoHyphens w:val="false"/>
        <w:spacing w:lineRule="auto" w:line="360" w:before="0" w:after="0"/>
        <w:ind w:hanging="0"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5"/>
        </w:numPr>
        <w:suppressAutoHyphens w:val="false"/>
        <w:spacing w:lineRule="auto" w:line="360" w:before="0" w:after="0"/>
        <w:ind w:hanging="0"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5"/>
        </w:numPr>
        <w:tabs>
          <w:tab w:val="clear" w:pos="709"/>
          <w:tab w:val="left" w:pos="786" w:leader="none"/>
        </w:tabs>
        <w:suppressAutoHyphens w:val="false"/>
        <w:spacing w:lineRule="auto" w:line="360" w:before="0" w:after="0"/>
        <w:ind w:hanging="0" w:left="0"/>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5"/>
        </w:numPr>
        <w:tabs>
          <w:tab w:val="clear" w:pos="709"/>
          <w:tab w:val="left" w:pos="756" w:leader="none"/>
        </w:tabs>
        <w:suppressAutoHyphens w:val="false"/>
        <w:spacing w:lineRule="auto" w:line="360" w:before="0" w:after="0"/>
        <w:ind w:hanging="0" w:left="0"/>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5"/>
        </w:numPr>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5"/>
        </w:numPr>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5"/>
        </w:numPr>
        <w:spacing w:lineRule="auto" w:line="360" w:before="0" w:after="0"/>
        <w:ind w:hanging="0"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ormal"/>
        <w:spacing w:lineRule="auto" w:line="360"/>
        <w:rPr/>
      </w:pPr>
      <w:r>
        <w:rPr/>
      </w:r>
    </w:p>
    <w:p>
      <w:pPr>
        <w:pStyle w:val="Nivel01"/>
        <w:numPr>
          <w:ilvl w:val="0"/>
          <w:numId w:val="5"/>
        </w:numPr>
        <w:spacing w:lineRule="auto" w:line="360" w:before="0" w:after="0"/>
        <w:ind w:hanging="0" w:left="0"/>
        <w:rPr>
          <w:sz w:val="22"/>
          <w:szCs w:val="22"/>
        </w:rPr>
      </w:pPr>
      <w:r>
        <w:rPr>
          <w:sz w:val="22"/>
          <w:szCs w:val="22"/>
        </w:rPr>
        <w:t>DAS INFRAÇÕES ADMINISTRATIVAS E SANÇÕES</w:t>
      </w:r>
    </w:p>
    <w:p>
      <w:pPr>
        <w:pStyle w:val="Nivel2"/>
        <w:numPr>
          <w:ilvl w:val="1"/>
          <w:numId w:val="5"/>
        </w:numPr>
        <w:spacing w:lineRule="auto" w:line="360" w:before="0" w:after="0"/>
        <w:ind w:hanging="0" w:left="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5"/>
        </w:numPr>
        <w:spacing w:lineRule="auto" w:line="360" w:before="0" w:after="0"/>
        <w:ind w:hanging="0" w:left="567"/>
        <w:rPr>
          <w:color w:val="auto"/>
          <w:sz w:val="22"/>
          <w:szCs w:val="22"/>
        </w:rPr>
      </w:pPr>
      <w:bookmarkStart w:id="27" w:name="_Ref114668085"/>
      <w:r>
        <w:rPr>
          <w:color w:val="auto"/>
          <w:sz w:val="22"/>
          <w:szCs w:val="22"/>
        </w:rPr>
        <w:t>deixar de entregar a documentação exigida para o certame ou não entregar qualquer documento que tenha sido solicitado pelo/a pregoeiro/a durante o certame;</w:t>
      </w:r>
      <w:bookmarkEnd w:id="27"/>
    </w:p>
    <w:p>
      <w:pPr>
        <w:pStyle w:val="Nivel3"/>
        <w:numPr>
          <w:ilvl w:val="2"/>
          <w:numId w:val="5"/>
        </w:numPr>
        <w:spacing w:lineRule="auto" w:line="360" w:before="0" w:after="0"/>
        <w:ind w:hanging="0" w:left="567"/>
        <w:rPr>
          <w:color w:val="auto"/>
          <w:sz w:val="22"/>
          <w:szCs w:val="22"/>
        </w:rPr>
      </w:pPr>
      <w:bookmarkStart w:id="28" w:name="_Ref114668108"/>
      <w:r>
        <w:rPr>
          <w:color w:val="auto"/>
          <w:sz w:val="22"/>
          <w:szCs w:val="22"/>
        </w:rPr>
        <w:t>Salvo em decorrência de fato superveniente devidamente justificado, não mantiver a proposta em especial quando:</w:t>
      </w:r>
      <w:bookmarkEnd w:id="28"/>
    </w:p>
    <w:p>
      <w:pPr>
        <w:pStyle w:val="Nivel4"/>
        <w:numPr>
          <w:ilvl w:val="3"/>
          <w:numId w:val="5"/>
        </w:numPr>
        <w:spacing w:lineRule="auto" w:line="360" w:before="0" w:after="0"/>
        <w:ind w:hanging="0" w:left="1134"/>
        <w:rPr>
          <w:color w:val="auto"/>
          <w:sz w:val="22"/>
          <w:szCs w:val="22"/>
        </w:rPr>
      </w:pPr>
      <w:r>
        <w:rPr>
          <w:color w:val="auto"/>
          <w:sz w:val="22"/>
          <w:szCs w:val="22"/>
        </w:rPr>
        <w:t xml:space="preserve">não enviar a proposta adequada ao último lance ofertado ou após a negociação; </w:t>
      </w:r>
    </w:p>
    <w:p>
      <w:pPr>
        <w:pStyle w:val="Nivel4"/>
        <w:numPr>
          <w:ilvl w:val="3"/>
          <w:numId w:val="5"/>
        </w:numPr>
        <w:spacing w:lineRule="auto" w:line="360" w:before="0" w:after="0"/>
        <w:ind w:hanging="0" w:left="1134"/>
        <w:rPr>
          <w:color w:val="auto"/>
          <w:sz w:val="22"/>
          <w:szCs w:val="22"/>
        </w:rPr>
      </w:pPr>
      <w:r>
        <w:rPr>
          <w:color w:val="auto"/>
          <w:sz w:val="22"/>
          <w:szCs w:val="22"/>
        </w:rPr>
        <w:t xml:space="preserve">recusar-se a enviar o detalhamento da proposta quando exigível; </w:t>
      </w:r>
    </w:p>
    <w:p>
      <w:pPr>
        <w:pStyle w:val="Nivel4"/>
        <w:numPr>
          <w:ilvl w:val="3"/>
          <w:numId w:val="5"/>
        </w:numPr>
        <w:spacing w:lineRule="auto" w:line="360" w:before="0" w:after="0"/>
        <w:ind w:hanging="0" w:left="1134"/>
        <w:rPr>
          <w:color w:val="auto"/>
          <w:sz w:val="22"/>
          <w:szCs w:val="22"/>
        </w:rPr>
      </w:pPr>
      <w:r>
        <w:rPr>
          <w:color w:val="auto"/>
          <w:sz w:val="22"/>
          <w:szCs w:val="22"/>
        </w:rPr>
        <w:t xml:space="preserve">pedir para ser desclassificado quando encerrada a etapa competitiva; ou </w:t>
      </w:r>
    </w:p>
    <w:p>
      <w:pPr>
        <w:pStyle w:val="Nivel3"/>
        <w:numPr>
          <w:ilvl w:val="2"/>
          <w:numId w:val="5"/>
        </w:numPr>
        <w:spacing w:lineRule="auto" w:line="360" w:before="0" w:after="0"/>
        <w:ind w:hanging="0" w:left="1134"/>
        <w:rPr>
          <w:color w:val="auto"/>
          <w:sz w:val="22"/>
          <w:szCs w:val="22"/>
        </w:rPr>
      </w:pPr>
      <w:bookmarkStart w:id="29" w:name="_Ref114668139"/>
      <w:r>
        <w:rPr>
          <w:color w:val="auto"/>
          <w:sz w:val="22"/>
          <w:szCs w:val="22"/>
        </w:rPr>
        <w:t>não celebrar o contrato ou não entregar a documentação exigida para a contratação, quando convocado dentro do prazo de validade de sua proposta;</w:t>
      </w:r>
      <w:bookmarkEnd w:id="29"/>
    </w:p>
    <w:p>
      <w:pPr>
        <w:pStyle w:val="Nivel4"/>
        <w:numPr>
          <w:ilvl w:val="3"/>
          <w:numId w:val="5"/>
        </w:numPr>
        <w:spacing w:lineRule="auto" w:line="360" w:before="0" w:after="0"/>
        <w:ind w:hanging="0" w:left="1134"/>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hanging="0" w:left="1134"/>
        <w:rPr>
          <w:color w:val="auto"/>
          <w:sz w:val="22"/>
          <w:szCs w:val="22"/>
        </w:rPr>
      </w:pPr>
      <w:bookmarkStart w:id="30" w:name="_Ref114668249"/>
      <w:r>
        <w:rPr>
          <w:color w:val="auto"/>
          <w:sz w:val="22"/>
          <w:szCs w:val="22"/>
        </w:rPr>
        <w:t>apresentar declaração ou documentação falsa exigida para o certame ou prestar declaração falsa durante a licitação</w:t>
      </w:r>
      <w:bookmarkEnd w:id="30"/>
    </w:p>
    <w:p>
      <w:pPr>
        <w:pStyle w:val="Nivel3"/>
        <w:numPr>
          <w:ilvl w:val="2"/>
          <w:numId w:val="5"/>
        </w:numPr>
        <w:spacing w:lineRule="auto" w:line="360" w:before="0" w:after="0"/>
        <w:ind w:hanging="0" w:left="1134"/>
        <w:rPr>
          <w:color w:val="auto"/>
          <w:sz w:val="22"/>
          <w:szCs w:val="22"/>
        </w:rPr>
      </w:pPr>
      <w:bookmarkStart w:id="31" w:name="_Ref114668245"/>
      <w:r>
        <w:rPr>
          <w:color w:val="auto"/>
          <w:sz w:val="22"/>
          <w:szCs w:val="22"/>
        </w:rPr>
        <w:t>fraudar a licitação</w:t>
      </w:r>
      <w:bookmarkEnd w:id="31"/>
    </w:p>
    <w:p>
      <w:pPr>
        <w:pStyle w:val="Nivel3"/>
        <w:numPr>
          <w:ilvl w:val="2"/>
          <w:numId w:val="5"/>
        </w:numPr>
        <w:spacing w:lineRule="auto" w:line="360" w:before="0" w:after="0"/>
        <w:ind w:hanging="0" w:left="1134"/>
        <w:rPr>
          <w:color w:val="auto"/>
          <w:sz w:val="22"/>
          <w:szCs w:val="22"/>
        </w:rPr>
      </w:pPr>
      <w:bookmarkStart w:id="32" w:name="_Ref114668247"/>
      <w:r>
        <w:rPr>
          <w:color w:val="auto"/>
          <w:sz w:val="22"/>
          <w:szCs w:val="22"/>
        </w:rPr>
        <w:t>comportar-se de modo inidôneo ou cometer fraude de qualquer natureza, em especial quando:</w:t>
      </w:r>
      <w:bookmarkEnd w:id="32"/>
    </w:p>
    <w:p>
      <w:pPr>
        <w:pStyle w:val="Nivel4"/>
        <w:numPr>
          <w:ilvl w:val="3"/>
          <w:numId w:val="5"/>
        </w:numPr>
        <w:spacing w:lineRule="auto" w:line="360" w:before="0" w:after="0"/>
        <w:ind w:hanging="0" w:left="1134"/>
        <w:rPr>
          <w:color w:val="auto"/>
          <w:sz w:val="22"/>
          <w:szCs w:val="22"/>
        </w:rPr>
      </w:pPr>
      <w:r>
        <w:rPr>
          <w:color w:val="auto"/>
          <w:sz w:val="22"/>
          <w:szCs w:val="22"/>
        </w:rPr>
        <w:t xml:space="preserve">agir em conluio ou em desconformidade com a lei; </w:t>
      </w:r>
    </w:p>
    <w:p>
      <w:pPr>
        <w:pStyle w:val="Nivel4"/>
        <w:numPr>
          <w:ilvl w:val="3"/>
          <w:numId w:val="5"/>
        </w:numPr>
        <w:spacing w:lineRule="auto" w:line="360" w:before="0" w:after="0"/>
        <w:ind w:hanging="0" w:left="1134"/>
        <w:rPr>
          <w:color w:val="auto"/>
          <w:sz w:val="22"/>
          <w:szCs w:val="22"/>
        </w:rPr>
      </w:pPr>
      <w:r>
        <w:rPr>
          <w:color w:val="auto"/>
          <w:sz w:val="22"/>
          <w:szCs w:val="22"/>
        </w:rPr>
        <w:t xml:space="preserve">induzir deliberadamente a erro no julgamento; </w:t>
      </w:r>
    </w:p>
    <w:p>
      <w:pPr>
        <w:pStyle w:val="Nivel4"/>
        <w:numPr>
          <w:ilvl w:val="3"/>
          <w:numId w:val="5"/>
        </w:numPr>
        <w:spacing w:lineRule="auto" w:line="360" w:before="0" w:after="0"/>
        <w:ind w:hanging="0" w:left="1134"/>
        <w:rPr>
          <w:color w:val="auto"/>
          <w:sz w:val="22"/>
          <w:szCs w:val="22"/>
        </w:rPr>
      </w:pPr>
      <w:r>
        <w:rPr>
          <w:color w:val="auto"/>
          <w:sz w:val="22"/>
          <w:szCs w:val="22"/>
        </w:rPr>
        <w:t xml:space="preserve">apresentar amostra falsificada ou deteriorada; </w:t>
      </w:r>
    </w:p>
    <w:p>
      <w:pPr>
        <w:pStyle w:val="Nivel3"/>
        <w:numPr>
          <w:ilvl w:val="2"/>
          <w:numId w:val="5"/>
        </w:numPr>
        <w:spacing w:lineRule="auto" w:line="360" w:before="0" w:after="0"/>
        <w:ind w:hanging="0" w:left="1134"/>
        <w:rPr>
          <w:color w:val="auto"/>
          <w:sz w:val="22"/>
          <w:szCs w:val="22"/>
        </w:rPr>
      </w:pPr>
      <w:bookmarkStart w:id="33" w:name="_Ref114668251"/>
      <w:r>
        <w:rPr>
          <w:color w:val="auto"/>
          <w:sz w:val="22"/>
          <w:szCs w:val="22"/>
        </w:rPr>
        <w:t>praticar atos ilícitos com vistas a frustrar os objetivos da licitação</w:t>
      </w:r>
      <w:bookmarkEnd w:id="33"/>
    </w:p>
    <w:p>
      <w:pPr>
        <w:pStyle w:val="Nivel3"/>
        <w:numPr>
          <w:ilvl w:val="2"/>
          <w:numId w:val="5"/>
        </w:numPr>
        <w:spacing w:lineRule="auto" w:line="360" w:before="0" w:after="0"/>
        <w:ind w:hanging="0" w:left="1134"/>
        <w:rPr>
          <w:color w:val="auto"/>
          <w:sz w:val="22"/>
          <w:szCs w:val="22"/>
        </w:rPr>
      </w:pPr>
      <w:bookmarkStart w:id="34" w:name="_Ref114668252"/>
      <w:r>
        <w:rPr>
          <w:color w:val="auto"/>
          <w:sz w:val="22"/>
          <w:szCs w:val="22"/>
        </w:rPr>
        <w:t xml:space="preserve">praticar ato lesivo previsto no </w:t>
      </w:r>
      <w:r>
        <w:fldChar w:fldCharType="begin"/>
      </w:r>
      <w:r>
        <w:rPr>
          <w:rStyle w:val="Hyperlink"/>
          <w:sz w:val="22"/>
          <w:szCs w:val="22"/>
          <w:color w:val="auto"/>
        </w:rPr>
        <w:instrText xml:space="preserve"> HYPERLINK "https://www.planalto.gov.br/ccivil_03/_ato2011-2014/2013/lei/l12846.htm" \l "art5"</w:instrText>
      </w:r>
      <w:r>
        <w:rPr>
          <w:rStyle w:val="Hyperlink"/>
          <w:sz w:val="22"/>
          <w:szCs w:val="22"/>
          <w:color w:val="auto"/>
        </w:rPr>
        <w:fldChar w:fldCharType="separate"/>
      </w:r>
      <w:r>
        <w:rPr>
          <w:rStyle w:val="Hyperlink"/>
          <w:color w:val="auto"/>
          <w:sz w:val="22"/>
          <w:szCs w:val="22"/>
        </w:rPr>
        <w:t>art. 5º da Lei n.º 12.846, de 2013</w:t>
      </w:r>
      <w:r>
        <w:rPr>
          <w:rStyle w:val="Hyperlink"/>
          <w:sz w:val="22"/>
          <w:szCs w:val="22"/>
          <w:color w:val="auto"/>
        </w:rPr>
        <w:fldChar w:fldCharType="end"/>
      </w:r>
      <w:r>
        <w:rPr>
          <w:color w:val="auto"/>
          <w:sz w:val="22"/>
          <w:szCs w:val="22"/>
        </w:rPr>
        <w:t>.</w:t>
      </w:r>
      <w:bookmarkEnd w:id="34"/>
    </w:p>
    <w:p>
      <w:pPr>
        <w:pStyle w:val="Nivel2"/>
        <w:numPr>
          <w:ilvl w:val="1"/>
          <w:numId w:val="5"/>
        </w:numPr>
        <w:spacing w:lineRule="auto" w:line="360" w:before="0" w:after="0"/>
        <w:ind w:hanging="0" w:left="0"/>
        <w:rPr>
          <w:color w:val="auto"/>
          <w:sz w:val="22"/>
          <w:szCs w:val="22"/>
        </w:rPr>
      </w:pPr>
      <w:bookmarkStart w:id="35" w:name="_Hlk114652595"/>
      <w:bookmarkEnd w:id="35"/>
      <w:r>
        <w:rPr>
          <w:color w:val="auto"/>
          <w:sz w:val="22"/>
          <w:szCs w:val="22"/>
        </w:rPr>
        <w:t xml:space="preserve">Com fulcro na </w:t>
      </w:r>
      <w:hyperlink r:id="rId10">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hanging="0" w:left="567"/>
        <w:rPr>
          <w:color w:val="auto"/>
          <w:sz w:val="22"/>
          <w:szCs w:val="22"/>
        </w:rPr>
      </w:pPr>
      <w:r>
        <w:rPr>
          <w:color w:val="auto"/>
          <w:sz w:val="22"/>
          <w:szCs w:val="22"/>
        </w:rPr>
        <w:t xml:space="preserve">advertência; </w:t>
      </w:r>
    </w:p>
    <w:p>
      <w:pPr>
        <w:pStyle w:val="Nivel3"/>
        <w:numPr>
          <w:ilvl w:val="2"/>
          <w:numId w:val="5"/>
        </w:numPr>
        <w:spacing w:lineRule="auto" w:line="360" w:before="0" w:after="0"/>
        <w:ind w:hanging="0" w:left="567"/>
        <w:rPr>
          <w:color w:val="auto"/>
          <w:sz w:val="22"/>
          <w:szCs w:val="22"/>
        </w:rPr>
      </w:pPr>
      <w:r>
        <w:rPr>
          <w:color w:val="auto"/>
          <w:sz w:val="22"/>
          <w:szCs w:val="22"/>
        </w:rPr>
        <w:t>multa;</w:t>
      </w:r>
    </w:p>
    <w:p>
      <w:pPr>
        <w:pStyle w:val="Nivel3"/>
        <w:numPr>
          <w:ilvl w:val="2"/>
          <w:numId w:val="5"/>
        </w:numPr>
        <w:spacing w:lineRule="auto" w:line="360" w:before="0" w:after="0"/>
        <w:ind w:hanging="0" w:left="567"/>
        <w:rPr>
          <w:color w:val="auto"/>
          <w:sz w:val="22"/>
          <w:szCs w:val="22"/>
        </w:rPr>
      </w:pPr>
      <w:r>
        <w:rPr>
          <w:color w:val="auto"/>
          <w:sz w:val="22"/>
          <w:szCs w:val="22"/>
        </w:rPr>
        <w:t>impedimento de licitar e contratar e</w:t>
      </w:r>
    </w:p>
    <w:p>
      <w:pPr>
        <w:pStyle w:val="Nivel3"/>
        <w:numPr>
          <w:ilvl w:val="2"/>
          <w:numId w:val="5"/>
        </w:numPr>
        <w:spacing w:lineRule="auto" w:line="360" w:before="0" w:after="0"/>
        <w:ind w:hanging="0" w:left="567"/>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hanging="0" w:left="0"/>
        <w:rPr>
          <w:color w:val="auto"/>
          <w:sz w:val="22"/>
          <w:szCs w:val="22"/>
        </w:rPr>
      </w:pPr>
      <w:r>
        <w:rPr>
          <w:color w:val="auto"/>
          <w:sz w:val="22"/>
          <w:szCs w:val="22"/>
        </w:rPr>
        <w:t>Na aplicação das sanções serão considerados:</w:t>
      </w:r>
    </w:p>
    <w:p>
      <w:pPr>
        <w:pStyle w:val="Nivel3"/>
        <w:numPr>
          <w:ilvl w:val="2"/>
          <w:numId w:val="5"/>
        </w:numPr>
        <w:spacing w:lineRule="auto" w:line="360" w:before="0" w:after="0"/>
        <w:ind w:hanging="0" w:left="567"/>
        <w:rPr>
          <w:color w:val="auto"/>
          <w:sz w:val="22"/>
          <w:szCs w:val="22"/>
        </w:rPr>
      </w:pPr>
      <w:r>
        <w:rPr>
          <w:color w:val="auto"/>
          <w:sz w:val="22"/>
          <w:szCs w:val="22"/>
        </w:rPr>
        <w:t>a natureza e a gravidade da infração cometida.</w:t>
      </w:r>
    </w:p>
    <w:p>
      <w:pPr>
        <w:pStyle w:val="Nivel3"/>
        <w:numPr>
          <w:ilvl w:val="2"/>
          <w:numId w:val="5"/>
        </w:numPr>
        <w:spacing w:lineRule="auto" w:line="360" w:before="0" w:after="0"/>
        <w:ind w:hanging="0" w:left="567"/>
        <w:rPr>
          <w:color w:val="auto"/>
          <w:sz w:val="22"/>
          <w:szCs w:val="22"/>
        </w:rPr>
      </w:pPr>
      <w:r>
        <w:rPr>
          <w:color w:val="auto"/>
          <w:sz w:val="22"/>
          <w:szCs w:val="22"/>
        </w:rPr>
        <w:t>as peculiaridades do caso concreto</w:t>
      </w:r>
    </w:p>
    <w:p>
      <w:pPr>
        <w:pStyle w:val="Nivel3"/>
        <w:numPr>
          <w:ilvl w:val="2"/>
          <w:numId w:val="5"/>
        </w:numPr>
        <w:spacing w:lineRule="auto" w:line="360" w:before="0" w:after="0"/>
        <w:ind w:hanging="0" w:left="567"/>
        <w:rPr>
          <w:color w:val="auto"/>
          <w:sz w:val="22"/>
          <w:szCs w:val="22"/>
        </w:rPr>
      </w:pPr>
      <w:r>
        <w:rPr>
          <w:color w:val="auto"/>
          <w:sz w:val="22"/>
          <w:szCs w:val="22"/>
        </w:rPr>
        <w:t>as circunstâncias agravantes ou atenuantes</w:t>
      </w:r>
    </w:p>
    <w:p>
      <w:pPr>
        <w:pStyle w:val="Nivel3"/>
        <w:numPr>
          <w:ilvl w:val="2"/>
          <w:numId w:val="5"/>
        </w:numPr>
        <w:spacing w:lineRule="auto" w:line="360" w:before="0" w:after="0"/>
        <w:ind w:hanging="0" w:left="567"/>
        <w:rPr>
          <w:color w:val="auto"/>
          <w:sz w:val="22"/>
          <w:szCs w:val="22"/>
        </w:rPr>
      </w:pPr>
      <w:r>
        <w:rPr>
          <w:color w:val="auto"/>
          <w:sz w:val="22"/>
          <w:szCs w:val="22"/>
        </w:rPr>
        <w:t>os danos que dela provierem para a Administração Pública</w:t>
      </w:r>
    </w:p>
    <w:p>
      <w:pPr>
        <w:pStyle w:val="Nivel3"/>
        <w:numPr>
          <w:ilvl w:val="2"/>
          <w:numId w:val="5"/>
        </w:numPr>
        <w:spacing w:lineRule="auto" w:line="360" w:before="0" w:after="0"/>
        <w:ind w:hanging="0" w:left="567"/>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hanging="0" w:left="0"/>
        <w:rPr>
          <w:color w:val="auto"/>
          <w:sz w:val="22"/>
          <w:szCs w:val="22"/>
        </w:rPr>
      </w:pPr>
      <w:r>
        <w:rPr>
          <w:color w:val="auto"/>
          <w:sz w:val="22"/>
          <w:szCs w:val="22"/>
        </w:rPr>
        <w:t xml:space="preserve">A multa será recolhida em percentual de 0,5% a 30% incidente sobre o valor do contrato licitado, recolhida no prazo máximo de 30 (trinta) dias, a contar da comunicação oficial. </w:t>
      </w:r>
    </w:p>
    <w:p>
      <w:pPr>
        <w:pStyle w:val="Nivel3"/>
        <w:numPr>
          <w:ilvl w:val="2"/>
          <w:numId w:val="5"/>
        </w:numPr>
        <w:spacing w:lineRule="auto" w:line="360" w:before="0" w:after="0"/>
        <w:ind w:hanging="0" w:left="0"/>
        <w:rPr>
          <w:color w:val="auto"/>
          <w:sz w:val="22"/>
          <w:szCs w:val="22"/>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a multa será de 0,5% a 15% do valor do contrato licitado.</w:t>
      </w:r>
    </w:p>
    <w:p>
      <w:pPr>
        <w:pStyle w:val="Nivel3"/>
        <w:numPr>
          <w:ilvl w:val="2"/>
          <w:numId w:val="5"/>
        </w:numPr>
        <w:spacing w:lineRule="auto" w:line="360" w:before="0" w:after="0"/>
        <w:ind w:hanging="0" w:left="0"/>
        <w:rPr>
          <w:color w:val="auto"/>
          <w:sz w:val="22"/>
          <w:szCs w:val="22"/>
        </w:rPr>
      </w:pPr>
      <w:bookmarkStart w:id="36" w:name="_Hlk113876035"/>
      <w:bookmarkEnd w:id="36"/>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a multa será de 15% a 30% do valor do contrato licitado.</w:t>
      </w:r>
    </w:p>
    <w:p>
      <w:pPr>
        <w:pStyle w:val="Nivel2"/>
        <w:numPr>
          <w:ilvl w:val="1"/>
          <w:numId w:val="5"/>
        </w:numPr>
        <w:spacing w:lineRule="auto" w:line="360" w:before="0" w:after="0"/>
        <w:ind w:hanging="0"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hanging="0" w:lef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hanging="0" w:left="0"/>
        <w:rPr>
          <w:color w:val="auto"/>
          <w:sz w:val="22"/>
          <w:szCs w:val="22"/>
        </w:rPr>
      </w:pPr>
      <w:bookmarkStart w:id="37" w:name="_Hlk159229867"/>
      <w:bookmarkEnd w:id="37"/>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hanging="0" w:left="0"/>
        <w:rPr>
          <w:color w:val="auto"/>
          <w:sz w:val="22"/>
          <w:szCs w:val="22"/>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auto"/>
        </w:rPr>
        <w:instrText xml:space="preserve"> HYPERLINK "http://www.planalto.gov.br/ccivil_03/_ato2019-2022/2021/lei/L14133.htm" \l "art156%C2%A75"</w:instrText>
      </w:r>
      <w:r>
        <w:rPr>
          <w:rStyle w:val="Hyperlink"/>
          <w:sz w:val="22"/>
          <w:szCs w:val="22"/>
          <w:color w:val="auto"/>
        </w:rPr>
        <w:fldChar w:fldCharType="separate"/>
      </w:r>
      <w:r>
        <w:rPr>
          <w:rStyle w:val="Hyperlink"/>
          <w:color w:val="auto"/>
          <w:sz w:val="22"/>
          <w:szCs w:val="22"/>
        </w:rPr>
        <w:t>art. 156, §5º, da Lei n.º 14.133/2021</w:t>
      </w:r>
      <w:r>
        <w:rPr>
          <w:rStyle w:val="Hyperlink"/>
          <w:sz w:val="22"/>
          <w:szCs w:val="22"/>
          <w:color w:val="auto"/>
        </w:rPr>
        <w:fldChar w:fldCharType="end"/>
      </w:r>
      <w:r>
        <w:rPr>
          <w:color w:val="auto"/>
          <w:sz w:val="22"/>
          <w:szCs w:val="22"/>
        </w:rPr>
        <w:t>.</w:t>
      </w:r>
    </w:p>
    <w:p>
      <w:pPr>
        <w:pStyle w:val="Nivel2"/>
        <w:numPr>
          <w:ilvl w:val="1"/>
          <w:numId w:val="5"/>
        </w:numPr>
        <w:spacing w:lineRule="auto" w:line="360" w:before="0" w:after="0"/>
        <w:ind w:hanging="0" w:left="0"/>
        <w:rPr>
          <w:color w:val="auto"/>
          <w:sz w:val="22"/>
          <w:szCs w:val="22"/>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1">
        <w:r>
          <w:rPr>
            <w:rStyle w:val="Hyperlink"/>
            <w:color w:val="auto"/>
            <w:sz w:val="22"/>
            <w:szCs w:val="22"/>
          </w:rPr>
          <w:t>art. 45, §4º da IN SEGES/ME n.º 73, de 2022</w:t>
        </w:r>
      </w:hyperlink>
      <w:r>
        <w:rPr>
          <w:color w:val="auto"/>
          <w:sz w:val="22"/>
          <w:szCs w:val="22"/>
        </w:rPr>
        <w:t xml:space="preserve">. </w:t>
      </w:r>
    </w:p>
    <w:p>
      <w:pPr>
        <w:pStyle w:val="Nivel2"/>
        <w:numPr>
          <w:ilvl w:val="1"/>
          <w:numId w:val="5"/>
        </w:numPr>
        <w:spacing w:lineRule="auto" w:line="360" w:before="0" w:after="0"/>
        <w:ind w:hanging="0"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hanging="0"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hanging="0"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hanging="0"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hanging="0"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5"/>
        </w:numPr>
        <w:spacing w:lineRule="auto" w:line="360" w:before="0" w:after="0"/>
        <w:ind w:hanging="0" w:left="0"/>
        <w:rPr>
          <w:sz w:val="22"/>
          <w:szCs w:val="22"/>
        </w:rPr>
      </w:pPr>
      <w:r>
        <w:rPr>
          <w:sz w:val="22"/>
          <w:szCs w:val="22"/>
        </w:rPr>
        <w:t>DA IMPUGNAÇÃO AO EDITAL E DO PEDIDO DE ESCLARECIMENTO</w:t>
      </w:r>
    </w:p>
    <w:p>
      <w:pPr>
        <w:pStyle w:val="Nivel2"/>
        <w:numPr>
          <w:ilvl w:val="1"/>
          <w:numId w:val="5"/>
        </w:numPr>
        <w:spacing w:lineRule="auto" w:line="360" w:before="0" w:after="0"/>
        <w:ind w:hanging="0" w:left="0"/>
        <w:rPr>
          <w:color w:val="auto"/>
          <w:sz w:val="22"/>
          <w:szCs w:val="22"/>
        </w:rPr>
      </w:pPr>
      <w:r>
        <w:rPr>
          <w:color w:val="auto"/>
          <w:sz w:val="22"/>
          <w:szCs w:val="22"/>
        </w:rPr>
        <w:t xml:space="preserve">Qualquer pessoa é parte legítima para impugnar este Edital por irregularidade na aplicação da </w:t>
      </w:r>
      <w:hyperlink r:id="rId12">
        <w:r>
          <w:rPr>
            <w:rStyle w:val="Hyperlink"/>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1"/>
          <w:numId w:val="5"/>
        </w:numPr>
        <w:spacing w:lineRule="auto" w:line="360"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hanging="0" w:left="0"/>
        <w:rPr>
          <w:color w:val="auto"/>
          <w:sz w:val="22"/>
          <w:szCs w:val="22"/>
        </w:rPr>
      </w:pPr>
      <w:r>
        <w:rPr>
          <w:color w:val="auto"/>
          <w:sz w:val="22"/>
          <w:szCs w:val="22"/>
        </w:rPr>
        <w:t>A impugnação e o pedido de esclarecimento poderão ser realizados por forma eletrônica, através do sistema da BBMnet ou e-mail; licitacoes@licitacoes.itatiba.sp.gov.br.</w:t>
      </w:r>
    </w:p>
    <w:p>
      <w:pPr>
        <w:pStyle w:val="Nivel2"/>
        <w:numPr>
          <w:ilvl w:val="1"/>
          <w:numId w:val="5"/>
        </w:numPr>
        <w:spacing w:lineRule="auto" w:line="360"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5"/>
        </w:numPr>
        <w:spacing w:lineRule="auto" w:line="360"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hanging="0" w:left="0"/>
        <w:rPr>
          <w:color w:val="auto"/>
          <w:sz w:val="22"/>
          <w:szCs w:val="22"/>
        </w:rPr>
      </w:pPr>
      <w:r>
        <w:rPr>
          <w:color w:val="auto"/>
          <w:sz w:val="22"/>
          <w:szCs w:val="22"/>
        </w:rPr>
        <w:t>Acolhida a impugnação, será definida e publicada nova data para a realização do certame.</w:t>
      </w:r>
    </w:p>
    <w:p>
      <w:pPr>
        <w:pStyle w:val="Nivel2"/>
        <w:tabs>
          <w:tab w:val="clear" w:pos="0"/>
        </w:tabs>
        <w:spacing w:lineRule="auto" w:line="360" w:before="0" w:after="0"/>
        <w:ind w:hanging="0" w:left="0"/>
        <w:rPr>
          <w:color w:val="auto"/>
          <w:sz w:val="22"/>
          <w:szCs w:val="22"/>
        </w:rPr>
      </w:pPr>
      <w:r>
        <w:rPr>
          <w:color w:val="auto"/>
          <w:sz w:val="22"/>
          <w:szCs w:val="22"/>
        </w:rPr>
      </w:r>
    </w:p>
    <w:p>
      <w:pPr>
        <w:pStyle w:val="Nivel01"/>
        <w:numPr>
          <w:ilvl w:val="0"/>
          <w:numId w:val="5"/>
        </w:numPr>
        <w:spacing w:lineRule="auto" w:line="360" w:before="0" w:after="0"/>
        <w:ind w:hanging="0" w:left="0"/>
        <w:rPr>
          <w:sz w:val="22"/>
          <w:szCs w:val="22"/>
        </w:rPr>
      </w:pPr>
      <w:r>
        <w:rPr>
          <w:sz w:val="22"/>
          <w:szCs w:val="22"/>
        </w:rPr>
        <w:t>DAS DISPOSIÇÕES GERAIS</w:t>
      </w:r>
    </w:p>
    <w:p>
      <w:pPr>
        <w:pStyle w:val="Nivel2"/>
        <w:numPr>
          <w:ilvl w:val="1"/>
          <w:numId w:val="5"/>
        </w:numPr>
        <w:spacing w:lineRule="auto" w:line="360" w:before="0" w:after="0"/>
        <w:ind w:hanging="0" w:left="0"/>
        <w:rPr>
          <w:color w:val="auto"/>
          <w:sz w:val="22"/>
          <w:szCs w:val="22"/>
        </w:rPr>
      </w:pPr>
      <w:r>
        <w:rPr>
          <w:color w:val="auto"/>
          <w:sz w:val="22"/>
          <w:szCs w:val="22"/>
        </w:rPr>
        <w:t>Será divulgada ata da sessão pública no sistema eletrônico.</w:t>
      </w:r>
    </w:p>
    <w:p>
      <w:pPr>
        <w:pStyle w:val="Nivel2"/>
        <w:numPr>
          <w:ilvl w:val="1"/>
          <w:numId w:val="5"/>
        </w:numPr>
        <w:spacing w:lineRule="auto" w:line="360"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5"/>
        </w:numPr>
        <w:spacing w:lineRule="auto" w:line="360"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hanging="0" w:left="0"/>
        <w:rPr>
          <w:color w:val="auto"/>
          <w:sz w:val="22"/>
          <w:szCs w:val="22"/>
        </w:rPr>
      </w:pPr>
      <w:r>
        <w:rPr>
          <w:color w:val="auto"/>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hanging="0" w:left="0"/>
        <w:rPr>
          <w:color w:val="auto"/>
          <w:sz w:val="22"/>
          <w:szCs w:val="22"/>
        </w:rPr>
      </w:pPr>
      <w:r>
        <w:rPr>
          <w:color w:val="auto"/>
          <w:sz w:val="22"/>
          <w:szCs w:val="22"/>
        </w:rPr>
        <w:t>Integram este Edital, para todos os fins e efeitos, os seguintes anexos:</w:t>
      </w:r>
    </w:p>
    <w:p>
      <w:pPr>
        <w:pStyle w:val="Nivel3"/>
        <w:numPr>
          <w:ilvl w:val="2"/>
          <w:numId w:val="5"/>
        </w:numPr>
        <w:spacing w:lineRule="auto" w:line="360" w:before="0" w:after="0"/>
        <w:ind w:hanging="0" w:left="567"/>
        <w:rPr>
          <w:color w:val="auto"/>
          <w:sz w:val="22"/>
          <w:szCs w:val="22"/>
        </w:rPr>
      </w:pPr>
      <w:r>
        <w:rPr>
          <w:color w:val="auto"/>
          <w:sz w:val="22"/>
          <w:szCs w:val="22"/>
        </w:rPr>
        <w:t>ANEXO I - Termo de Referência</w:t>
      </w:r>
    </w:p>
    <w:p>
      <w:pPr>
        <w:pStyle w:val="Nivel3"/>
        <w:numPr>
          <w:ilvl w:val="2"/>
          <w:numId w:val="5"/>
        </w:numPr>
        <w:spacing w:lineRule="auto" w:line="360" w:before="0" w:after="0"/>
        <w:ind w:hanging="0" w:left="567" w:right="-54"/>
        <w:rPr>
          <w:color w:val="auto"/>
          <w:sz w:val="22"/>
          <w:szCs w:val="22"/>
        </w:rPr>
      </w:pPr>
      <w:r>
        <w:rPr>
          <w:color w:val="auto"/>
          <w:sz w:val="22"/>
          <w:szCs w:val="22"/>
        </w:rPr>
        <w:t>ANEXO II – Modelo de Procuração</w:t>
      </w:r>
    </w:p>
    <w:p>
      <w:pPr>
        <w:pStyle w:val="Nivel3"/>
        <w:numPr>
          <w:ilvl w:val="2"/>
          <w:numId w:val="5"/>
        </w:numPr>
        <w:spacing w:lineRule="auto" w:line="360" w:before="0" w:after="0"/>
        <w:ind w:hanging="0" w:left="567"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hanging="0" w:left="567" w:right="-54"/>
        <w:rPr>
          <w:color w:val="auto"/>
          <w:sz w:val="22"/>
          <w:szCs w:val="22"/>
        </w:rPr>
      </w:pPr>
      <w:r>
        <w:rPr>
          <w:color w:val="auto"/>
          <w:sz w:val="22"/>
          <w:szCs w:val="22"/>
        </w:rPr>
        <w:t>ANEXO IV – Modelo de Declaração de qualificação microempresa ou empresa de pequeno porte</w:t>
      </w:r>
    </w:p>
    <w:p>
      <w:pPr>
        <w:pStyle w:val="Nivel3"/>
        <w:numPr>
          <w:ilvl w:val="2"/>
          <w:numId w:val="5"/>
        </w:numPr>
        <w:spacing w:lineRule="auto" w:line="360" w:before="0" w:after="0"/>
        <w:ind w:hanging="0" w:left="567"/>
        <w:rPr>
          <w:color w:val="auto"/>
          <w:sz w:val="22"/>
          <w:szCs w:val="22"/>
        </w:rPr>
      </w:pPr>
      <w:r>
        <w:rPr>
          <w:color w:val="auto"/>
          <w:sz w:val="22"/>
          <w:szCs w:val="22"/>
        </w:rPr>
        <w:t>ANEXO V – Modelo de Proposta</w:t>
      </w:r>
    </w:p>
    <w:p>
      <w:pPr>
        <w:pStyle w:val="Nivel3"/>
        <w:numPr>
          <w:ilvl w:val="2"/>
          <w:numId w:val="5"/>
        </w:numPr>
        <w:spacing w:lineRule="auto" w:line="360" w:before="0" w:after="0"/>
        <w:ind w:hanging="0" w:left="567"/>
        <w:rPr>
          <w:color w:val="auto"/>
          <w:sz w:val="22"/>
          <w:szCs w:val="22"/>
        </w:rPr>
      </w:pPr>
      <w:r>
        <w:rPr>
          <w:color w:val="auto"/>
          <w:sz w:val="22"/>
          <w:szCs w:val="22"/>
        </w:rPr>
        <w:t>ANEXO VI - Minuta de Ata de Registro de Preços</w:t>
      </w:r>
    </w:p>
    <w:p>
      <w:pPr>
        <w:pStyle w:val="Nivel3"/>
        <w:numPr>
          <w:ilvl w:val="2"/>
          <w:numId w:val="5"/>
        </w:numPr>
        <w:spacing w:lineRule="auto" w:line="360" w:before="0" w:after="0"/>
        <w:ind w:hanging="0" w:left="567"/>
        <w:rPr>
          <w:sz w:val="22"/>
          <w:szCs w:val="22"/>
        </w:rPr>
      </w:pPr>
      <w:r>
        <w:rPr>
          <w:color w:val="auto"/>
          <w:sz w:val="22"/>
          <w:szCs w:val="22"/>
        </w:rPr>
        <w:t>ANEXO VII – Minuta de Autorização de Fornecimento.</w:t>
      </w:r>
    </w:p>
    <w:p>
      <w:pPr>
        <w:pStyle w:val="Nivel3"/>
        <w:spacing w:lineRule="auto" w:line="360" w:before="0" w:after="0"/>
        <w:ind w:hanging="0" w:left="567"/>
        <w:rPr>
          <w:sz w:val="22"/>
          <w:szCs w:val="22"/>
        </w:rPr>
      </w:pPr>
      <w:r>
        <w:rPr>
          <w:sz w:val="22"/>
          <w:szCs w:val="22"/>
        </w:rPr>
      </w:r>
    </w:p>
    <w:p>
      <w:pPr>
        <w:pStyle w:val="Normal"/>
        <w:spacing w:lineRule="auto" w:line="360"/>
        <w:rPr>
          <w:rFonts w:ascii="Arial" w:hAnsi="Arial" w:eastAsia="MS Mincho;ＭＳ 明朝" w:cs="Arial"/>
          <w:sz w:val="22"/>
          <w:szCs w:val="22"/>
        </w:rPr>
      </w:pPr>
      <w:bookmarkStart w:id="38" w:name="_Hlk82473550"/>
      <w:r>
        <w:rPr>
          <w:rFonts w:eastAsia="MS Mincho;ＭＳ 明朝" w:cs="Arial" w:ascii="Arial" w:hAnsi="Arial"/>
          <w:sz w:val="22"/>
          <w:szCs w:val="22"/>
        </w:rPr>
        <w:t>Itatiba,</w:t>
      </w:r>
      <w:bookmarkEnd w:id="38"/>
      <w:r>
        <w:rPr>
          <w:rFonts w:eastAsia="MS Mincho;ＭＳ 明朝" w:cs="Arial" w:ascii="Arial" w:hAnsi="Arial"/>
          <w:sz w:val="22"/>
          <w:szCs w:val="22"/>
        </w:rPr>
        <w:t xml:space="preserve"> </w:t>
      </w:r>
      <w:r>
        <w:rPr>
          <w:rFonts w:eastAsia="MS Mincho;ＭＳ 明朝" w:cs="Arial" w:ascii="Arial" w:hAnsi="Arial"/>
          <w:sz w:val="22"/>
          <w:szCs w:val="22"/>
        </w:rPr>
        <w:t>03</w:t>
      </w:r>
      <w:r>
        <w:rPr>
          <w:rFonts w:eastAsia="MS Mincho;ＭＳ 明朝" w:cs="Arial" w:ascii="Arial" w:hAnsi="Arial"/>
          <w:sz w:val="22"/>
          <w:szCs w:val="22"/>
        </w:rPr>
        <w:t xml:space="preserve"> de </w:t>
      </w:r>
      <w:r>
        <w:rPr>
          <w:rFonts w:eastAsia="MS Mincho;ＭＳ 明朝" w:cs="Arial" w:ascii="Arial" w:hAnsi="Arial"/>
          <w:sz w:val="22"/>
          <w:szCs w:val="22"/>
        </w:rPr>
        <w:t>dezembro</w:t>
      </w:r>
      <w:r>
        <w:rPr>
          <w:rFonts w:eastAsia="MS Mincho;ＭＳ 明朝" w:cs="Arial" w:ascii="Arial" w:hAnsi="Arial"/>
          <w:sz w:val="22"/>
          <w:szCs w:val="22"/>
        </w:rPr>
        <w:t xml:space="preserve"> de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sz w:val="22"/>
          <w:szCs w:val="22"/>
        </w:rPr>
      </w:pPr>
      <w:r>
        <w:rPr>
          <w:rFonts w:cs="Arial" w:ascii="Arial" w:hAnsi="Arial"/>
          <w:b/>
          <w:bCs/>
          <w:sz w:val="22"/>
          <w:szCs w:val="22"/>
        </w:rPr>
        <w:t>HERMÍNIO GEROMEL JUNIOR</w:t>
      </w:r>
    </w:p>
    <w:p>
      <w:pPr>
        <w:pStyle w:val="Normal"/>
        <w:jc w:val="center"/>
        <w:rPr>
          <w:rFonts w:ascii="Arial" w:hAnsi="Arial" w:cs="Arial"/>
          <w:sz w:val="22"/>
          <w:szCs w:val="22"/>
        </w:rPr>
      </w:pPr>
      <w:r>
        <w:rPr>
          <w:rFonts w:cs="Arial" w:ascii="Arial" w:hAnsi="Arial"/>
          <w:b/>
          <w:bCs/>
          <w:sz w:val="22"/>
          <w:szCs w:val="22"/>
        </w:rPr>
        <w:t>Secretário Municipal de Meio Ambiente e Agricultura</w:t>
      </w:r>
    </w:p>
    <w:p>
      <w:pPr>
        <w:pStyle w:val="Normal"/>
        <w:jc w:val="center"/>
        <w:rPr>
          <w:b/>
          <w:bCs/>
        </w:rPr>
      </w:pPr>
      <w:r>
        <w:rPr>
          <w:b/>
          <w:bCs/>
        </w:rPr>
      </w:r>
    </w:p>
    <w:p>
      <w:pPr>
        <w:pStyle w:val="Normal"/>
        <w:spacing w:lineRule="auto" w:line="360"/>
        <w:jc w:val="center"/>
        <w:rPr>
          <w:rFonts w:ascii="Arial" w:hAnsi="Arial" w:cs="Arial"/>
          <w:b/>
          <w:bCs/>
          <w:color w:val="00000A"/>
          <w:kern w:val="0"/>
          <w:sz w:val="22"/>
          <w:szCs w:val="22"/>
        </w:rPr>
      </w:pPr>
      <w:r>
        <w:rPr>
          <w:rFonts w:cs="Arial" w:ascii="Arial" w:hAnsi="Arial"/>
          <w:b/>
          <w:bCs/>
          <w:color w:val="00000A"/>
          <w:kern w:val="0"/>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cs="Arial"/>
          <w:b/>
          <w:bCs/>
          <w:sz w:val="22"/>
          <w:szCs w:val="22"/>
        </w:rPr>
      </w:pPr>
      <w:r>
        <w:rPr>
          <w:rFonts w:cs="Arial" w:ascii="Arial" w:hAnsi="Arial"/>
          <w:b/>
          <w:bCs/>
          <w:sz w:val="22"/>
          <w:szCs w:val="22"/>
        </w:rPr>
        <w:t>Secretária Municipal de Saúde</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94</w:t>
      </w:r>
      <w:r>
        <w:rPr>
          <w:rFonts w:cs="Arial" w:ascii="Arial" w:hAnsi="Arial"/>
          <w:b/>
          <w:bCs/>
          <w:sz w:val="22"/>
          <w:szCs w:val="22"/>
        </w:rPr>
        <w:t>/2025</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119</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8.149/2025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ivel01"/>
        <w:numPr>
          <w:ilvl w:val="0"/>
          <w:numId w:val="8"/>
        </w:numPr>
        <w:spacing w:lineRule="auto" w:line="360" w:before="120" w:after="288"/>
        <w:rPr>
          <w:sz w:val="22"/>
          <w:szCs w:val="22"/>
        </w:rPr>
      </w:pPr>
      <w:r>
        <w:rPr>
          <w:sz w:val="22"/>
          <w:szCs w:val="22"/>
        </w:rPr>
        <w:t>OBJETO</w:t>
      </w:r>
    </w:p>
    <w:p>
      <w:pPr>
        <w:pStyle w:val="Nivel2"/>
        <w:numPr>
          <w:ilvl w:val="1"/>
          <w:numId w:val="14"/>
        </w:numPr>
        <w:tabs>
          <w:tab w:val="clear" w:pos="0"/>
        </w:tabs>
        <w:spacing w:lineRule="auto" w:line="360" w:before="120" w:after="288"/>
        <w:rPr>
          <w:sz w:val="18"/>
          <w:szCs w:val="18"/>
        </w:rPr>
      </w:pPr>
      <w:r>
        <w:rPr>
          <w:bCs/>
          <w:color w:val="auto"/>
          <w:sz w:val="22"/>
          <w:szCs w:val="22"/>
        </w:rPr>
        <w:t>- Constitui objeto deste Termo de Referência o Registro de Preços pelo prazo de 12 (doze) meses com vistas à eventual aquisição de medicamento e/ou suplementos para a Secretaria de Saúde e em cumprimento à Ação Judicial, e de acordo com as especificações, quantitativos máximos e condições mínimas abaixo apresentadas:</w:t>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4253"/>
        <w:gridCol w:w="851"/>
        <w:gridCol w:w="1133"/>
        <w:gridCol w:w="284"/>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425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5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284" w:type="dxa"/>
            <w:tcBorders>
              <w:top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1.05.01.0043-0 - INSULINA, LISPRO, 100U/ML, INJETÁVEL FRASCO 10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99,94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7.495,50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LISPRO, 100U/ML, INJETÁVEL FRASCO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1.05.01.0054-6 - AMINOFILINA, 24 MG/ML, SOLUÇÃO INJETÁVEL, AMPOLA 10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2.228,55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AMINOFILINA, 24 MG/ML, SOLUÇÃO INJETÁVEL, AMPOLA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1.05.01.0055-4 - MIDAZOLAM, 5 MG/ML, INJETÁVEL, AMPOLA 3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726,25</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MIDAZOLAM, 5 MG/ML, INJETÁVEL, AMPOLA 3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1.05.01.0107-0 - HALOPERIDOL, 5 MG/ML, SOLUÇÃO INJETÁVEL AMPOLA 1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HALOPERIDOL, 5 MG/ML, SOLUÇÃO INJETÁVEL 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1.05.01.0110-0 - AMIODARONA, 50MG/ML, INJETÁVEL AMPOLA 3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1.224,00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AMIODARONA, 50MG/ML, INJETÁVEL AMPOLA 3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1.05.01.0128-3 - DICLOFENACO, SAL SÓDICO, 25MG/ML, SOLUÇÃO INJETÁVEL AMPOLA 3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0,75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DICLOFENACO, SAL SÓDICO, 25MG/ML, SOLUÇÃO INJETÁVEL AMPOLA 3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1.05.01.0162-3 - ENOXAPARINA, 40MG/0,4 ML, INJETÁVEL, SERINGA PRÉ-ENCHIDA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21,82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6.546,00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ENOXAPARINA, 40MG/0,4 ML, INJETÁVEL, SERINGA PRÉ-ENCHIDA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1.05.01.0201-8 - INSULINA DEGLUDECA 100U/ML REFIL 3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124,48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9.336,00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DEGLUDECA 100U/ML REFIL 3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1.05.01.0215-8 - CITRATO DE FENTANILA 50 MCG/ML, SOLUÇÃO INJETÁVEL, AMPOLA 2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562,00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CITRATO DE FENTANILA 50 MCG/ML, SOLUÇÃO INJETÁVEL,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1.05.01.0223-9 - DUPILUMABE 175MG/ML - SERINGA PREENCHIDA COM 1,14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4.214,45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151.720,20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DUPILUMABE 175MG/ML - SERINGA PREENCHIDA COM 1,14 ML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1.05.01.0224-7 - INSULINA, ASPART, 100U/ML, INJETÁVEL FRASCO 10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104,20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3.126,00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ASPART, 100U/ML, INJETÁVEL FRASCO 10 ML</w:t>
            </w:r>
          </w:p>
          <w:p>
            <w:pPr>
              <w:pStyle w:val="Normal"/>
              <w:widowControl w:val="false"/>
              <w:pBdr/>
              <w:rPr>
                <w:rFonts w:ascii="Arial" w:hAnsi="Arial" w:cs="Arial"/>
                <w:sz w:val="18"/>
                <w:szCs w:val="18"/>
              </w:rPr>
            </w:pPr>
            <w:r>
              <w:rPr>
                <w:rFonts w:cs="Arial" w:ascii="Arial" w:hAnsi="Arial"/>
                <w:sz w:val="18"/>
                <w:szCs w:val="18"/>
              </w:rPr>
              <w:t>Marca FIASP - ação judicial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1.05.02.0001-0 - ÁCIDO VALPROICO, 50 MG/ML, XAROPE, FRASCO 100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13.120,00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ÁCIDO VALPROICO, 50 MG/ML, XAROPE,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1.05.02.0004-4 - AZITROMICINA, PÓ P/ SUSPENSÃO ORAL, 200 MG/5ML  FRASCO COM 1 5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6,70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AZITROMICINA, PÓ P/ SUSPENSÃO ORAL, 200 MG/5ML  FRASCO COM 15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1.05.02.0014-1 - DEXCLORFENIRAMINA MALEATO, 0,4 MG/ML, SOLUÇÃO ORAL, FRASCO 1 00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5.075,00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DEXCLORFENIRAMINA MALEATO, 0,4 MG/ML, SOLUÇÃO ORAL,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1.05.02.0017-6 - DIMENIDRINATO, ASSOCIADO COM PIRIDOXINA CLORIDRATO, 25MG + 5 MG/ML, SOLUÇÃO ORAL, GOTAS, FRASCO 20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55.680,00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DIMENIDRINATO, ASSOCIADO COM PIRIDOXINA CLORIDRATO, 25MG + 5MG/ML, SOLUÇÃO ORAL, GOTAS,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1.05.02.0020-6 - HALOPERIDOL, 2 MG/ML, SOLUÇÃO ORAL-GOTAS, FRASCO 20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HALOPERIDOL, 2 MG/ML, SOLUÇÃO ORAL-GOTAS,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1.05.02.0021-4 - IBUPROFENO, 100 MG/ML, SUSPENSÃO ORAL, FRASCO 20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5.280,00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IBUPROFENO, 100 MG/ML, SUSPENSÃO ORAL,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1.05.02.0027-3 - NISTATINA, 100.000 UI/ML, SUSPENSÃO ORAL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7.236,00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NISTATINA, 100.000 UI/ML, SUSPENSÃO ORAL, FRASCO COM NO MÍNIMO 40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1.05.02.0031-1 - TROPICAMIDA, 1%, SOLUÇÃO OFTÁLMICA FRASCO 5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2.022,00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TROPICAMIDA, 1%, SOLUÇÃO OFTÁLMICA FRASCO 5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1.05.02.0094-0 - CLORETO DE POTÁSSIO, 6%, SOLUÇÃO ORAL FRASCO 100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CLORETO DE POTÁSSIO, 6%, SOLUÇÃO ORAL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1.05.02.0134-2 - PREDNISOLONA, 3 MG/ML, SOLUÇÃO ORAL FRASCO 60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8.010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36.685,80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PREDNISOLONA, 3 MG/ML, SOLUÇÃO ORAL FRASCO 60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1.05.02.0187-3 - BICARBONATO DE SÓDIO 8,4%, 84 MG/ML, FRASCO COM 250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108</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23,38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2.525,04</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BICARBONATO DE SÓDIO 8,4%, 84 MG/ML, FRASCO COM 250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1.05.02.0215-2 - UPADACITINIBE 15 MG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CX</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3.065,63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61.312,60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UPADACITINIBE 15 MG</w:t>
            </w:r>
          </w:p>
          <w:p>
            <w:pPr>
              <w:pStyle w:val="Normal"/>
              <w:widowControl w:val="false"/>
              <w:pBdr/>
              <w:rPr>
                <w:rFonts w:ascii="Arial" w:hAnsi="Arial" w:cs="Arial"/>
                <w:sz w:val="18"/>
                <w:szCs w:val="18"/>
              </w:rPr>
            </w:pPr>
            <w:r>
              <w:rPr>
                <w:rFonts w:cs="Arial" w:ascii="Arial" w:hAnsi="Arial"/>
                <w:sz w:val="18"/>
                <w:szCs w:val="18"/>
              </w:rPr>
              <w:t>comprimidos revestidos de liberação controlada.</w:t>
            </w:r>
          </w:p>
          <w:p>
            <w:pPr>
              <w:pStyle w:val="Normal"/>
              <w:widowControl w:val="false"/>
              <w:pBdr/>
              <w:rPr>
                <w:rFonts w:ascii="Arial" w:hAnsi="Arial" w:cs="Arial"/>
                <w:sz w:val="18"/>
                <w:szCs w:val="18"/>
              </w:rPr>
            </w:pPr>
            <w:r>
              <w:rPr>
                <w:rFonts w:cs="Arial" w:ascii="Arial" w:hAnsi="Arial"/>
                <w:sz w:val="18"/>
                <w:szCs w:val="18"/>
              </w:rPr>
              <w:t>embalagem com 30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1.05.03.0003-0 - AZITROMICINA, 500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40.060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0,78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31.246,80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AZITROMICINA, 500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1.05.03.0007-3 - CARBONATO DE LÍTIO, 300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0,29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23.200,00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CARBONATO DE LÍTIO, 300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1.05.03.0008-1 - CIPROFLOXACINO CLORIDRATO, 500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0,19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11.400,00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CIPROFLOXACINO CLORIDRATO, 500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1.05.03.0011-1 - CLORPROMAZINA, 100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0,30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CLORPROMAZINA,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1.05.03.0015-4 - ESTROGÊNIOS CONJUGADOS, 0,625 MG, DRÁGEA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DR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11.270,00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ESTROGÊNIOS CONJUGADOS, 0,625 MG, DRÁGEA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1.05.03.0022-7 - IVERMECTINA, 6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0,33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1.669,80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IVERMECTINA, 6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1.05.03.0024-3 - LEVODOPA, ASSOCIADO À CARBIDOPA, 250MG + 25MG,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0,61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LEVODOPA, ASSOCIADO À CARBIDOPA, 250MG + 25MG,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1.05.03.0040-5 - TRAMADOL CLORIDRATO, 50 MG CÁPSULA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80.030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12.804,80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TRAMADOL CLORIDRATO, 50 MG CÁPSULA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1.05.03.0042-1 - VERAPAMIL CLORIDRATO, 80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0,37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29.600,00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VERAPAMIL CLORIDRATO, 80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1.05.03.0099-5 - SECNIDAZOL, 1.000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0,81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1.620,00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SECNIDAZOL, 1.000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1.05.03.0164-9 - INSULINA, ASPART, 100U/ML, INJETÁVEL TUBETE 3 ML  - REFIL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34,04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27.232,00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ASPART, 100U/ML, INJETÁVEL TUBETE 3 ML - REFIL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1.05.03.0190-8 - CLORIDRATO DE METILFENIDATO 20 MG LA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9,45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17.010,00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CLORIDRATO DE METILFENIDATO 20 MG LA - comprimidos de liberação lenta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1.05.03.0193-2 - CARBAMAZEPINA, 400 MG, LIBERAÇÃO CONTROLADA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5.817,00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CARBAMAZEPINA, 400 MG, LIBERAÇÃO CONTROLADA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1.05.03.0195-9 - ALOPURINOL, 100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0,15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ALOPURINOL,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1.05.03.0198-3 - OMEPRAZOL, 20 MG, CÁPSULA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1.000.030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0,08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80.002,40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OMEPRAZOL, 20 MG, CÁPSULA, em blister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1.05.03.0200-9 - CINARIZINA, 25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0,28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22.400,00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CINARIZINA,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1.05.03.0201-7 - CINARIZINA, 75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0,45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CINARIZINA, 75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1.05.03.0212-2 - FLUCONAZOL, 150 MG, CÁPSULA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0,55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FLUCONAZOL, 150 MG, CÁPSULA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1.05.03.0245-9 - ESPIRONOLACTONA, 100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0,57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17.100,00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ESPIRONOLACTONA,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1.05.03.0254-8 - ISOSSORBIDA, SAL MONONITRATO, 40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0,36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57.600,00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ISOSSORBIDA, SAL MONONITRATO, 40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1.05.03.0270-0 - ESPIRONOLACTONA, 25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ESPIRONOLACTONA,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1.05.03.0376-5 - LEVODOPA, ASSOCIADO À BENSERAZIDA, 200MG + 50MG,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280.000,00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LEVODOPA, ASSOCIADO À BENSERAZIDA, 200MG + 50MG,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1.05.03.0473-7 - LEVONORGESTREL, 0,75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966,00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LEVONORGESTREL, 0,75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1.05.03.0498-2 - METILFENIDATO CLORIDRATO, 36 MG, LIBERAÇÃO CONTROLADA COMPRI 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10,52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4.734,00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METILFENIDATO CLORIDRATO, 36 MG, LIBERAÇÃO CONTROLADA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1.05.03.0530-0 - ANLODIPINO BESILATO, 5 MG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0,03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ANLODIPINO BESILATO, 5 MG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1.05.03.0558-0 - ARIPIPRAZOL, 15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1.410,00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ARIPIPRAZOL, 15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1.05.03.0568-7 - RIVAROXABANA 20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112,50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RIVAROXABANA 20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1.05.03.0578-4 - CASTANHA DA ÍNDIA, 100 mg, CÁPSULA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0,18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144.000,00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CASTANHA DA ÍNDIA, 100 mg, CÁPSULA OU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1.05.03.0581-4 - GLICLAZIDA 30 MG LIBERAÇÃO PROLONGADA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0,12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120.000,00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GLICLAZIDA 30 MG LIBERAÇÃO PROLONGADA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1.05.03.0592-0 - PALIPERIDONA  3 MG COMPRIMIDO REVESTIDO LIBERAÇÃO PROLONGADA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11,84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5.328,00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PALIPERIDONA  3 MG COMPRIMIDO REVESTIDO LIBERAÇÃO PROLONGADA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1.05.03.0599-7 - CLORIDRATO DE MINOCICLINA 100 MG COMPRIMIDO REVESTIDO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1.680,00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CLORIDRATO DE MINOCICLINA 100 MG COMPRIMIDO REVESTIDO</w:t>
            </w:r>
          </w:p>
          <w:p>
            <w:pPr>
              <w:pStyle w:val="Normal"/>
              <w:widowControl w:val="false"/>
              <w:pBdr/>
              <w:rPr>
                <w:rFonts w:ascii="Arial" w:hAnsi="Arial" w:cs="Arial"/>
                <w:sz w:val="18"/>
                <w:szCs w:val="18"/>
              </w:rPr>
            </w:pPr>
            <w:r>
              <w:rPr>
                <w:rFonts w:cs="Arial" w:ascii="Arial" w:hAnsi="Arial"/>
                <w:sz w:val="18"/>
                <w:szCs w:val="18"/>
              </w:rPr>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1.05.03.0605-5 - CARVEDILOL 6,25 MG COMPRIMIDOS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0,10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CARVEDILOL 6,25 MG COMPRIMIDOS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1.05.03.0607-1 - VARFARINA SÓDICA 5 MG COMPRIMIDOS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0,16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VARFARINA SÓDICA 5 MG COMPRIMIDOS</w:t>
            </w:r>
          </w:p>
          <w:p>
            <w:pPr>
              <w:pStyle w:val="Normal"/>
              <w:widowControl w:val="false"/>
              <w:pBdr/>
              <w:rPr>
                <w:rFonts w:ascii="Arial" w:hAnsi="Arial" w:cs="Arial"/>
                <w:sz w:val="18"/>
                <w:szCs w:val="18"/>
              </w:rPr>
            </w:pPr>
            <w:r>
              <w:rPr>
                <w:rFonts w:cs="Arial" w:ascii="Arial" w:hAnsi="Arial"/>
                <w:sz w:val="18"/>
                <w:szCs w:val="18"/>
              </w:rPr>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1.05.03.0608-0 - DIMESILATO DE LISDEXANFETAMINA 70 MG CÁPSULAS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15,00</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13.500,00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DIMESILATO DE LISDEXANFETAMINA 70 MG CÁPSULAS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1.05.03.0617-9 - PIRIMETAMINA 25mg,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0,11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PIRIMETAMINA 25mg,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1.05.04.0001-9 - ÁCIDOS GRAXOS ESSENCIAIS + VITAMINA A E</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1.365,00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ÁCIDOS GRAXOS ESSENCIAIS + VITAMINA A E, LECITINA DE SOJA ÓL EO RESTAURADOR DO EPITÉLIO, FRASCO COM 200 ML, PRODUTO PARA SAÚDE, CLASSE DE RISCO III.</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1.05.04.0004-3 - FIBRINOLISINA, ASSOCIADA COM DESOXIRRIBONUCLEASE E CLORANFEN ICOL, 1U + 666U + 1%</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TB</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32,49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1.949,40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FIBRINOLISINA, ASSOCIADA COM DESOXIRRIBONUCLEASE E CLORANFENICOL, 1U + 666U + 1%, POMADA, BISNAGA 30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1.05.04.0027-2 - CETOCONAZOL, 20 MG/G, CREME TÓPICO BISNAGA 30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TB</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3.006</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9.258,48</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CETOCONAZOL, 20 MG/G, CREME TÓPICO BISNAGA 30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1.05.04.0029-9 - SULFADIAZINA, DE PRATA, 1%, CREME BISNAGA 30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TB</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2.790,00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SULFADIAZINA, DE PRATA, 1%, CREME BISNAGA 30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1.05.06.0003-4 - AMINOFILINA, 100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AMINOFILINA,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1.05.06.0006-9 - AMOXICILINA, 500MG, CÁPSULA OU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180.100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0,22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39.622,00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AMOXICILINA, 500MG, CÁPSULA OU COMPRIMIDO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1.05.06.0014-0 - CEFALEXINA, 500 MG, CÁPSULA</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120.120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0,63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75.675,60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CEFALEXINA, 500 MG, CÁPSULA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1.05.06.0020-4 - DIGOXINA, 0,25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0,18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DIGOXINA, 0,25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1.05.06.0024-7 - FENITOÍNA SÓDICA, 100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0,18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18.000,00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FENITOÍNA SÓDICA,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1.05.06.0025-5 - FENOBARBITAL SÓDICO, 100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0,15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16.500,00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FENOBARBITAL SÓDICO,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1.05.06.0037-9 - BENZOILMETRONIDAZOL, 40 MG/ML, SUSPENSÃO ORAL FRASCO 100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5,66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1.216,90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BENZOILMETRONIDAZOL, 40 MG/ML, SUSPENSÃO ORAL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1.05.06.0040-9 - NIFEDIPINO, 20 MG, RETARD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0,14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23.800,00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NIFEDIPINO, 20 MG, RETARD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1.05.06.0051-4 - SALBUTAMOL, 0,4 MG/ML, XAROPE FRASCO 100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2,06</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SALBUTAMOL, 0,4 MG/ML, XAROPE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1.05.06.0052-2 - SULFAMETOXAZOL, ASSOCIADO À TRIMETOPRIMA, 40MG + 8MG/ML, SUS PENSÃO ORAL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1.602,00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SULFAMETOXAZOL, ASSOCIADO À TRIMETOPRIMA, 40MG + 8MG/ML, SUSPENSÃO ORAL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1.05.06.0055-7 - SULFATO FERROSO, 25MG/ML DE FERRO II, SOLUÇÃO ORAL-GOTAS FRA SCO 30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0,92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1.380,00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SULFATO FERROSO, 25MG/ML DE FERRO II, SOLUÇÃO ORAL-GOTAS FRASCO 30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1.05.06.0057-3 - NISTATINA, 25.000 UI/G, CREME VAGINAL, BISNAGA 60 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TB</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17.525,00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NISTATINA, 25.000 UI/G, CREME VAGINAL, BISNAGA 60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1.05.06.0058-1 - PARACETAMOL, 200 MG/ML, SOLUÇÃO ORAL FRASCO 15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5.560,00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PARACETAMOL, 200 MG/ML, SOLUÇÃO ORAL FRASCO 15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1.05.14.0032-2 - CARVEDILOL 12,5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0,11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17.600,00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CARVEDILOL 12,5 MG COMPRIMIDO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1.05.16.0013-5 - ÁCIDO FOLINICO 15MG</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2.640,00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ÁCIDO FOLINICO 15MG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1.05.16.0016-0 - DOXICICLINA, 100 MG, DRÁGEA OU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2.550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0,52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1.326,00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DOXICICLINA, 100 MG, DRÁGEA OU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1.05.16.0030-5 - CLARITROMICINA, 500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2.736,00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CLARITROMICINA, 500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1.05.16.0031-3 - ITRACONAZOL, 100 MG, CÁPSULA OU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0,77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19.250,00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ITRACONAZOL, 100 MG, CÁPSULA OU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1.05.16.0056-9 - TIAMINA, 300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150.000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0,23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34.500,00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TIAMINA, 300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1.05.16.0060-7 - ESTRADIOL, VALERATO ASSOCIADO COM NORETISTERONA ENANTATO, 5M G + 50MG/1ML, INJETÁVEL, AMPOLA 1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9.870,00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ESTRADIOL, VALERATO ASSOCIADO COM NORETISTERONA ENANTATO, 5MG + 50MG/1ML, INJETÁVEL</w:t>
            </w:r>
          </w:p>
          <w:p>
            <w:pPr>
              <w:pStyle w:val="Normal"/>
              <w:widowControl w:val="false"/>
              <w:pBdr/>
              <w:jc w:val="both"/>
              <w:rPr>
                <w:rFonts w:ascii="Arial" w:hAnsi="Arial" w:cs="Arial"/>
                <w:sz w:val="18"/>
                <w:szCs w:val="18"/>
              </w:rPr>
            </w:pPr>
            <w:r>
              <w:rPr>
                <w:rFonts w:cs="Arial" w:ascii="Arial" w:hAnsi="Arial"/>
                <w:sz w:val="18"/>
                <w:szCs w:val="18"/>
              </w:rPr>
              <w:t>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1.05.17.0036-9 - PITAVASTATINA 4 MG COMPRIMIDOS</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3,09</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1.112,40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PITAVASTATINA 4 MG COMPRIMIDOS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84</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1.05.18.0024-0 - VILDAGLIPTINA, 50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0,57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1.026,00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VILDAGLIPTINA, 50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85</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1.05.18.0025-8 - DIVALPROATO DE SÓDIO, 500 MG, LIBERAÇÃO PROLONGADA COMPRIMID 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2.232,00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DIVALPROATO DE SÓDIO, 500 MG, LIBERAÇÃO PROLONGADA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86</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1.05.18.0029-0 - SUCCINATO DE SOLIFENACINA, 10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3,53</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1.270,80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SUCCINATO DE SOLIFENACINA, 10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1.05.18.0045-2 - INSULINA LISPRO 100U/ML INJETAVEL REFIL 3ML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62,08</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23.590,40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LISPRO 100U/ML INJETAVEL REFIL 3ML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1.05.18.0046-0 - INSULINA, LISPRO ASSOCIADA À LISPRO PROTAMINA, 50% + 50%, IN JETÁVEL TUBETE 3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53,91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10.782,00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LISPRO ASSOCIADA À LISPRO PROTAMINA, 50% + 50%, INJETÁVEL TUBETE 3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89</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1.05.18.0055-0 - INSULINA GLULISINA ,100U/ML, INJETÁVEL TUBETE 3 ML  - REFIL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29,94</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11.976,00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INSULINA GLULISINA ,100U/ML, INJETÁVEL TUBETE 3 ML  - REFIL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1.05.18.0059-2 - INSULINA, ASPART, 100U/ML, INJETÁVEL FRASCO 10 ML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95,02</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7.126,50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ASPART, 100U/ML, INJETÁVEL FRASCO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91</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1.05.18.0074-6 - INSULINA, ASPART, 100U/ML, INJETÁVEL TUBETE 3 ML COM SISTEMA DE APLICAÇÃO PRÉ-PREENCHIDO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49,21</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1.968,40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ASPART, 100U/ML, INJETÁVEL TUBETE 3 ML COM SISTEMA DE APLICAÇÃO PRÉ-PREENCHIDO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92</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1.05.18.0084-3 - INSULINA, GLARGINA, 100UI/ML, INJETÁVEL TUBETE 3 ML - REFIL</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59,47</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59.470,00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GLARGINA, 100UI/ML, INJETÁVEL TUBETE 3 ML - REFIL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w:t>
            </w:r>
          </w:p>
        </w:tc>
        <w:tc>
          <w:tcPr>
            <w:tcW w:w="4253"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1.05.18.0087-8 - METFORMINA CLORIDRATO, ASSOCIADA À VILDAGLIPTINA, 1000 MG + 50 MG COMPRIMIDO</w:t>
            </w:r>
          </w:p>
        </w:tc>
        <w:tc>
          <w:tcPr>
            <w:tcW w:w="851"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3" w:type="dxa"/>
            <w:tcBorders>
              <w:top w:val="single" w:sz="8" w:space="0" w:color="000000"/>
              <w:left w:val="single" w:sz="8" w:space="0" w:color="000000"/>
              <w:bottom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1.800</w:t>
            </w:r>
          </w:p>
        </w:tc>
        <w:tc>
          <w:tcPr>
            <w:tcW w:w="284" w:type="dxa"/>
            <w:tcBorders>
              <w:top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2,25</w:t>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4.050,00</w:t>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METFORMINA CLORIDRATO, ASSOCIADA À VILDAGLIPTINA, 1000 MG + 50 MG COMPRIMIDO</w:t>
            </w:r>
          </w:p>
        </w:tc>
      </w:tr>
    </w:tbl>
    <w:p>
      <w:pPr>
        <w:pStyle w:val="Normal"/>
        <w:jc w:val="both"/>
        <w:rPr>
          <w:rFonts w:ascii="Arial" w:hAnsi="Arial" w:cs="Arial"/>
          <w:sz w:val="18"/>
          <w:szCs w:val="18"/>
        </w:rPr>
      </w:pPr>
      <w:r>
        <w:rPr>
          <w:rFonts w:cs="Arial" w:ascii="Arial" w:hAnsi="Arial"/>
          <w:sz w:val="18"/>
          <w:szCs w:val="18"/>
        </w:rPr>
      </w:r>
    </w:p>
    <w:p>
      <w:pPr>
        <w:pStyle w:val="Nivel2"/>
        <w:tabs>
          <w:tab w:val="clear" w:pos="0"/>
        </w:tabs>
        <w:spacing w:lineRule="auto" w:line="360" w:before="0" w:after="0"/>
        <w:ind w:hanging="0" w:left="0"/>
        <w:rPr>
          <w:b/>
          <w:bCs/>
          <w:color w:val="auto"/>
          <w:sz w:val="22"/>
          <w:szCs w:val="22"/>
        </w:rPr>
      </w:pPr>
      <w:r>
        <w:rPr>
          <w:b/>
          <w:bCs/>
          <w:color w:val="auto"/>
          <w:sz w:val="22"/>
          <w:szCs w:val="22"/>
        </w:rPr>
        <w:t>1.2 – A licitante deverá aplicar o CAP – Coeficiente de Adequação de Preço, determinado pelo CMED (Câmara de Regulação do Mercado de Medicamentos) e atualizado anualmente, nos itens 1, 7, 8, 10, 11, 23, 34, 35, 36, 47, 49, 50, 53, 57, 83, 84, 85, 86, 87, 88, 89, 90, 91, 92 e 93.</w:t>
      </w:r>
    </w:p>
    <w:p>
      <w:pPr>
        <w:pStyle w:val="Normal"/>
        <w:spacing w:lineRule="auto" w:line="360"/>
        <w:jc w:val="both"/>
        <w:rPr>
          <w:rFonts w:ascii="Arial" w:hAnsi="Arial" w:cs="Arial"/>
          <w:b/>
          <w:bCs/>
          <w:sz w:val="22"/>
          <w:szCs w:val="22"/>
        </w:rPr>
      </w:pPr>
      <w:r>
        <w:rPr>
          <w:rFonts w:cs="Arial" w:ascii="Arial" w:hAnsi="Arial"/>
          <w:b/>
          <w:bCs/>
          <w:sz w:val="22"/>
          <w:szCs w:val="22"/>
        </w:rPr>
      </w:r>
    </w:p>
    <w:p>
      <w:pPr>
        <w:pStyle w:val="Normal"/>
        <w:spacing w:lineRule="auto" w:line="360"/>
        <w:jc w:val="both"/>
        <w:rPr>
          <w:rFonts w:ascii="Arial" w:hAnsi="Arial" w:cs="Arial"/>
          <w:sz w:val="22"/>
          <w:szCs w:val="22"/>
        </w:rPr>
      </w:pPr>
      <w:r>
        <w:rPr>
          <w:rFonts w:cs="Arial" w:ascii="Arial" w:hAnsi="Arial"/>
          <w:b/>
          <w:sz w:val="22"/>
          <w:szCs w:val="22"/>
        </w:rPr>
        <w:t>2- DOCUMENTAÇÃO COMPLEMENTAR</w:t>
      </w:r>
      <w:r>
        <w:rPr>
          <w:rFonts w:cs="Arial" w:ascii="Arial" w:hAnsi="Arial"/>
          <w:sz w:val="22"/>
          <w:szCs w:val="22"/>
        </w:rPr>
        <w:t xml:space="preserve"> </w:t>
      </w:r>
    </w:p>
    <w:p>
      <w:pPr>
        <w:pStyle w:val="Normal"/>
        <w:spacing w:lineRule="auto" w:line="360"/>
        <w:jc w:val="both"/>
        <w:rPr>
          <w:rFonts w:ascii="Arial" w:hAnsi="Arial" w:cs="Arial"/>
          <w:sz w:val="22"/>
          <w:szCs w:val="22"/>
        </w:rPr>
      </w:pPr>
      <w:r>
        <w:rPr>
          <w:rFonts w:cs="Arial" w:ascii="Arial" w:hAnsi="Arial"/>
          <w:sz w:val="22"/>
          <w:szCs w:val="22"/>
        </w:rPr>
        <w:t xml:space="preserve">2.1 - O licitante declarado provisoriamente vencedor, nos termos do item 7.18 ou 7.19 do edital, terá o prazo de até 02 (dois) dias úteis, contados da sessão de processamento da licitação, para apresentar mediante protocolo na </w:t>
      </w:r>
      <w:r>
        <w:rPr>
          <w:rFonts w:cs="Arial" w:ascii="Arial" w:hAnsi="Arial"/>
          <w:b/>
          <w:sz w:val="22"/>
          <w:szCs w:val="22"/>
          <w:u w:val="single"/>
        </w:rPr>
        <w:t>Secretaria da Saúde, situada na Rua Marcos Dian, 365 – Jd de Lucca</w:t>
      </w:r>
      <w:r>
        <w:rPr>
          <w:rFonts w:cs="Arial" w:ascii="Arial" w:hAnsi="Arial"/>
          <w:bCs/>
          <w:sz w:val="22"/>
          <w:szCs w:val="22"/>
        </w:rPr>
        <w:t>, aos cuidados do pregoeiro,</w:t>
      </w:r>
      <w:r>
        <w:rPr>
          <w:rFonts w:cs="Arial" w:ascii="Arial" w:hAnsi="Arial"/>
          <w:sz w:val="22"/>
          <w:szCs w:val="22"/>
        </w:rPr>
        <w:t xml:space="preserve"> </w:t>
      </w:r>
      <w:r>
        <w:rPr>
          <w:rFonts w:cs="Arial" w:ascii="Arial" w:hAnsi="Arial"/>
          <w:bCs/>
          <w:sz w:val="22"/>
          <w:szCs w:val="22"/>
        </w:rPr>
        <w:t>os seguintes documentos dos produtos ofertados:</w:t>
      </w:r>
    </w:p>
    <w:p>
      <w:pPr>
        <w:pStyle w:val="Normal"/>
        <w:numPr>
          <w:ilvl w:val="0"/>
          <w:numId w:val="3"/>
        </w:numPr>
        <w:tabs>
          <w:tab w:val="clear" w:pos="709"/>
          <w:tab w:val="left" w:pos="0" w:leader="none"/>
          <w:tab w:val="left" w:pos="993" w:leader="none"/>
        </w:tabs>
        <w:spacing w:lineRule="auto" w:line="360"/>
        <w:ind w:hanging="0" w:left="0"/>
        <w:jc w:val="both"/>
        <w:rPr>
          <w:rFonts w:ascii="Arial" w:hAnsi="Arial" w:cs="Arial"/>
          <w:b/>
          <w:bCs/>
          <w:sz w:val="22"/>
          <w:szCs w:val="22"/>
        </w:rPr>
      </w:pPr>
      <w:r>
        <w:rPr>
          <w:rFonts w:cs="Arial" w:ascii="Arial" w:hAnsi="Arial"/>
          <w:b/>
          <w:bCs/>
          <w:sz w:val="22"/>
          <w:szCs w:val="22"/>
        </w:rPr>
        <w:t>Registro do Produto na ANVISA, atualizado e vigente;</w:t>
      </w:r>
    </w:p>
    <w:p>
      <w:pPr>
        <w:pStyle w:val="Normal"/>
        <w:numPr>
          <w:ilvl w:val="0"/>
          <w:numId w:val="3"/>
        </w:numPr>
        <w:tabs>
          <w:tab w:val="clear" w:pos="709"/>
          <w:tab w:val="left" w:pos="0" w:leader="none"/>
          <w:tab w:val="left" w:pos="993" w:leader="none"/>
        </w:tabs>
        <w:spacing w:lineRule="auto" w:line="360"/>
        <w:ind w:hanging="0" w:left="0"/>
        <w:jc w:val="both"/>
        <w:rPr>
          <w:rFonts w:ascii="Arial" w:hAnsi="Arial" w:cs="Arial"/>
          <w:b/>
          <w:bCs/>
          <w:sz w:val="22"/>
          <w:szCs w:val="22"/>
        </w:rPr>
      </w:pPr>
      <w:r>
        <w:rPr>
          <w:rFonts w:cs="Arial" w:ascii="Arial" w:hAnsi="Arial"/>
          <w:b/>
          <w:bCs/>
          <w:sz w:val="22"/>
          <w:szCs w:val="22"/>
        </w:rPr>
        <w:t>Especificação técnica do produto ofertado que pode ser bula ou informação via internet.</w:t>
      </w:r>
    </w:p>
    <w:p>
      <w:pPr>
        <w:pStyle w:val="Normal"/>
        <w:spacing w:lineRule="auto" w:line="360"/>
        <w:jc w:val="both"/>
        <w:rPr>
          <w:rFonts w:ascii="Arial" w:hAnsi="Arial" w:cs="Arial"/>
          <w:bCs/>
          <w:sz w:val="22"/>
          <w:szCs w:val="22"/>
        </w:rPr>
      </w:pPr>
      <w:r>
        <w:rPr>
          <w:rFonts w:cs="Arial" w:ascii="Arial" w:hAnsi="Arial"/>
          <w:bCs/>
          <w:sz w:val="22"/>
          <w:szCs w:val="22"/>
        </w:rPr>
        <w:t xml:space="preserve">2.2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360"/>
        <w:jc w:val="both"/>
        <w:rPr>
          <w:rFonts w:ascii="Arial" w:hAnsi="Arial" w:cs="Arial"/>
          <w:sz w:val="22"/>
          <w:szCs w:val="22"/>
        </w:rPr>
      </w:pPr>
      <w:r>
        <w:rPr>
          <w:rFonts w:cs="Arial" w:ascii="Arial" w:hAnsi="Arial"/>
          <w:sz w:val="22"/>
          <w:szCs w:val="22"/>
        </w:rPr>
        <w:t>2.3 - Aprovadas as documentações, na retomada da sessão o proponente será definitivamente declarado vencedor, e terá o seu preço registrado na ata que será formalizada, após adjudicação do objeto e homologação do procedimento.</w:t>
      </w:r>
    </w:p>
    <w:p>
      <w:pPr>
        <w:pStyle w:val="Normal"/>
        <w:widowControl w:val="false"/>
        <w:tabs>
          <w:tab w:val="clear" w:pos="709"/>
          <w:tab w:val="center" w:pos="327" w:leader="none"/>
          <w:tab w:val="left" w:pos="695" w:leader="none"/>
          <w:tab w:val="center" w:pos="4602" w:leader="none"/>
          <w:tab w:val="right" w:pos="6140" w:leader="none"/>
        </w:tabs>
        <w:spacing w:lineRule="auto" w:line="360"/>
        <w:jc w:val="both"/>
        <w:rPr>
          <w:rFonts w:ascii="Arial" w:hAnsi="Arial" w:cs="Arial"/>
          <w:b/>
          <w:sz w:val="22"/>
          <w:szCs w:val="22"/>
        </w:rPr>
      </w:pPr>
      <w:r>
        <w:rPr>
          <w:rFonts w:cs="Arial" w:ascii="Arial" w:hAnsi="Arial"/>
          <w:b/>
          <w:sz w:val="22"/>
          <w:szCs w:val="22"/>
        </w:rPr>
      </w:r>
    </w:p>
    <w:p>
      <w:pPr>
        <w:pStyle w:val="Normal"/>
        <w:widowControl w:val="false"/>
        <w:tabs>
          <w:tab w:val="clear" w:pos="709"/>
          <w:tab w:val="center" w:pos="327" w:leader="none"/>
          <w:tab w:val="left" w:pos="695" w:leader="none"/>
          <w:tab w:val="center" w:pos="4602" w:leader="none"/>
          <w:tab w:val="right" w:pos="6140" w:leader="none"/>
        </w:tabs>
        <w:spacing w:lineRule="auto" w:line="360"/>
        <w:jc w:val="both"/>
        <w:rPr>
          <w:rFonts w:ascii="Arial" w:hAnsi="Arial" w:cs="Arial"/>
          <w:b/>
          <w:sz w:val="22"/>
          <w:szCs w:val="22"/>
        </w:rPr>
      </w:pPr>
      <w:r>
        <w:rPr>
          <w:rFonts w:cs="Arial" w:ascii="Arial" w:hAnsi="Arial"/>
          <w:b/>
          <w:sz w:val="22"/>
          <w:szCs w:val="22"/>
        </w:rPr>
        <w:t>3 - DA VALIDADE DOS MEDICAMENTOS</w:t>
      </w:r>
    </w:p>
    <w:p>
      <w:pPr>
        <w:pStyle w:val="Normal"/>
        <w:widowControl w:val="false"/>
        <w:tabs>
          <w:tab w:val="clear" w:pos="709"/>
          <w:tab w:val="center" w:pos="327" w:leader="none"/>
          <w:tab w:val="left" w:pos="695" w:leader="none"/>
          <w:tab w:val="center" w:pos="4602" w:leader="none"/>
          <w:tab w:val="right" w:pos="6140" w:leader="none"/>
        </w:tabs>
        <w:spacing w:lineRule="auto" w:line="360"/>
        <w:jc w:val="both"/>
        <w:rPr>
          <w:rFonts w:ascii="Arial" w:hAnsi="Arial" w:cs="Arial"/>
          <w:sz w:val="22"/>
          <w:szCs w:val="22"/>
        </w:rPr>
      </w:pPr>
      <w:r>
        <w:rPr>
          <w:rFonts w:cs="Arial" w:ascii="Arial" w:hAnsi="Arial"/>
          <w:sz w:val="22"/>
          <w:szCs w:val="22"/>
        </w:rPr>
        <w:tab/>
        <w:t>3.1-</w:t>
      </w:r>
      <w:r>
        <w:rPr>
          <w:rFonts w:cs="Arial" w:ascii="Arial" w:hAnsi="Arial"/>
          <w:b/>
          <w:sz w:val="22"/>
          <w:szCs w:val="22"/>
        </w:rPr>
        <w:t xml:space="preserve"> </w:t>
      </w:r>
      <w:r>
        <w:rPr>
          <w:rFonts w:cs="Arial" w:ascii="Arial" w:hAnsi="Arial"/>
          <w:sz w:val="22"/>
          <w:szCs w:val="22"/>
        </w:rPr>
        <w:t>A validade dos medicamentos deverá ser superior a 18 (dezoito) meses da data de entrega.</w:t>
      </w:r>
    </w:p>
    <w:p>
      <w:pPr>
        <w:pStyle w:val="Normal"/>
        <w:spacing w:lineRule="auto" w:line="360"/>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b/>
          <w:sz w:val="22"/>
          <w:szCs w:val="22"/>
        </w:rPr>
      </w:pPr>
      <w:r>
        <w:rPr>
          <w:rFonts w:cs="Arial" w:ascii="Arial" w:hAnsi="Arial"/>
          <w:b/>
          <w:sz w:val="22"/>
          <w:szCs w:val="22"/>
        </w:rPr>
        <w:t>4 – PRAZOS</w:t>
      </w:r>
    </w:p>
    <w:p>
      <w:pPr>
        <w:pStyle w:val="Corpodetexto21"/>
        <w:spacing w:lineRule="auto" w:line="360" w:before="0" w:after="0"/>
        <w:jc w:val="both"/>
        <w:rPr>
          <w:rFonts w:ascii="Arial" w:hAnsi="Arial" w:cs="Arial"/>
          <w:sz w:val="22"/>
          <w:szCs w:val="22"/>
        </w:rPr>
      </w:pPr>
      <w:r>
        <w:rPr>
          <w:rFonts w:cs="Arial" w:ascii="Arial" w:hAnsi="Arial"/>
          <w:sz w:val="22"/>
          <w:szCs w:val="22"/>
        </w:rPr>
        <w:t>4.1 - Os quantitativos totais expressos neste Anexo, são estimados e representa a previsão da Secretaria requisitante, pelo prazo de 12 (doze) meses.</w:t>
      </w:r>
    </w:p>
    <w:p>
      <w:pPr>
        <w:pStyle w:val="Corpodetexto32"/>
        <w:spacing w:lineRule="auto" w:line="360"/>
        <w:rPr>
          <w:rFonts w:ascii="Arial" w:hAnsi="Arial" w:cs="Arial"/>
          <w:sz w:val="22"/>
          <w:szCs w:val="22"/>
        </w:rPr>
      </w:pPr>
      <w:r>
        <w:rPr>
          <w:rFonts w:cs="Arial" w:ascii="Arial" w:hAnsi="Arial"/>
          <w:sz w:val="22"/>
          <w:szCs w:val="22"/>
        </w:rPr>
        <w:t xml:space="preserve">4.2 – A entrega dos itens efetivamente contratados deverá ser efetuada em até 10 (dez) dias após a expedição da Autorização de Fornecimento, contando-se o prazo a partir da comunicação formal ao licitante vencedor que será efetuada via fax ou outro meio hábil. </w:t>
      </w:r>
    </w:p>
    <w:p>
      <w:pPr>
        <w:pStyle w:val="Normal"/>
        <w:spacing w:lineRule="auto" w:line="360"/>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b/>
          <w:sz w:val="22"/>
          <w:szCs w:val="22"/>
        </w:rPr>
      </w:pPr>
      <w:r>
        <w:rPr>
          <w:rFonts w:cs="Arial" w:ascii="Arial" w:hAnsi="Arial"/>
          <w:b/>
          <w:sz w:val="22"/>
          <w:szCs w:val="22"/>
        </w:rPr>
        <w:t>5 –CONDIÇÕES DE ENTREGA E RECEBIMENTO</w:t>
      </w:r>
    </w:p>
    <w:p>
      <w:pPr>
        <w:pStyle w:val="western"/>
        <w:spacing w:lineRule="auto" w:line="360" w:before="0" w:after="0"/>
        <w:jc w:val="both"/>
        <w:rPr>
          <w:rFonts w:ascii="Arial" w:hAnsi="Arial" w:cs="Arial"/>
          <w:sz w:val="22"/>
          <w:szCs w:val="22"/>
        </w:rPr>
      </w:pPr>
      <w:r>
        <w:rPr>
          <w:rFonts w:cs="Arial" w:ascii="Arial" w:hAnsi="Arial"/>
          <w:sz w:val="22"/>
          <w:szCs w:val="22"/>
        </w:rPr>
        <w:t>5.1 - Os medicamentos deverão ser entregues no ALMOXARIFADO FARMACÊUTICO, situada na Avenida Senador Lacerda Franco, 427 – Centro, Itatiba/SP. O horário de recebimento é de segunda a sexta das 07:30h às 11:30h e das 13:00h às 15:30h.</w:t>
      </w:r>
    </w:p>
    <w:p>
      <w:pPr>
        <w:pStyle w:val="western"/>
        <w:spacing w:lineRule="auto" w:line="360" w:before="0" w:after="0"/>
        <w:jc w:val="both"/>
        <w:rPr>
          <w:rFonts w:ascii="Arial" w:hAnsi="Arial" w:cs="Arial"/>
          <w:sz w:val="22"/>
          <w:szCs w:val="22"/>
        </w:rPr>
      </w:pPr>
      <w:r>
        <w:rPr>
          <w:rFonts w:cs="Arial" w:ascii="Arial" w:hAnsi="Arial"/>
          <w:sz w:val="22"/>
          <w:szCs w:val="22"/>
        </w:rPr>
        <w:t>5.2 -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5.3 -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vel2-Red"/>
        <w:tabs>
          <w:tab w:val="clear" w:pos="0"/>
        </w:tabs>
        <w:spacing w:lineRule="auto" w:line="360" w:before="0" w:after="0"/>
        <w:rPr>
          <w:color w:val="auto"/>
          <w:sz w:val="22"/>
          <w:szCs w:val="22"/>
        </w:rPr>
      </w:pPr>
      <w:r>
        <w:rPr>
          <w:color w:val="auto"/>
          <w:sz w:val="22"/>
          <w:szCs w:val="22"/>
        </w:rPr>
      </w:r>
    </w:p>
    <w:p>
      <w:pPr>
        <w:pStyle w:val="Nivel01"/>
        <w:numPr>
          <w:ilvl w:val="0"/>
          <w:numId w:val="10"/>
        </w:numPr>
        <w:spacing w:lineRule="auto" w:line="360" w:before="0" w:after="0"/>
        <w:ind w:hanging="0" w:left="0"/>
        <w:rPr>
          <w:sz w:val="22"/>
          <w:szCs w:val="22"/>
        </w:rPr>
      </w:pPr>
      <w:r>
        <w:rPr>
          <w:sz w:val="22"/>
          <w:szCs w:val="22"/>
        </w:rPr>
        <w:t xml:space="preserve"> </w:t>
      </w:r>
      <w:r>
        <w:rPr>
          <w:sz w:val="22"/>
          <w:szCs w:val="22"/>
        </w:rPr>
        <w:t>CONTRATO</w:t>
      </w:r>
    </w:p>
    <w:p>
      <w:pPr>
        <w:pStyle w:val="Nivel2"/>
        <w:numPr>
          <w:ilvl w:val="1"/>
          <w:numId w:val="4"/>
        </w:numPr>
        <w:spacing w:lineRule="auto" w:line="360" w:before="0" w:after="0"/>
        <w:ind w:hanging="0" w:left="0"/>
        <w:rPr>
          <w:color w:val="auto"/>
          <w:sz w:val="22"/>
          <w:szCs w:val="22"/>
        </w:rPr>
      </w:pPr>
      <w:r>
        <w:rPr>
          <w:rFonts w:eastAsia="Arial"/>
          <w:color w:val="auto"/>
          <w:sz w:val="22"/>
          <w:szCs w:val="22"/>
        </w:rPr>
        <w:t xml:space="preserve"> </w:t>
      </w:r>
      <w:r>
        <w:rPr>
          <w:color w:val="auto"/>
          <w:sz w:val="22"/>
          <w:szCs w:val="22"/>
        </w:rPr>
        <w:t xml:space="preserve">-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tabs>
          <w:tab w:val="clear" w:pos="0"/>
        </w:tabs>
        <w:spacing w:lineRule="auto" w:line="360" w:before="0" w:after="0"/>
        <w:ind w:hanging="0" w:left="0"/>
        <w:rPr>
          <w:color w:val="auto"/>
          <w:sz w:val="22"/>
          <w:szCs w:val="22"/>
          <w:highlight w:val="yellow"/>
        </w:rPr>
      </w:pPr>
      <w:r>
        <w:rPr>
          <w:color w:val="auto"/>
          <w:sz w:val="22"/>
          <w:szCs w:val="22"/>
          <w:highlight w:val="yellow"/>
        </w:rPr>
      </w:r>
    </w:p>
    <w:p>
      <w:pPr>
        <w:pStyle w:val="Nivel01"/>
        <w:numPr>
          <w:ilvl w:val="0"/>
          <w:numId w:val="4"/>
        </w:numPr>
        <w:spacing w:lineRule="auto" w:line="360" w:before="0" w:after="0"/>
        <w:ind w:hanging="0" w:left="0"/>
        <w:rPr>
          <w:sz w:val="22"/>
          <w:szCs w:val="22"/>
        </w:rPr>
      </w:pPr>
      <w:r>
        <w:rPr>
          <w:sz w:val="22"/>
          <w:szCs w:val="22"/>
        </w:rPr>
        <w:t>CRITÉRIOS DE PAGAMENTO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7.1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7.2 Os pagamentos serão realizados mediante procedimento bancário, em conta do fornecedor contratado.</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7.3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6.1. </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t xml:space="preserve">7.4 Quaisquer pagamentos não isentarão a Contratada das responsabilidades contratuais. </w:t>
      </w:r>
    </w:p>
    <w:p>
      <w:pPr>
        <w:pStyle w:val="Normal"/>
        <w:spacing w:lineRule="auto" w:line="360"/>
        <w:jc w:val="both"/>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360"/>
        <w:jc w:val="both"/>
        <w:rPr/>
      </w:pPr>
      <w:r>
        <w:rPr>
          <w:rFonts w:eastAsia="Arial" w:cs="Arial" w:ascii="Arial" w:hAnsi="Arial"/>
          <w:b/>
          <w:color w:val="000000"/>
          <w:sz w:val="22"/>
          <w:szCs w:val="22"/>
        </w:rPr>
        <w:t>8 - OBRIGAÇÕES DA CONTRATANTE</w:t>
      </w:r>
    </w:p>
    <w:p>
      <w:pPr>
        <w:pStyle w:val="Normal"/>
        <w:spacing w:lineRule="auto" w:line="360"/>
        <w:jc w:val="both"/>
        <w:rPr/>
      </w:pPr>
      <w:r>
        <w:rPr>
          <w:rFonts w:eastAsia="Arial" w:cs="Arial" w:ascii="Arial" w:hAnsi="Arial"/>
          <w:color w:val="000000"/>
          <w:sz w:val="22"/>
          <w:szCs w:val="22"/>
        </w:rPr>
        <w:t>8.1 -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before="0" w:after="0"/>
        <w:ind w:left="0"/>
        <w:jc w:val="both"/>
        <w:rPr>
          <w:rFonts w:ascii="Arial" w:hAnsi="Arial" w:eastAsia="Arial" w:cs="Arial"/>
          <w:b/>
          <w:color w:val="000000"/>
        </w:rPr>
      </w:pPr>
      <w:r>
        <w:rPr>
          <w:rFonts w:eastAsia="Arial" w:cs="Arial" w:ascii="Arial" w:hAnsi="Arial"/>
          <w:b/>
          <w:color w:val="000000"/>
        </w:rPr>
      </w:r>
    </w:p>
    <w:p>
      <w:pPr>
        <w:pStyle w:val="ListParagraph"/>
        <w:widowControl w:val="false"/>
        <w:tabs>
          <w:tab w:val="left" w:pos="0" w:leader="none"/>
          <w:tab w:val="left" w:pos="709" w:leader="none"/>
        </w:tabs>
        <w:spacing w:lineRule="auto" w:line="360" w:before="0" w:after="0"/>
        <w:ind w:left="0"/>
        <w:jc w:val="both"/>
        <w:rPr/>
      </w:pPr>
      <w:r>
        <w:rPr>
          <w:rFonts w:eastAsia="Arial" w:cs="Arial" w:ascii="Arial" w:hAnsi="Arial"/>
          <w:b/>
          <w:color w:val="000000"/>
        </w:rPr>
        <w:t>9 - DAS OBRIGAÇÕES DA CONTRATADA</w:t>
      </w:r>
    </w:p>
    <w:p>
      <w:pPr>
        <w:pStyle w:val="ListParagraph"/>
        <w:spacing w:lineRule="auto" w:line="360" w:before="0" w:after="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pPr>
      <w:r>
        <w:rPr>
          <w:rFonts w:eastAsia="Arial" w:cs="Arial" w:ascii="Arial" w:hAnsi="Arial"/>
          <w:color w:val="000000"/>
        </w:rPr>
        <w:t>b) - Responsabilizar-se pelos vícios e danos decorrentes do objeto, de acordo com o Código de Defesa do Consumidor (</w:t>
      </w:r>
      <w:hyperlink r:id="rId13">
        <w:r>
          <w:rPr>
            <w:rStyle w:val="Hyperlink"/>
            <w:rFonts w:eastAsia="Arial"/>
          </w:rPr>
          <w:t>Lei nº 8.078, de 1990</w:t>
        </w:r>
      </w:hyperlink>
      <w:r>
        <w:rPr>
          <w:rFonts w:eastAsia="Arial" w:cs="Arial" w:ascii="Arial" w:hAnsi="Arial"/>
          <w:color w:val="000000"/>
        </w:rPr>
        <w:t>);</w:t>
      </w:r>
    </w:p>
    <w:p>
      <w:pPr>
        <w:pStyle w:val="ListParagraph"/>
        <w:spacing w:lineRule="auto" w:line="360" w:before="0" w:after="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360"/>
        <w:jc w:val="both"/>
        <w:rPr/>
      </w:pPr>
      <w:r>
        <w:rPr>
          <w:rFonts w:eastAsia="Arial" w:cs="Arial" w:ascii="Arial" w:hAnsi="Arial"/>
          <w:b/>
          <w:color w:val="000000"/>
          <w:sz w:val="22"/>
          <w:szCs w:val="22"/>
        </w:rPr>
        <w:t>10 - GARANTIA CONTRATUAL</w:t>
      </w:r>
    </w:p>
    <w:p>
      <w:pPr>
        <w:pStyle w:val="Normal"/>
        <w:spacing w:lineRule="auto" w:line="360"/>
        <w:jc w:val="both"/>
        <w:rPr/>
      </w:pPr>
      <w:r>
        <w:rPr>
          <w:rFonts w:eastAsia="Arial" w:cs="Arial" w:ascii="Arial" w:hAnsi="Arial"/>
          <w:color w:val="000000"/>
          <w:sz w:val="22"/>
          <w:szCs w:val="22"/>
        </w:rPr>
        <w:t>10.1 -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pPr>
      <w:r>
        <w:rPr>
          <w:rFonts w:cs="Arial" w:ascii="Arial" w:hAnsi="Arial"/>
          <w:b/>
          <w:sz w:val="22"/>
          <w:szCs w:val="22"/>
        </w:rPr>
        <w:t>11 – SANÇÕES</w:t>
      </w:r>
    </w:p>
    <w:p>
      <w:pPr>
        <w:pStyle w:val="Nivel2"/>
        <w:tabs>
          <w:tab w:val="clear" w:pos="0"/>
        </w:tabs>
        <w:spacing w:lineRule="auto" w:line="360" w:before="0" w:after="0"/>
        <w:ind w:hanging="0" w:left="0"/>
        <w:rPr/>
      </w:pPr>
      <w:r>
        <w:rPr>
          <w:sz w:val="22"/>
          <w:szCs w:val="22"/>
        </w:rPr>
        <w:t xml:space="preserve">11.1 - Comete infração administrativa, nos termos da </w:t>
      </w:r>
      <w:hyperlink r:id="rId14">
        <w:r>
          <w:rPr>
            <w:rStyle w:val="Hyperlink"/>
            <w:szCs w:val="22"/>
          </w:rPr>
          <w:t>Lei nº 14.133, de 2021</w:t>
        </w:r>
      </w:hyperlink>
      <w:r>
        <w:rPr>
          <w:sz w:val="22"/>
          <w:szCs w:val="22"/>
        </w:rPr>
        <w:t>, o contratado que:</w:t>
      </w:r>
    </w:p>
    <w:p>
      <w:pPr>
        <w:pStyle w:val="Normal"/>
        <w:tabs>
          <w:tab w:val="clear" w:pos="709"/>
          <w:tab w:val="left" w:pos="0" w:leader="none"/>
        </w:tabs>
        <w:spacing w:lineRule="auto" w:line="360"/>
        <w:jc w:val="both"/>
        <w:rPr/>
      </w:pPr>
      <w:r>
        <w:rPr>
          <w:rFonts w:eastAsia="Arial" w:cs="Arial" w:ascii="Arial" w:hAnsi="Arial"/>
          <w:sz w:val="22"/>
          <w:szCs w:val="22"/>
        </w:rPr>
        <w:t>a) der causa à inexecução parcial do contrato;</w:t>
      </w:r>
    </w:p>
    <w:p>
      <w:pPr>
        <w:pStyle w:val="Normal"/>
        <w:tabs>
          <w:tab w:val="clear" w:pos="709"/>
          <w:tab w:val="left" w:pos="0" w:leader="none"/>
        </w:tabs>
        <w:spacing w:lineRule="auto" w:line="360"/>
        <w:jc w:val="both"/>
        <w:rPr/>
      </w:pPr>
      <w:r>
        <w:rPr>
          <w:rFonts w:eastAsia="Arial" w:cs="Arial" w:ascii="Arial" w:hAnsi="Arial"/>
          <w:sz w:val="22"/>
          <w:szCs w:val="22"/>
        </w:rPr>
        <w:t>b) der causa à inexecução parcial do contrato que cause grave dano à Administração ou ao funcionamento dos serviços públicos ou ao interesse coletivo;</w:t>
      </w:r>
    </w:p>
    <w:p>
      <w:pPr>
        <w:pStyle w:val="Normal"/>
        <w:tabs>
          <w:tab w:val="clear" w:pos="709"/>
          <w:tab w:val="left" w:pos="0" w:leader="none"/>
        </w:tabs>
        <w:spacing w:lineRule="auto" w:line="360"/>
        <w:jc w:val="both"/>
        <w:rPr/>
      </w:pPr>
      <w:r>
        <w:rPr>
          <w:rFonts w:eastAsia="Arial" w:cs="Arial" w:ascii="Arial" w:hAnsi="Arial"/>
          <w:sz w:val="22"/>
          <w:szCs w:val="22"/>
        </w:rPr>
        <w:t>c) der causa à inexecução total do contrato;</w:t>
      </w:r>
    </w:p>
    <w:p>
      <w:pPr>
        <w:pStyle w:val="Normal"/>
        <w:tabs>
          <w:tab w:val="clear" w:pos="709"/>
          <w:tab w:val="left" w:pos="0" w:leader="none"/>
        </w:tabs>
        <w:spacing w:lineRule="auto" w:line="360"/>
        <w:jc w:val="both"/>
        <w:rPr/>
      </w:pPr>
      <w:r>
        <w:rPr>
          <w:rFonts w:eastAsia="Arial" w:cs="Arial" w:ascii="Arial" w:hAnsi="Arial"/>
          <w:sz w:val="22"/>
          <w:szCs w:val="22"/>
        </w:rPr>
        <w:t>d) ensejar o retardamento da execução ou da entrega do objeto da contratação sem motivo justificado;</w:t>
      </w:r>
    </w:p>
    <w:p>
      <w:pPr>
        <w:pStyle w:val="Normal"/>
        <w:tabs>
          <w:tab w:val="clear" w:pos="709"/>
          <w:tab w:val="left" w:pos="0" w:leader="none"/>
        </w:tabs>
        <w:spacing w:lineRule="auto" w:line="360"/>
        <w:jc w:val="both"/>
        <w:rPr/>
      </w:pPr>
      <w:r>
        <w:rPr>
          <w:rFonts w:eastAsia="Arial" w:cs="Arial" w:ascii="Arial" w:hAnsi="Arial"/>
          <w:sz w:val="22"/>
          <w:szCs w:val="22"/>
        </w:rPr>
        <w:t>e) apresentar documentação falsa ou prestar declaração falsa durante a execução do contrato;</w:t>
      </w:r>
    </w:p>
    <w:p>
      <w:pPr>
        <w:pStyle w:val="Normal"/>
        <w:tabs>
          <w:tab w:val="clear" w:pos="709"/>
          <w:tab w:val="left" w:pos="0" w:leader="none"/>
        </w:tabs>
        <w:spacing w:lineRule="auto" w:line="360"/>
        <w:jc w:val="both"/>
        <w:rPr/>
      </w:pPr>
      <w:r>
        <w:rPr>
          <w:rFonts w:eastAsia="Arial" w:cs="Arial" w:ascii="Arial" w:hAnsi="Arial"/>
          <w:sz w:val="22"/>
          <w:szCs w:val="22"/>
        </w:rPr>
        <w:t>f) praticar ato fraudulento na execução do contrato;</w:t>
      </w:r>
    </w:p>
    <w:p>
      <w:pPr>
        <w:pStyle w:val="Normal"/>
        <w:tabs>
          <w:tab w:val="clear" w:pos="709"/>
          <w:tab w:val="left" w:pos="0" w:leader="none"/>
        </w:tabs>
        <w:spacing w:lineRule="auto" w:line="360"/>
        <w:jc w:val="both"/>
        <w:rPr/>
      </w:pPr>
      <w:r>
        <w:rPr>
          <w:rFonts w:eastAsia="Arial" w:cs="Arial" w:ascii="Arial" w:hAnsi="Arial"/>
          <w:sz w:val="22"/>
          <w:szCs w:val="22"/>
        </w:rPr>
        <w:t>g) comportar-se de modo inidôneo ou cometer fraude de qualquer natureza;</w:t>
      </w:r>
    </w:p>
    <w:p>
      <w:pPr>
        <w:pStyle w:val="Normal"/>
        <w:tabs>
          <w:tab w:val="clear" w:pos="709"/>
          <w:tab w:val="left" w:pos="0" w:leader="none"/>
        </w:tabs>
        <w:spacing w:lineRule="auto" w:line="360"/>
        <w:jc w:val="both"/>
        <w:rPr/>
      </w:pPr>
      <w:r>
        <w:rPr>
          <w:rFonts w:eastAsia="Arial" w:cs="Arial" w:ascii="Arial" w:hAnsi="Arial"/>
          <w:sz w:val="22"/>
          <w:szCs w:val="22"/>
        </w:rPr>
        <w:t xml:space="preserve">h) praticar ato lesivo previsto no </w:t>
      </w:r>
      <w:r>
        <w:fldChar w:fldCharType="begin"/>
      </w:r>
      <w:r>
        <w:rPr>
          <w:rStyle w:val="Hyperlink"/>
          <w:sz w:val="22"/>
          <w:szCs w:val="22"/>
          <w:rFonts w:eastAsia="Arial"/>
        </w:rPr>
        <w:instrText xml:space="preserve"> HYPERLINK "https://www.planalto.gov.br/ccivil_03/_ato2011-2014/2013/lei/l12846.htm" \l "art5"</w:instrText>
      </w:r>
      <w:r>
        <w:rPr>
          <w:rStyle w:val="Hyperlink"/>
          <w:sz w:val="22"/>
          <w:szCs w:val="22"/>
          <w:rFonts w:eastAsia="Arial"/>
        </w:rPr>
        <w:fldChar w:fldCharType="separate"/>
      </w:r>
      <w:r>
        <w:rPr>
          <w:rStyle w:val="Hyperlink"/>
          <w:rFonts w:eastAsia="Arial"/>
          <w:sz w:val="22"/>
          <w:szCs w:val="22"/>
        </w:rPr>
        <w:t>art. 5º da Lei nº 12.846, de 1º de agosto de 2013</w:t>
      </w:r>
      <w:r>
        <w:rPr>
          <w:rStyle w:val="Hyperlink"/>
          <w:sz w:val="22"/>
          <w:szCs w:val="22"/>
          <w:rFonts w:eastAsia="Arial"/>
        </w:rPr>
        <w:fldChar w:fldCharType="end"/>
      </w:r>
      <w:r>
        <w:rPr>
          <w:rFonts w:eastAsia="Arial" w:cs="Arial" w:ascii="Arial" w:hAnsi="Arial"/>
          <w:sz w:val="22"/>
          <w:szCs w:val="22"/>
        </w:rPr>
        <w:t>.</w:t>
      </w:r>
    </w:p>
    <w:p>
      <w:pPr>
        <w:pStyle w:val="Nivel2"/>
        <w:tabs>
          <w:tab w:val="clear" w:pos="0"/>
        </w:tabs>
        <w:spacing w:lineRule="auto" w:line="360" w:before="0" w:after="0"/>
        <w:ind w:hanging="0" w:left="0"/>
        <w:rPr/>
      </w:pPr>
      <w:r>
        <w:rPr>
          <w:sz w:val="22"/>
          <w:szCs w:val="22"/>
        </w:rPr>
        <w:t>11.2 - Serão aplicadas ao contratado que incorrer nas infrações acima descritas as seguintes sanções:</w:t>
      </w:r>
    </w:p>
    <w:p>
      <w:pPr>
        <w:pStyle w:val="ListParagraph"/>
        <w:numPr>
          <w:ilvl w:val="0"/>
          <w:numId w:val="11"/>
        </w:numPr>
        <w:spacing w:lineRule="auto" w:line="360" w:before="0" w:after="0"/>
        <w:ind w:hanging="0" w:left="0"/>
        <w:jc w:val="both"/>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rPr>
        <w:instrText xml:space="preserve"> HYPERLINK "http://www.planalto.gov.br/ccivil_03/_ato2019-2022/2021/lei/L14133.htm" \l "art156%C2%A72"</w:instrText>
      </w:r>
      <w:r>
        <w:rPr>
          <w:rStyle w:val="Hyperlink"/>
          <w:rFonts w:eastAsia="Arial"/>
        </w:rPr>
        <w:fldChar w:fldCharType="separate"/>
      </w:r>
      <w:r>
        <w:rPr>
          <w:rStyle w:val="Hyperlink"/>
          <w:rFonts w:eastAsia="Arial"/>
        </w:rPr>
        <w:t xml:space="preserve">art. 156, §2º, da </w:t>
      </w:r>
      <w:r>
        <w:rPr>
          <w:rStyle w:val="Hyperlink"/>
          <w:rFonts w:eastAsia="Arial"/>
        </w:rPr>
        <w:fldChar w:fldCharType="end"/>
      </w:r>
      <w:bookmarkStart w:id="39" w:name="_Hlk114504069"/>
      <w:r>
        <w:rPr>
          <w:rStyle w:val="InternetLink4"/>
          <w:rFonts w:eastAsia="Arial"/>
        </w:rPr>
        <w:t>Lei nº 14.133, de 2021</w:t>
      </w:r>
      <w:bookmarkEnd w:id="39"/>
      <w:r>
        <w:rPr>
          <w:rFonts w:eastAsia="Arial" w:cs="Arial" w:ascii="Arial" w:hAnsi="Arial"/>
        </w:rPr>
        <w:t>);</w:t>
      </w:r>
    </w:p>
    <w:p>
      <w:pPr>
        <w:pStyle w:val="ListParagraph"/>
        <w:numPr>
          <w:ilvl w:val="0"/>
          <w:numId w:val="11"/>
        </w:numPr>
        <w:spacing w:lineRule="auto" w:line="360" w:before="0" w:after="0"/>
        <w:ind w:hanging="0" w:left="0"/>
        <w:jc w:val="both"/>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rPr>
        <w:instrText xml:space="preserve"> HYPERLINK "http://www.planalto.gov.br/ccivil_03/_ato2019-2022/2021/lei/L14133.htm" \l "art156%C2%A74"</w:instrText>
      </w:r>
      <w:r>
        <w:rPr>
          <w:rStyle w:val="Hyperlink"/>
          <w:rFonts w:eastAsia="Arial"/>
        </w:rPr>
        <w:fldChar w:fldCharType="separate"/>
      </w:r>
      <w:r>
        <w:rPr>
          <w:rStyle w:val="Hyperlink"/>
          <w:rFonts w:eastAsia="Arial"/>
        </w:rPr>
        <w:t>art. 156, § 4º, da Lei nº 14.133, de 2021</w:t>
      </w:r>
      <w:r>
        <w:rPr>
          <w:rStyle w:val="Hyperlink"/>
          <w:rFonts w:eastAsia="Arial"/>
        </w:rPr>
        <w:fldChar w:fldCharType="end"/>
      </w:r>
      <w:r>
        <w:rPr>
          <w:rFonts w:eastAsia="Arial" w:cs="Arial" w:ascii="Arial" w:hAnsi="Arial"/>
        </w:rPr>
        <w:t>);</w:t>
      </w:r>
    </w:p>
    <w:p>
      <w:pPr>
        <w:pStyle w:val="ListParagraph"/>
        <w:numPr>
          <w:ilvl w:val="0"/>
          <w:numId w:val="11"/>
        </w:numPr>
        <w:spacing w:lineRule="auto" w:line="360" w:before="0" w:after="0"/>
        <w:ind w:hanging="0" w:left="0"/>
        <w:jc w:val="both"/>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rPr>
        <w:instrText xml:space="preserve"> HYPERLINK "http://www.planalto.gov.br/ccivil_03/_ato2019-2022/2021/lei/L14133.htm" \l "art156%C2%A75"</w:instrText>
      </w:r>
      <w:r>
        <w:rPr>
          <w:rStyle w:val="Hyperlink"/>
          <w:rFonts w:eastAsia="Arial"/>
        </w:rPr>
        <w:fldChar w:fldCharType="separate"/>
      </w:r>
      <w:r>
        <w:rPr>
          <w:rStyle w:val="Hyperlink"/>
          <w:rFonts w:eastAsia="Arial"/>
        </w:rPr>
        <w:t>art. 156, §5º, da Lei nº 14.133, de 2021</w:t>
      </w:r>
      <w:r>
        <w:rPr>
          <w:rStyle w:val="Hyperlink"/>
          <w:rFonts w:eastAsia="Arial"/>
        </w:rPr>
        <w:fldChar w:fldCharType="end"/>
      </w:r>
      <w:r>
        <w:rPr>
          <w:rFonts w:eastAsia="Arial" w:cs="Arial" w:ascii="Arial" w:hAnsi="Arial"/>
        </w:rPr>
        <w:t>).</w:t>
      </w:r>
    </w:p>
    <w:p>
      <w:pPr>
        <w:pStyle w:val="ListParagraph"/>
        <w:numPr>
          <w:ilvl w:val="0"/>
          <w:numId w:val="11"/>
        </w:numPr>
        <w:spacing w:lineRule="auto" w:line="360" w:before="0" w:after="0"/>
        <w:ind w:hanging="0" w:left="0"/>
        <w:jc w:val="both"/>
        <w:rPr/>
      </w:pPr>
      <w:r>
        <w:rPr>
          <w:rFonts w:eastAsia="Arial" w:cs="Arial" w:ascii="Arial" w:hAnsi="Arial"/>
          <w:b/>
          <w:bCs/>
        </w:rPr>
        <w:t>Multa:</w:t>
      </w:r>
    </w:p>
    <w:p>
      <w:pPr>
        <w:pStyle w:val="Normal"/>
        <w:numPr>
          <w:ilvl w:val="0"/>
          <w:numId w:val="13"/>
        </w:numPr>
        <w:spacing w:lineRule="auto" w:line="360"/>
        <w:ind w:hanging="0" w:left="0"/>
        <w:jc w:val="both"/>
        <w:rPr/>
      </w:pPr>
      <w:r>
        <w:rPr>
          <w:rFonts w:eastAsia="Arial" w:cs="Arial" w:ascii="Arial" w:hAnsi="Arial"/>
          <w:sz w:val="22"/>
          <w:szCs w:val="22"/>
        </w:rPr>
        <w:t>moratória de 0,3% (três décimos por cento) por dia de atraso injustificado sobre o valor da parcela inadimplida, até o limite de 30 (trinta) dias;</w:t>
      </w:r>
    </w:p>
    <w:p>
      <w:pPr>
        <w:pStyle w:val="Normal"/>
        <w:numPr>
          <w:ilvl w:val="0"/>
          <w:numId w:val="13"/>
        </w:numPr>
        <w:spacing w:lineRule="auto" w:line="360"/>
        <w:ind w:hanging="0" w:left="0"/>
        <w:jc w:val="both"/>
        <w:rPr/>
      </w:pPr>
      <w:r>
        <w:rPr>
          <w:rFonts w:eastAsia="Arial" w:cs="Arial" w:ascii="Arial" w:hAnsi="Arial"/>
          <w:sz w:val="22"/>
          <w:szCs w:val="22"/>
        </w:rPr>
        <w:t>moratória de 10% (dez por cento) por dia de atraso injustificado sobre o valor total do contrato, até o máximo de 30% (trinta por cento), pela inobservância do prazo fixado para apresentação, suplementação ou reposição da garantia.</w:t>
      </w:r>
    </w:p>
    <w:p>
      <w:pPr>
        <w:pStyle w:val="Normal"/>
        <w:spacing w:lineRule="auto" w:line="360"/>
        <w:jc w:val="both"/>
        <w:rPr/>
      </w:pPr>
      <w:r>
        <w:rPr>
          <w:rFonts w:eastAsia="Arial" w:cs="Arial" w:ascii="Arial" w:hAnsi="Arial"/>
          <w:sz w:val="22"/>
          <w:szCs w:val="22"/>
        </w:rPr>
        <w:t xml:space="preserve"> </w:t>
      </w:r>
      <w:r>
        <w:rPr>
          <w:rFonts w:eastAsia="Arial" w:cs="Arial" w:ascii="Arial" w:hAnsi="Arial"/>
          <w:sz w:val="22"/>
          <w:szCs w:val="22"/>
        </w:rPr>
        <w:tab/>
        <w:t xml:space="preserve">- O atraso superior a vinte dias autoriza a Administração a promover a extinção do contrato por descumprimento ou cumprimento irregular de suas cláusulas, conforme dispõe o inciso I do art. 137 da Lei n. 14.133, de 2021. </w:t>
      </w:r>
    </w:p>
    <w:p>
      <w:pPr>
        <w:pStyle w:val="Normal"/>
        <w:spacing w:lineRule="auto" w:line="360"/>
        <w:jc w:val="both"/>
        <w:rPr/>
      </w:pPr>
      <w:r>
        <w:rPr>
          <w:rFonts w:eastAsia="Arial" w:cs="Arial" w:ascii="Arial" w:hAnsi="Arial"/>
          <w:sz w:val="22"/>
          <w:szCs w:val="22"/>
        </w:rPr>
        <w:t>3) compensatória de 30% (trinta por cento) sobre o valor total do contrato, no caso de inexecução total do objeto.</w:t>
      </w:r>
    </w:p>
    <w:p>
      <w:pPr>
        <w:pStyle w:val="Nivel2"/>
        <w:numPr>
          <w:ilvl w:val="0"/>
          <w:numId w:val="12"/>
        </w:numPr>
        <w:suppressAutoHyphens w:val="true"/>
        <w:spacing w:lineRule="auto" w:line="360" w:before="0" w:after="0"/>
        <w:ind w:hanging="0" w:left="0"/>
        <w:rPr/>
      </w:pPr>
      <w:r>
        <w:rPr>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rPr>
        <w:instrText xml:space="preserve"> HYPERLINK "http://www.planalto.gov.br/ccivil_03/_ato2019-2022/2021/lei/L14133.htm" \l "art156%C2%A79"</w:instrText>
      </w:r>
      <w:r>
        <w:rPr>
          <w:rStyle w:val="Hyperlink"/>
          <w:sz w:val="22"/>
          <w:szCs w:val="22"/>
        </w:rPr>
        <w:fldChar w:fldCharType="separate"/>
      </w:r>
      <w:r>
        <w:rPr>
          <w:rStyle w:val="Hyperlink"/>
          <w:sz w:val="22"/>
          <w:szCs w:val="22"/>
        </w:rPr>
        <w:t>art. 156, §9º, da Lei nº 14.133, de 2021</w:t>
      </w:r>
      <w:r>
        <w:rPr>
          <w:rStyle w:val="Hyperlink"/>
          <w:sz w:val="22"/>
          <w:szCs w:val="22"/>
        </w:rPr>
        <w:fldChar w:fldCharType="end"/>
      </w:r>
      <w:r>
        <w:rPr>
          <w:sz w:val="22"/>
          <w:szCs w:val="22"/>
        </w:rPr>
        <w:t>)</w:t>
      </w:r>
    </w:p>
    <w:p>
      <w:pPr>
        <w:pStyle w:val="Nivel2"/>
        <w:numPr>
          <w:ilvl w:val="0"/>
          <w:numId w:val="20"/>
        </w:numPr>
        <w:tabs>
          <w:tab w:val="clear" w:pos="0"/>
        </w:tabs>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20"/>
        </w:numPr>
        <w:tabs>
          <w:tab w:val="clear" w:pos="0"/>
        </w:tabs>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20"/>
        </w:numPr>
        <w:tabs>
          <w:tab w:val="clear" w:pos="0"/>
        </w:tabs>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20"/>
        </w:numPr>
        <w:tabs>
          <w:tab w:val="clear" w:pos="0"/>
        </w:tabs>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40" w:name="_Hlk78351618"/>
      <w:bookmarkEnd w:id="40"/>
    </w:p>
    <w:p>
      <w:pPr>
        <w:pStyle w:val="Nivel2"/>
        <w:numPr>
          <w:ilvl w:val="0"/>
          <w:numId w:val="20"/>
        </w:numPr>
        <w:tabs>
          <w:tab w:val="clear" w:pos="0"/>
        </w:tabs>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tabs>
          <w:tab w:val="clear" w:pos="0"/>
        </w:tabs>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9"/>
        </w:numPr>
        <w:spacing w:lineRule="auto" w:line="360"/>
        <w:ind w:hanging="0" w:left="0"/>
        <w:jc w:val="both"/>
        <w:rPr/>
      </w:pPr>
      <w:r>
        <w:rPr>
          <w:rFonts w:eastAsia="Arial" w:cs="Arial" w:ascii="Arial" w:hAnsi="Arial"/>
          <w:sz w:val="22"/>
          <w:szCs w:val="22"/>
        </w:rPr>
        <w:t>a natureza e a gravidade da infração cometida;</w:t>
      </w:r>
    </w:p>
    <w:p>
      <w:pPr>
        <w:pStyle w:val="Normal"/>
        <w:numPr>
          <w:ilvl w:val="0"/>
          <w:numId w:val="9"/>
        </w:numPr>
        <w:spacing w:lineRule="auto" w:line="360"/>
        <w:ind w:hanging="0" w:left="0"/>
        <w:jc w:val="both"/>
        <w:rPr/>
      </w:pPr>
      <w:r>
        <w:rPr>
          <w:rFonts w:eastAsia="Arial" w:cs="Arial" w:ascii="Arial" w:hAnsi="Arial"/>
          <w:sz w:val="22"/>
          <w:szCs w:val="22"/>
        </w:rPr>
        <w:t>as peculiaridades do caso concreto;</w:t>
      </w:r>
    </w:p>
    <w:p>
      <w:pPr>
        <w:pStyle w:val="Normal"/>
        <w:numPr>
          <w:ilvl w:val="0"/>
          <w:numId w:val="9"/>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9"/>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9"/>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20"/>
        </w:numPr>
        <w:tabs>
          <w:tab w:val="clear" w:pos="0"/>
        </w:tabs>
        <w:suppressAutoHyphens w:val="true"/>
        <w:spacing w:lineRule="auto" w:line="360" w:before="0" w:after="0"/>
        <w:ind w:hanging="0" w:left="0"/>
        <w:rPr/>
      </w:pPr>
      <w:r>
        <w:rPr>
          <w:sz w:val="22"/>
          <w:szCs w:val="22"/>
        </w:rPr>
        <w:t xml:space="preserve">Os atos previstos como infrações administrativas na </w:t>
      </w:r>
      <w:hyperlink r:id="rId15">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6">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7">
        <w:r>
          <w:rPr>
            <w:rStyle w:val="Hyperlink"/>
            <w:sz w:val="22"/>
            <w:szCs w:val="22"/>
          </w:rPr>
          <w:t>art. 159</w:t>
        </w:r>
      </w:hyperlink>
      <w:r>
        <w:rPr>
          <w:sz w:val="22"/>
          <w:szCs w:val="22"/>
        </w:rPr>
        <w:t>).</w:t>
      </w:r>
    </w:p>
    <w:p>
      <w:pPr>
        <w:pStyle w:val="Nivel2"/>
        <w:numPr>
          <w:ilvl w:val="0"/>
          <w:numId w:val="20"/>
        </w:numPr>
        <w:tabs>
          <w:tab w:val="clear" w:pos="0"/>
        </w:tabs>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Cs w:val="22"/>
        </w:rPr>
        <w:instrText xml:space="preserve"> HYPERLINK "http://www.planalto.gov.br/ccivil_03/_ato2019-2022/2021/lei/L14133.htm" \l "art160"</w:instrText>
      </w:r>
      <w:r>
        <w:rPr>
          <w:rStyle w:val="Hyperlink"/>
          <w:szCs w:val="22"/>
        </w:rPr>
        <w:fldChar w:fldCharType="separate"/>
      </w:r>
      <w:r>
        <w:rPr>
          <w:rStyle w:val="Hyperlink"/>
          <w:szCs w:val="22"/>
        </w:rPr>
        <w:t>art. 160, da Lei nº 14.133, de 2021</w:t>
      </w:r>
      <w:r>
        <w:rPr>
          <w:rStyle w:val="Hyperlink"/>
          <w:szCs w:val="22"/>
        </w:rPr>
        <w:fldChar w:fldCharType="end"/>
      </w:r>
      <w:r>
        <w:rPr>
          <w:sz w:val="22"/>
          <w:szCs w:val="22"/>
        </w:rPr>
        <w:t>).</w:t>
      </w:r>
    </w:p>
    <w:p>
      <w:pPr>
        <w:pStyle w:val="Nivel2"/>
        <w:numPr>
          <w:ilvl w:val="0"/>
          <w:numId w:val="20"/>
        </w:numPr>
        <w:tabs>
          <w:tab w:val="clear" w:pos="0"/>
        </w:tabs>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Cs w:val="22"/>
        </w:rPr>
        <w:instrText xml:space="preserve"> HYPERLINK "http://www.planalto.gov.br/ccivil_03/_ato2019-2022/2021/lei/L14133.htm" \l "art161"</w:instrText>
      </w:r>
      <w:r>
        <w:rPr>
          <w:rStyle w:val="Hyperlink"/>
          <w:szCs w:val="22"/>
        </w:rPr>
        <w:fldChar w:fldCharType="separate"/>
      </w:r>
      <w:r>
        <w:rPr>
          <w:rStyle w:val="Hyperlink"/>
          <w:szCs w:val="22"/>
        </w:rPr>
        <w:t>Art. 161, da Lei nº 14.133, de 2021</w:t>
      </w:r>
      <w:r>
        <w:rPr>
          <w:rStyle w:val="Hyperlink"/>
          <w:szCs w:val="22"/>
        </w:rPr>
        <w:fldChar w:fldCharType="end"/>
      </w:r>
      <w:r>
        <w:rPr>
          <w:sz w:val="22"/>
          <w:szCs w:val="22"/>
        </w:rPr>
        <w:t>).</w:t>
      </w:r>
    </w:p>
    <w:p>
      <w:pPr>
        <w:pStyle w:val="Nivel2"/>
        <w:numPr>
          <w:ilvl w:val="0"/>
          <w:numId w:val="20"/>
        </w:numPr>
        <w:tabs>
          <w:tab w:val="clear" w:pos="0"/>
        </w:tabs>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Cs w:val="22"/>
        </w:rPr>
        <w:instrText xml:space="preserve"> HYPERLINK "http://www.planalto.gov.br/ccivil_03/_ato2019-2022/2021/lei/L14133.htm" \l "163"</w:instrText>
      </w:r>
      <w:r>
        <w:rPr>
          <w:rStyle w:val="Hyperlink"/>
          <w:szCs w:val="22"/>
        </w:rPr>
        <w:fldChar w:fldCharType="separate"/>
      </w:r>
      <w:r>
        <w:rPr>
          <w:rStyle w:val="Hyperlink"/>
          <w:szCs w:val="22"/>
        </w:rPr>
        <w:t>art. 163 da Lei nº 14.133/21</w:t>
      </w:r>
      <w:r>
        <w:rPr>
          <w:rStyle w:val="Hyperlink"/>
          <w:szCs w:val="22"/>
        </w:rPr>
        <w:fldChar w:fldCharType="end"/>
      </w:r>
      <w:r>
        <w:rPr>
          <w:sz w:val="22"/>
          <w:szCs w:val="22"/>
        </w:rPr>
        <w:t>.</w:t>
      </w:r>
    </w:p>
    <w:p>
      <w:pPr>
        <w:pStyle w:val="Nivel2"/>
        <w:numPr>
          <w:ilvl w:val="0"/>
          <w:numId w:val="20"/>
        </w:numPr>
        <w:tabs>
          <w:tab w:val="clear" w:pos="0"/>
        </w:tabs>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8">
        <w:r>
          <w:rPr>
            <w:rStyle w:val="Hyperlink"/>
            <w:szCs w:val="22"/>
          </w:rPr>
          <w:t>Normativa SEGES/ME nº 26, de 13 de abril de 2022</w:t>
        </w:r>
      </w:hyperlink>
      <w:r>
        <w:rPr>
          <w:sz w:val="22"/>
          <w:szCs w:val="22"/>
        </w:rPr>
        <w:t xml:space="preserve">. </w:t>
      </w:r>
    </w:p>
    <w:p>
      <w:pPr>
        <w:pStyle w:val="Nvel3-R"/>
        <w:spacing w:lineRule="auto" w:line="360" w:before="0" w:after="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vel3-R"/>
        <w:spacing w:lineRule="auto" w:line="360"/>
        <w:ind w:hanging="0" w:left="0"/>
        <w:rPr>
          <w:rFonts w:eastAsia="MS Mincho;ＭＳ 明朝"/>
          <w:i w:val="false"/>
          <w:i w:val="false"/>
          <w:iCs w:val="false"/>
          <w:color w:val="auto"/>
          <w:sz w:val="22"/>
          <w:szCs w:val="22"/>
          <w:lang w:eastAsia="en-US"/>
        </w:rPr>
      </w:pPr>
      <w:r>
        <w:rPr>
          <w:rFonts w:eastAsia="MS Mincho;ＭＳ 明朝"/>
          <w:i w:val="false"/>
          <w:iCs w:val="false"/>
          <w:color w:val="auto"/>
          <w:sz w:val="22"/>
          <w:szCs w:val="22"/>
          <w:lang w:eastAsia="en-US"/>
        </w:rPr>
      </w:r>
    </w:p>
    <w:p>
      <w:pPr>
        <w:pStyle w:val="Normal"/>
        <w:tabs>
          <w:tab w:val="clear" w:pos="709"/>
          <w:tab w:val="left" w:pos="3857" w:leader="none"/>
        </w:tabs>
        <w:spacing w:lineRule="auto" w:line="360"/>
        <w:ind w:right="-54"/>
        <w:jc w:val="both"/>
        <w:rPr>
          <w:rFonts w:ascii="Arial" w:hAnsi="Arial" w:cs="Arial"/>
          <w:b/>
          <w:bCs/>
          <w:sz w:val="22"/>
          <w:szCs w:val="22"/>
        </w:rPr>
      </w:pPr>
      <w:bookmarkStart w:id="41" w:name="_Hlk82471863"/>
      <w:bookmarkEnd w:id="41"/>
      <w:r>
        <w:rPr>
          <w:rFonts w:cs="Arial" w:ascii="Arial" w:hAnsi="Arial"/>
          <w:b/>
          <w:bCs/>
          <w:sz w:val="22"/>
          <w:szCs w:val="22"/>
        </w:rPr>
        <w:t xml:space="preserve">ANEXO II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94</w:t>
      </w:r>
      <w:r>
        <w:rPr>
          <w:rFonts w:cs="Arial" w:ascii="Arial" w:hAnsi="Arial"/>
          <w:b/>
          <w:bCs/>
          <w:sz w:val="22"/>
          <w:szCs w:val="22"/>
        </w:rPr>
        <w:t>/2025</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119</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8.149/2025</w:t>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w:t>
      </w:r>
      <w:r>
        <w:rPr>
          <w:rFonts w:cs="Arial" w:ascii="Arial" w:hAnsi="Arial"/>
          <w:sz w:val="22"/>
          <w:szCs w:val="22"/>
        </w:rPr>
        <w:t>94</w:t>
      </w:r>
      <w:r>
        <w:rPr>
          <w:rFonts w:cs="Arial" w:ascii="Arial" w:hAnsi="Arial"/>
          <w:sz w:val="22"/>
          <w:szCs w:val="22"/>
        </w:rPr>
        <w:t>/2025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4"/>
        <w:jc w:val="both"/>
        <w:rPr>
          <w:rFonts w:ascii="Arial" w:hAnsi="Arial" w:cs="Arial"/>
          <w:sz w:val="22"/>
          <w:szCs w:val="22"/>
        </w:rPr>
      </w:pPr>
      <w:r>
        <w:rPr>
          <w:rFonts w:cs="Arial" w:ascii="Arial" w:hAnsi="Arial"/>
          <w:sz w:val="22"/>
          <w:szCs w:val="22"/>
        </w:rPr>
        <w:tab/>
        <w:tab/>
        <w:tab/>
        <w:tab/>
        <w:tab/>
      </w:r>
    </w:p>
    <w:p>
      <w:pPr>
        <w:pStyle w:val="Normal"/>
        <w:spacing w:lineRule="auto" w:line="360"/>
        <w:ind w:firstLine="709" w:left="2831"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94</w:t>
      </w:r>
      <w:r>
        <w:rPr>
          <w:rFonts w:cs="Arial" w:ascii="Arial" w:hAnsi="Arial"/>
          <w:b/>
          <w:bCs/>
          <w:sz w:val="22"/>
          <w:szCs w:val="22"/>
        </w:rPr>
        <w:t>/2025</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119</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8.149/2025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94</w:t>
      </w:r>
      <w:r>
        <w:rPr>
          <w:rFonts w:cs="Arial" w:ascii="Arial" w:hAnsi="Arial"/>
          <w:sz w:val="22"/>
          <w:szCs w:val="22"/>
        </w:rPr>
        <w:t>/2025), da PREFEITURA DO MUNICÍPIO DE ITATIBA,  DECLARO,  sob as penas da Lei,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94</w:t>
      </w:r>
      <w:r>
        <w:rPr>
          <w:rFonts w:cs="Arial" w:ascii="Arial" w:hAnsi="Arial"/>
          <w:b/>
          <w:bCs/>
          <w:sz w:val="22"/>
          <w:szCs w:val="22"/>
        </w:rPr>
        <w:t>/2025</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119</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8.149/2025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left="3540"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nº </w:t>
      </w:r>
      <w:r>
        <w:rPr>
          <w:rFonts w:cs="Arial" w:ascii="Arial" w:hAnsi="Arial"/>
          <w:b/>
          <w:bCs/>
          <w:sz w:val="22"/>
          <w:szCs w:val="22"/>
        </w:rPr>
        <w:t>94</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8.149/2025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jc w:val="both"/>
        <w:rPr>
          <w:rFonts w:ascii="Arial" w:hAnsi="Arial" w:cs="Arial"/>
          <w:sz w:val="22"/>
          <w:szCs w:val="22"/>
        </w:rPr>
      </w:pPr>
      <w:r>
        <w:rPr>
          <w:rFonts w:cs="Arial" w:ascii="Arial" w:hAnsi="Arial"/>
          <w:sz w:val="22"/>
          <w:szCs w:val="22"/>
        </w:rPr>
      </w:r>
    </w:p>
    <w:tbl>
      <w:tblPr>
        <w:tblW w:w="9493"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1"/>
        <w:gridCol w:w="3687"/>
        <w:gridCol w:w="849"/>
        <w:gridCol w:w="1135"/>
        <w:gridCol w:w="850"/>
        <w:gridCol w:w="1276"/>
        <w:gridCol w:w="1134"/>
      </w:tblGrid>
      <w:tr>
        <w:trPr>
          <w:cantSplit w:val="true"/>
        </w:trPr>
        <w:tc>
          <w:tcPr>
            <w:tcW w:w="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Item</w:t>
            </w:r>
          </w:p>
        </w:tc>
        <w:tc>
          <w:tcPr>
            <w:tcW w:w="3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Material</w:t>
            </w:r>
          </w:p>
        </w:tc>
        <w:tc>
          <w:tcPr>
            <w:tcW w:w="84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rPr>
                <w:rFonts w:ascii="Arial" w:hAnsi="Arial" w:cs="Arial"/>
                <w:sz w:val="18"/>
                <w:szCs w:val="18"/>
              </w:rPr>
            </w:pPr>
            <w:r>
              <w:rPr>
                <w:rFonts w:cs="Arial" w:ascii="Arial" w:hAnsi="Arial"/>
                <w:sz w:val="18"/>
                <w:szCs w:val="18"/>
              </w:rPr>
              <w:t>Unidade</w:t>
            </w:r>
          </w:p>
        </w:tc>
        <w:tc>
          <w:tcPr>
            <w:tcW w:w="113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Quantidade</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center"/>
              <w:rPr>
                <w:rFonts w:ascii="Arial" w:hAnsi="Arial" w:cs="Arial"/>
                <w:sz w:val="18"/>
                <w:szCs w:val="18"/>
              </w:rPr>
            </w:pPr>
            <w:r>
              <w:rPr>
                <w:rFonts w:cs="Arial" w:ascii="Arial" w:hAnsi="Arial"/>
                <w:sz w:val="18"/>
                <w:szCs w:val="18"/>
              </w:rPr>
              <w:t>Marca</w:t>
            </w:r>
          </w:p>
        </w:tc>
        <w:tc>
          <w:tcPr>
            <w:tcW w:w="127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Unitário</w:t>
            </w:r>
          </w:p>
        </w:tc>
        <w:tc>
          <w:tcPr>
            <w:tcW w:w="11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pBdr/>
              <w:jc w:val="right"/>
              <w:rPr>
                <w:rFonts w:ascii="Arial" w:hAnsi="Arial" w:cs="Arial"/>
                <w:sz w:val="18"/>
                <w:szCs w:val="18"/>
              </w:rPr>
            </w:pPr>
            <w:r>
              <w:rPr>
                <w:rFonts w:cs="Arial" w:ascii="Arial" w:hAnsi="Arial"/>
                <w:sz w:val="18"/>
                <w:szCs w:val="18"/>
              </w:rPr>
              <w:t>Preço Total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1.05.01.0043-0 - INSULINA, LISPRO, 100U/ML, INJETÁVEL FRASCO 10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LISPRO, 100U/ML, INJETÁVEL FRASCO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1.05.01.0054-6 - AMINOFILINA, 24 MG/ML, SOLUÇÃO INJETÁVEL, AMPOLA 10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415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AMINOFILINA, 24 MG/ML, SOLUÇÃO INJETÁVEL, AMPOLA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1.05.01.0055-4 - MIDAZOLAM, 5 MG/ML, INJETÁVEL, AMPOLA 3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415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MIDAZOLAM, 5 MG/ML, INJETÁVEL, AMPOLA 3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1.05.01.0107-0 - HALOPERIDOL, 5 MG/ML, SOLUÇÃO INJETÁVEL AMPOLA 1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HALOPERIDOL, 5 MG/ML, SOLUÇÃO INJETÁVEL 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1.05.01.0110-0 - AMIODARONA, 50MG/ML, INJETÁVEL AMPOLA 3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AMIODARONA, 50MG/ML, INJETÁVEL AMPOLA 3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1.05.01.0128-3 - DICLOFENACO, SAL SÓDICO, 25MG/ML, SOLUÇÃO INJETÁVEL AMPOLA 3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DICLOFENACO, SAL SÓDICO, 25MG/ML, SOLUÇÃO INJETÁVEL AMPOLA 3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1.05.01.0162-3 - ENOXAPARINA, 40MG/0,4 ML, INJETÁVEL, SERINGA PRÉ-ENCHIDA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ENOXAPARINA, 40MG/0,4 ML, INJETÁVEL, SERINGA PRÉ-ENCHIDA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1.05.01.0201-8 - INSULINA DEGLUDECA 100U/ML REFIL 3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DEGLUDECA 100U/ML REFIL 3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1.05.01.0215-8 - CITRATO DE FENTANILA 50 MCG/ML, SOLUÇÃO INJETÁVEL, AMPOLA 2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CITRATO DE FENTANILA 50 MCG/ML, SOLUÇÃO INJETÁVEL, AMPOLA 2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1.05.01.0223-9 - DUPILUMABE 175MG/ML - SERINGA PREENCHIDA COM 1,14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36</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DUPILUMABE 175MG/ML - SERINGA PREENCHIDA COM 1,14 ML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1.05.01.0224-7 - INSULINA, ASPART, 100U/ML, INJETÁVEL FRASCO 10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ASPART, 100U/ML, INJETÁVEL FRASCO 10 ML</w:t>
            </w:r>
          </w:p>
          <w:p>
            <w:pPr>
              <w:pStyle w:val="Normal"/>
              <w:widowControl w:val="false"/>
              <w:pBdr/>
              <w:rPr>
                <w:rFonts w:ascii="Arial" w:hAnsi="Arial" w:cs="Arial"/>
                <w:sz w:val="18"/>
                <w:szCs w:val="18"/>
              </w:rPr>
            </w:pPr>
            <w:r>
              <w:rPr>
                <w:rFonts w:cs="Arial" w:ascii="Arial" w:hAnsi="Arial"/>
                <w:sz w:val="18"/>
                <w:szCs w:val="18"/>
              </w:rPr>
              <w:t>Marca FIASP - ação judicial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1.05.02.0001-0 - ÁCIDO VALPROICO, 50 MG/ML, XAROPE, FRASCO 100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ÁCIDO VALPROICO, 50 MG/ML, XAROPE,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1.05.02.0004-4 - AZITROMICINA, PÓ P/ SUSPENSÃO ORAL, 200 MG/5ML  FRASCO COM 1 5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AZITROMICINA, PÓ P/ SUSPENSÃO ORAL, 200 MG/5ML  FRASCO COM 15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1.05.02.0014-1 - DEXCLORFENIRAMINA MALEATO, 0,4 MG/ML, SOLUÇÃO ORAL, FRASCO 1 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DEXCLORFENIRAMINA MALEATO, 0,4 MG/ML, SOLUÇÃO ORAL,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1.05.02.0017-6 - DIMENIDRINATO, ASSOCIADO COM PIRIDOXINA CLORIDRATO, 25MG + 5 MG/ML, SOLUÇÃO ORAL, GOTAS, FRASCO 20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DIMENIDRINATO, ASSOCIADO COM PIRIDOXINA CLORIDRATO, 25MG + 5MG/ML, SOLUÇÃO ORAL, GOTAS,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1.05.02.0020-6 - HALOPERIDOL, 2 MG/ML, SOLUÇÃO ORAL-GOTAS, FRASCO 20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HALOPERIDOL, 2 MG/ML, SOLUÇÃO ORAL-GOTAS,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1.05.02.0021-4 - IBUPROFENO, 100 MG/ML, SUSPENSÃO ORAL, FRASCO 20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IBUPROFENO, 100 MG/ML, SUSPENSÃO ORAL, FRASCO 20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1.05.02.0027-3 - NISTATINA, 100.000 UI/ML, SUSPENSÃO ORAL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NISTATINA, 100.000 UI/ML, SUSPENSÃO ORAL, FRASCO COM NO MÍNIMO 40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19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1.05.02.0031-1 - TROPICAMIDA, 1%, SOLUÇÃO OFTÁLMICA FRASCO 5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TROPICAMIDA, 1%, SOLUÇÃO OFTÁLMICA FRASCO 5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1.05.02.0094-0 - CLORETO DE POTÁSSIO, 6%, SOLUÇÃO ORAL FRASCO 100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CLORETO DE POTÁSSIO, 6%, SOLUÇÃO ORAL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1.05.02.0134-2 - PREDNISOLONA, 3 MG/ML, SOLUÇÃO ORAL FRASCO 60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8.010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PREDNISOLONA, 3 MG/ML, SOLUÇÃO ORAL FRASCO 60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1.05.02.0187-3 - BICARBONATO DE SÓDIO 8,4%, 84 MG/ML, FRASCO COM 250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108</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BICARBONATO DE SÓDIO 8,4%, 84 MG/ML, FRASCO COM 250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1.05.02.0215-2 - UPADACITINIBE 15 MG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CX</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UPADACITINIBE 15 MG</w:t>
            </w:r>
          </w:p>
          <w:p>
            <w:pPr>
              <w:pStyle w:val="Normal"/>
              <w:widowControl w:val="false"/>
              <w:pBdr/>
              <w:rPr>
                <w:rFonts w:ascii="Arial" w:hAnsi="Arial" w:cs="Arial"/>
                <w:sz w:val="18"/>
                <w:szCs w:val="18"/>
              </w:rPr>
            </w:pPr>
            <w:r>
              <w:rPr>
                <w:rFonts w:cs="Arial" w:ascii="Arial" w:hAnsi="Arial"/>
                <w:sz w:val="18"/>
                <w:szCs w:val="18"/>
              </w:rPr>
              <w:t>comprimidos revestidos de liberação controlada.</w:t>
            </w:r>
          </w:p>
          <w:p>
            <w:pPr>
              <w:pStyle w:val="Normal"/>
              <w:widowControl w:val="false"/>
              <w:pBdr/>
              <w:rPr>
                <w:rFonts w:ascii="Arial" w:hAnsi="Arial" w:cs="Arial"/>
                <w:sz w:val="18"/>
                <w:szCs w:val="18"/>
              </w:rPr>
            </w:pPr>
            <w:r>
              <w:rPr>
                <w:rFonts w:cs="Arial" w:ascii="Arial" w:hAnsi="Arial"/>
                <w:sz w:val="18"/>
                <w:szCs w:val="18"/>
              </w:rPr>
              <w:t>embalagem com 30 unidades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1.05.03.0003-0 - AZITROMICINA, 500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40.060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AZITROMICINA, 500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1.05.03.0007-3 - CARBONATO DE LÍTIO, 300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CARBONATO DE LÍTIO, 300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1.05.03.0008-1 - CIPROFLOXACINO CLORIDRATO, 500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CIPROFLOXACINO CLORIDRATO, 500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1.05.03.0011-1 - CLORPROMAZINA, 100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CLORPROMAZINA,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1.05.03.0015-4 - ESTROGÊNIOS CONJUGADOS, 0,625 MG, DRÁGEA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DR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ESTROGÊNIOS CONJUGADOS, 0,625 MG, DRÁGEA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29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1.05.03.0022-7 - IVERMECTINA, 6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5.060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IVERMECTINA, 6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1.05.03.0024-3 - LEVODOPA, ASSOCIADO À CARBIDOPA, 250MG + 25MG,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LEVODOPA, ASSOCIADO À CARBIDOPA, 250MG + 25MG,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1.05.03.0040-5 - TRAMADOL CLORIDRATO, 50 MG CÁPSULA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80.030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TRAMADOL CLORIDRATO, 50 MG CÁPSULA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1.05.03.0042-1 - VERAPAMIL CLORIDRATO, 80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VERAPAMIL CLORIDRATO, 80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1.05.03.0099-5 - SECNIDAZOL, 1.000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SECNIDAZOL, 1.000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1.05.03.0164-9 - INSULINA, ASPART, 100U/ML, INJETÁVEL TUBETE 3 ML  - REFIL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UN</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ASPART, 100U/ML, INJETÁVEL TUBETE 3 ML - REFIL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1.05.03.0190-8 - CLORIDRATO DE METILFENIDATO 20 MG LA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1.800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CLORIDRATO DE METILFENIDATO 20 MG LA - comprimidos de liberação lenta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1.05.03.0193-2 - CARBAMAZEPINA, 400 MG, LIBERAÇÃO CONTROLADA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2.100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CARBAMAZEPINA, 400 MG, LIBERAÇÃO CONTROLADA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1.05.03.0195-9 - ALOPURINOL, 100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ALOPURINOL,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1.05.03.0198-3 - OMEPRAZOL, 20 MG, CÁPSULA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1.000.030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OMEPRAZOL, 20 MG, CÁPSULA, em blister</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39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1.05.03.0200-9 - CINARIZINA, 25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CINARIZINA,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1.05.03.0201-7 - CINARIZINA, 75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CINARIZINA, 75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1.05.03.0212-2 - FLUCONAZOL, 150 MG, CÁPSULA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FLUCONAZOL, 150 MG, CÁPSULA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1.05.03.0245-9 - ESPIRONOLACTONA, 100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ESPIRONOLACTONA,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1.05.03.0254-8 - ISOSSORBIDA, SAL MONONITRATO, 40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160.000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ISOSSORBIDA, SAL MONONITRATO, 40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1.05.03.0270-0 - ESPIRONOLACTONA, 25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ESPIRONOLACTONA, 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1.05.03.0376-5 - LEVODOPA, ASSOCIADO À BENSERAZIDA, 200MG + 50MG,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140.000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LEVODOPA, ASSOCIADO À BENSERAZIDA, 200MG + 50MG,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1.05.03.0473-7 - LEVONORGESTREL, 0,75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LEVONORGESTREL, 0,75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1.05.03.0498-2 - METILFENIDATO CLORIDRATO, 36 MG, LIBERAÇÃO CONTROLADA COMPRI 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450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METILFENIDATO CLORIDRATO, 36 MG, LIBERAÇÃO CONTROLADA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1.05.03.0530-0 - ANLODIPINO BESILATO, 5 MG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700.000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ANLODIPINO BESILATO, 5 MG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49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1.05.03.0558-0 - ARIPIPRAZOL, 15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ARIPIPRAZOL, 15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1.05.03.0568-7 - RIVAROXABANA 20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450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RIVAROXABANA 20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1.05.03.0578-4 - CASTANHA DA ÍNDIA, 100 mg, CÁPSULA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800.000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CASTANHA DA ÍNDIA, 100 mg, CÁPSULA OU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1.05.03.0581-4 - GLICLAZIDA 30 MG LIBERAÇÃO PROLONGADA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1.000.000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GLICLAZIDA 30 MG LIBERAÇÃO PROLONGADA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1.05.03.0592-0 - PALIPERIDONA  3 MG COMPRIMIDO REVESTIDO LIBERAÇÃO PROLONGADA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450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PALIPERIDONA  3 MG COMPRIMIDO REVESTIDO LIBERAÇÃO PROLONGADA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1.05.03.0599-7 - CLORIDRATO DE MINOCICLINA 100 MG COMPRIMIDO REVESTIDO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500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CLORIDRATO DE MINOCICLINA 100 MG COMPRIMIDO REVESTIDO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1.05.03.0605-5 - CARVEDILOL 6,25 MG COMPRIMIDOS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CARVEDILOL 6,25 MG COMPRIMIDOS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1.05.03.0607-1 - VARFARINA SÓDICA 5 MG COMPRIMIDOS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VARFARINA SÓDICA 5 MG COMPRIMIDOS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1.05.03.0608-0 - DIMESILATO DE LISDEXANFETAMINA 70 MG CÁPSULAS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900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DIMESILATO DE LISDEXANFETAMINA 70 MG CÁPSULAS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1.05.03.0617-9 - PIRIMETAMINA 25mg,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PIRIMETAMINA 25mg,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59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1.05.04.0001-9 - ÁCIDOS GRAXOS ESSENCIAIS + VITAMINA A E</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ÁCIDOS GRAXOS ESSENCIAIS + VITAMINA A E, LECITINA DE SOJA ÓL EO RESTAURADOR DO EPITÉLIO, FRASCO COM 200 ML, PRODUTO PARA SAÚDE, CLASSE DE RISCO III.</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1.05.04.0004-3 - FIBRINOLISINA, ASSOCIADA COM DESOXIRRIBONUCLEASE E CLORANFEN ICOL, 1U + 666U + 1%</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TB</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FIBRINOLISINA, ASSOCIADA COM DESOXIRRIBONUCLEASE E CLORANFENICOL, 1U + 666U + 1%, POMADA, BISNAGA 30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1.05.04.0027-2 - CETOCONAZOL, 20 MG/G, CREME TÓPICO BISNAGA 30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TB</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3.006</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CETOCONAZOL, 20 MG/G, CREME TÓPICO BISNAGA 30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1.05.04.0029-9 - SULFADIAZINA, DE PRATA, 1%, CREME BISNAGA 30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TB</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600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SULFADIAZINA, DE PRATA, 1%, CREME BISNAGA 30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1.05.06.0003-4 - AMINOFILINA, 100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AMINOFILINA,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1.05.06.0006-9 - AMOXICILINA, 500MG, CÁPSULA OU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180.100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AMOXICILINA, 500MG, CÁPSULA OU COMPRIMIDO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1.05.06.0014-0 - CEFALEXINA, 500 MG, CÁPSULA</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120.120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CEFALEXINA, 500 MG, CÁPSULA</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1.05.06.0020-4 - DIGOXINA, 0,25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DIGOXINA, 0,25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1.05.06.0024-7 - FENITOÍNA SÓDICA, 100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FENITOÍNA SÓDICA,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1.05.06.0025-5 - FENOBARBITAL SÓDICO, 100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110.000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FENOBARBITAL SÓDICO, 100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69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1.05.06.0037-9 - BENZOILMETRONIDAZOL, 40 MG/ML, SUSPENSÃO ORAL FRASCO 100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215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BENZOILMETRONIDAZOL, 40 MG/ML, SUSPENSÃO ORAL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1.05.06.0040-9 - NIFEDIPINO, 20 MG, RETARD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170.000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NIFEDIPINO, 20 MG, RETARD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1.05.06.0051-4 - SALBUTAMOL, 0,4 MG/ML, XAROPE FRASCO 100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SALBUTAMOL, 0,4 MG/ML, XAROPE FRASCO 100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1.05.06.0052-2 - SULFAMETOXAZOL, ASSOCIADO À TRIMETOPRIMA, 40MG + 8MG/ML, SUS PENSÃO ORAL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SULFAMETOXAZOL, ASSOCIADO À TRIMETOPRIMA, 40MG + 8MG/ML, SUSPENSÃO ORAL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1.05.06.0055-7 - SULFATO FERROSO, 25MG/ML DE FERRO II, SOLUÇÃO ORAL-GOTAS FRA SCO 30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SULFATO FERROSO, 25MG/ML DE FERRO II, SOLUÇÃO ORAL-GOTAS FRASCO 30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1.05.06.0057-3 - NISTATINA, 25.000 UI/G, CREME VAGINAL, BISNAGA 60 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TB</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NISTATINA, 25.000 UI/G, CREME VAGINAL, BISNAGA 60 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1.05.06.0058-1 - PARACETAMOL, 200 MG/ML, SOLUÇÃO ORAL FRASCO 15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PARACETAMOL, 200 MG/ML, SOLUÇÃO ORAL FRASCO 15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1.05.14.0032-2 - CARVEDILOL 12,5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160.000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CARVEDILOL 12,5 MG COMPRIMIDO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1.05.16.0013-5 - ÁCIDO FOLINICO 15MG</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ÁCIDO FOLINICO 15MG</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1.05.16.0016-0 - DOXICICLINA, 100 MG, DRÁGEA OU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2.550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DOXICICLINA, 100 MG, DRÁGEA OU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79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1.05.16.0030-5 - CLARITROMICINA, 500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1.200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CLARITROMICINA, 500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1.05.16.0031-3 - ITRACONAZOL, 100 MG, CÁPSULA OU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25.000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ITRACONAZOL, 100 MG, CÁPSULA OU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1.05.16.0056-9 - TIAMINA, 300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150.000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TIAMINA, 300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1.05.16.0060-7 - ESTRADIOL, VALERATO ASSOCIADO COM NORETISTERONA ENANTATO, 5M G + 50MG/1ML, INJETÁVEL, AMPOLA 1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jc w:val="both"/>
              <w:rPr>
                <w:rFonts w:ascii="Arial" w:hAnsi="Arial" w:cs="Arial"/>
                <w:sz w:val="18"/>
                <w:szCs w:val="18"/>
              </w:rPr>
            </w:pPr>
            <w:r>
              <w:rPr>
                <w:rFonts w:cs="Arial" w:ascii="Arial" w:hAnsi="Arial"/>
                <w:sz w:val="18"/>
                <w:szCs w:val="18"/>
              </w:rPr>
              <w:t>ESTRADIOL, VALERATO ASSOCIADO COM NORETISTERONA ENANTATO, 5MG + 50MG/1ML, INJETÁVEL</w:t>
            </w:r>
          </w:p>
          <w:p>
            <w:pPr>
              <w:pStyle w:val="Normal"/>
              <w:widowControl w:val="false"/>
              <w:pBdr/>
              <w:jc w:val="both"/>
              <w:rPr>
                <w:rFonts w:ascii="Arial" w:hAnsi="Arial" w:cs="Arial"/>
                <w:sz w:val="18"/>
                <w:szCs w:val="18"/>
              </w:rPr>
            </w:pPr>
            <w:r>
              <w:rPr>
                <w:rFonts w:cs="Arial" w:ascii="Arial" w:hAnsi="Arial"/>
                <w:sz w:val="18"/>
                <w:szCs w:val="18"/>
              </w:rPr>
              <w:t>AMPOLA 1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1.05.17.0036-9 - PITAVASTATINA 4 MG COMPRIMIDOS</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360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PITAVASTATINA 4 MG COMPRIMIDOS</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84</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1.05.18.0024-0 - VILDAGLIPTINA, 50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1.800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VILDAGLIPTINA, 50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85</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1.05.18.0025-8 - DIVALPROATO DE SÓDIO, 500 MG, LIBERAÇÃO PROLONGADA COMPRIMID 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1.800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DIVALPROATO DE SÓDIO, 500 MG, LIBERAÇÃO PROLONGADA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86</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1.05.18.0029-0 - SUCCINATO DE SOLIFENACINA, 10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360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SUCCINATO DE SOLIFENACINA, 10 MG, COMPRIMIDO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87</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1.05.18.0045-2 - INSULINA LISPRO 100U/ML INJETAVEL REFIL 3ML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380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LISPRO 100U/ML INJETAVEL REFIL 3ML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88</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1.05.18.0046-0 - INSULINA, LISPRO ASSOCIADA À LISPRO PROTAMINA, 50% + 50%, IN JETÁVEL TUBETE 3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200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LISPRO ASSOCIADA À LISPRO PROTAMINA, 50% + 50%, INJETÁVEL TUBETE 3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89</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1.05.18.0055-0 - INSULINA GLULISINA ,100U/ML, INJETÁVEL TUBETE 3 ML  - REFIL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 xml:space="preserve">INSULINA GLULISINA ,100U/ML, INJETÁVEL TUBETE 3 ML  - REFIL </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90</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1.05.18.0059-2 - INSULINA, ASPART, 100U/ML, INJETÁVEL FRASCO 10 ML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FR</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75</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ASPART, 100U/ML, INJETÁVEL FRASCO 10 ML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91</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1.05.18.0074-6 - INSULINA, ASPART, 100U/ML, INJETÁVEL TUBETE 3 ML COM SISTEMA DE APLICAÇÃO PRÉ-PREENCHIDO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40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ASPART, 100U/ML, INJETÁVEL TUBETE 3 ML COM SISTEMA DE APLICAÇÃO PRÉ-PREENCHIDO</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92</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1.05.18.0084-3 - INSULINA, GLARGINA, 100UI/ML, INJETÁVEL TUBETE 3 ML - REFIL</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AM</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1.000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INSULINA, GLARGINA, 100UI/ML, INJETÁVEL TUBETE 3 ML - REFIL</w:t>
            </w:r>
          </w:p>
        </w:tc>
      </w:tr>
      <w:tr>
        <w:trPr>
          <w:cantSplit w:val="true"/>
        </w:trPr>
        <w:tc>
          <w:tcPr>
            <w:tcW w:w="561" w:type="dxa"/>
            <w:tcBorders>
              <w:top w:val="single" w:sz="8" w:space="0" w:color="000000"/>
              <w:left w:val="single" w:sz="4"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t>93</w:t>
            </w:r>
          </w:p>
        </w:tc>
        <w:tc>
          <w:tcPr>
            <w:tcW w:w="3687"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1.05.18.0087-8 - METFORMINA CLORIDRATO, ASSOCIADA À VILDAGLIPTINA, 1000 MG + 50 MG COMPRIMIDO</w:t>
            </w:r>
          </w:p>
        </w:tc>
        <w:tc>
          <w:tcPr>
            <w:tcW w:w="849" w:type="dxa"/>
            <w:tcBorders>
              <w:top w:val="single" w:sz="8" w:space="0" w:color="000000"/>
              <w:left w:val="single" w:sz="8"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t>CP</w:t>
            </w:r>
          </w:p>
        </w:tc>
        <w:tc>
          <w:tcPr>
            <w:tcW w:w="1135" w:type="dxa"/>
            <w:tcBorders>
              <w:top w:val="single" w:sz="8" w:space="0" w:color="000000"/>
              <w:left w:val="single" w:sz="8" w:space="0" w:color="000000"/>
              <w:bottom w:val="single" w:sz="8" w:space="0" w:color="000000"/>
              <w:right w:val="single" w:sz="4" w:space="0" w:color="000000"/>
            </w:tcBorders>
          </w:tcPr>
          <w:p>
            <w:pPr>
              <w:pStyle w:val="Normal"/>
              <w:widowControl w:val="false"/>
              <w:pBdr/>
              <w:jc w:val="right"/>
              <w:rPr>
                <w:rFonts w:ascii="Arial" w:hAnsi="Arial" w:cs="Arial"/>
                <w:sz w:val="18"/>
                <w:szCs w:val="18"/>
              </w:rPr>
            </w:pPr>
            <w:r>
              <w:rPr>
                <w:rFonts w:cs="Arial" w:ascii="Arial" w:hAnsi="Arial"/>
                <w:sz w:val="18"/>
                <w:szCs w:val="18"/>
              </w:rPr>
              <w:t>1.800</w:t>
            </w:r>
          </w:p>
        </w:tc>
        <w:tc>
          <w:tcPr>
            <w:tcW w:w="850" w:type="dxa"/>
            <w:tcBorders>
              <w:top w:val="single" w:sz="8" w:space="0" w:color="000000"/>
              <w:left w:val="single" w:sz="4" w:space="0" w:color="000000"/>
              <w:bottom w:val="single" w:sz="8" w:space="0" w:color="000000"/>
              <w:right w:val="single" w:sz="8" w:space="0" w:color="000000"/>
            </w:tcBorders>
          </w:tcPr>
          <w:p>
            <w:pPr>
              <w:pStyle w:val="Normal"/>
              <w:widowControl w:val="false"/>
              <w:pBdr/>
              <w:rPr>
                <w:rFonts w:ascii="Arial" w:hAnsi="Arial" w:cs="Arial"/>
                <w:sz w:val="18"/>
                <w:szCs w:val="18"/>
              </w:rPr>
            </w:pPr>
            <w:r>
              <w:rPr>
                <w:rFonts w:cs="Arial" w:ascii="Arial" w:hAnsi="Arial"/>
                <w:sz w:val="18"/>
                <w:szCs w:val="18"/>
              </w:rPr>
            </w:r>
          </w:p>
        </w:tc>
        <w:tc>
          <w:tcPr>
            <w:tcW w:w="1276"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c>
          <w:tcPr>
            <w:tcW w:w="1134" w:type="dxa"/>
            <w:tcBorders>
              <w:top w:val="single" w:sz="8" w:space="0" w:color="000000"/>
              <w:left w:val="single" w:sz="8" w:space="0" w:color="000000"/>
              <w:bottom w:val="single" w:sz="8" w:space="0" w:color="000000"/>
              <w:right w:val="single" w:sz="8" w:space="0" w:color="000000"/>
            </w:tcBorders>
          </w:tcPr>
          <w:p>
            <w:pPr>
              <w:pStyle w:val="Normal"/>
              <w:widowControl w:val="false"/>
              <w:pBdr/>
              <w:jc w:val="right"/>
              <w:rPr>
                <w:rFonts w:ascii="Arial" w:hAnsi="Arial" w:cs="Arial"/>
                <w:sz w:val="18"/>
                <w:szCs w:val="18"/>
              </w:rPr>
            </w:pPr>
            <w:r>
              <w:rPr>
                <w:rFonts w:cs="Arial" w:ascii="Arial" w:hAnsi="Arial"/>
                <w:sz w:val="18"/>
                <w:szCs w:val="18"/>
              </w:rPr>
            </w:r>
          </w:p>
        </w:tc>
      </w:tr>
      <w:tr>
        <w:trPr>
          <w:cantSplit w:val="true"/>
        </w:trPr>
        <w:tc>
          <w:tcPr>
            <w:tcW w:w="9492"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pBdr/>
              <w:rPr>
                <w:rFonts w:ascii="Arial" w:hAnsi="Arial" w:cs="Arial"/>
                <w:sz w:val="18"/>
                <w:szCs w:val="18"/>
              </w:rPr>
            </w:pPr>
            <w:r>
              <w:rPr>
                <w:rFonts w:cs="Arial" w:ascii="Arial" w:hAnsi="Arial"/>
                <w:sz w:val="18"/>
                <w:szCs w:val="18"/>
              </w:rPr>
              <w:t>METFORMINA CLORIDRATO, ASSOCIADA À VILDAGLIPTINA, 1000 MG + 50 MG COMPRIMIDO</w:t>
            </w:r>
          </w:p>
        </w:tc>
      </w:tr>
    </w:tbl>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DA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ATA DE REGISTRO DE PREÇO nº XX/2025</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rPr>
      </w:pPr>
      <w:r>
        <w:rPr>
          <w:rFonts w:cs="Arial" w:ascii="Arial" w:hAnsi="Arial"/>
          <w:b/>
          <w:bCs/>
        </w:rPr>
        <w:t xml:space="preserve">PREGÃO ELETRÔNICO nº </w:t>
      </w:r>
      <w:r>
        <w:rPr>
          <w:rFonts w:cs="Arial" w:ascii="Arial" w:hAnsi="Arial"/>
          <w:b/>
          <w:bCs/>
        </w:rPr>
        <w:t>94</w:t>
      </w:r>
      <w:r>
        <w:rPr>
          <w:rFonts w:cs="Arial" w:ascii="Arial" w:hAnsi="Arial"/>
          <w:b/>
          <w:bCs/>
        </w:rPr>
        <w:t>/2025</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rPr>
      </w:pPr>
      <w:r>
        <w:rPr>
          <w:rFonts w:cs="Arial" w:ascii="Arial" w:hAnsi="Arial"/>
          <w:b/>
          <w:bCs/>
        </w:rPr>
        <w:t>PROCESSO nº 8.149/2025</w:t>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XX/2025,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ivel01"/>
        <w:numPr>
          <w:ilvl w:val="0"/>
          <w:numId w:val="22"/>
        </w:numPr>
        <w:spacing w:lineRule="auto" w:line="360"/>
        <w:rPr>
          <w:sz w:val="22"/>
          <w:szCs w:val="22"/>
        </w:rPr>
      </w:pPr>
      <w:r>
        <w:rPr>
          <w:sz w:val="22"/>
          <w:szCs w:val="22"/>
        </w:rPr>
        <w:t>DO OBJETO</w:t>
      </w:r>
    </w:p>
    <w:p>
      <w:pPr>
        <w:pStyle w:val="Nivel2"/>
        <w:numPr>
          <w:ilvl w:val="1"/>
          <w:numId w:val="5"/>
        </w:numPr>
        <w:spacing w:lineRule="auto" w:line="360"/>
        <w:ind w:hanging="0" w:left="0"/>
        <w:rPr>
          <w:color w:val="auto"/>
          <w:sz w:val="22"/>
          <w:szCs w:val="22"/>
        </w:rPr>
      </w:pPr>
      <w:r>
        <w:rPr>
          <w:color w:val="auto"/>
          <w:sz w:val="22"/>
          <w:szCs w:val="22"/>
        </w:rPr>
        <w:t>A presente Ata tem por objeto o registro de preços para a eventual aquisição/contratação de XX , especificado no Termo de Referência, anexo I</w:t>
      </w:r>
      <w:r>
        <w:rPr>
          <w:i/>
          <w:color w:val="auto"/>
          <w:sz w:val="22"/>
          <w:szCs w:val="22"/>
        </w:rPr>
        <w:t xml:space="preserve"> do Edital XX/2025</w:t>
      </w:r>
      <w:r>
        <w:rPr>
          <w:color w:val="auto"/>
          <w:sz w:val="22"/>
          <w:szCs w:val="22"/>
        </w:rPr>
        <w:t xml:space="preserve"> que é parte integrante desta Ata, assim como as propostas cujos preços tenham sido registrados, independentemente de transcrição.</w:t>
      </w:r>
    </w:p>
    <w:p>
      <w:pPr>
        <w:pStyle w:val="Nivel01"/>
        <w:numPr>
          <w:ilvl w:val="0"/>
          <w:numId w:val="5"/>
        </w:numPr>
        <w:spacing w:lineRule="auto" w:line="360"/>
        <w:rPr>
          <w:sz w:val="22"/>
          <w:szCs w:val="22"/>
        </w:rPr>
      </w:pPr>
      <w:r>
        <w:rPr>
          <w:sz w:val="22"/>
          <w:szCs w:val="22"/>
        </w:rPr>
        <w:t xml:space="preserve">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rPr>
          <w:rFonts w:ascii="Arial" w:hAnsi="Arial" w:cs="Arial"/>
          <w:sz w:val="22"/>
          <w:szCs w:val="22"/>
          <w:lang w:eastAsia="en-US"/>
        </w:rPr>
      </w:pPr>
      <w:r>
        <w:rPr>
          <w:rFonts w:cs="Arial" w:ascii="Arial" w:hAnsi="Arial"/>
          <w:sz w:val="22"/>
          <w:szCs w:val="22"/>
          <w:lang w:eastAsia="en-US"/>
        </w:rPr>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rFonts w:eastAsia="Arial"/>
          <w:sz w:val="22"/>
          <w:szCs w:val="22"/>
        </w:rPr>
        <w:t xml:space="preserve"> </w:t>
      </w:r>
      <w:r>
        <w:rPr>
          <w:sz w:val="22"/>
          <w:szCs w:val="22"/>
        </w:rPr>
        <w:t>PRAZO DE ENTREGA: XXX</w:t>
      </w:r>
    </w:p>
    <w:p>
      <w:pPr>
        <w:pStyle w:val="Nivel01"/>
        <w:numPr>
          <w:ilvl w:val="0"/>
          <w:numId w:val="0"/>
        </w:numPr>
        <w:spacing w:lineRule="auto" w:line="360"/>
        <w:ind w:hanging="0" w:left="0"/>
        <w:rPr>
          <w:sz w:val="22"/>
          <w:szCs w:val="22"/>
        </w:rPr>
      </w:pPr>
      <w:r>
        <w:rPr>
          <w:sz w:val="22"/>
          <w:szCs w:val="22"/>
        </w:rPr>
      </w:r>
    </w:p>
    <w:p>
      <w:pPr>
        <w:pStyle w:val="Nivel01"/>
        <w:numPr>
          <w:ilvl w:val="0"/>
          <w:numId w:val="5"/>
        </w:numPr>
        <w:spacing w:lineRule="auto" w:line="360"/>
        <w:rPr>
          <w:sz w:val="22"/>
          <w:szCs w:val="22"/>
        </w:rPr>
      </w:pPr>
      <w:r>
        <w:rPr>
          <w:sz w:val="22"/>
          <w:szCs w:val="22"/>
        </w:rPr>
        <w:t>DOS PREÇOS, ESPECIFICAÇÕES E QUANTITATIVOS</w:t>
      </w:r>
    </w:p>
    <w:p>
      <w:pPr>
        <w:pStyle w:val="Nivel2"/>
        <w:numPr>
          <w:ilvl w:val="1"/>
          <w:numId w:val="5"/>
        </w:numPr>
        <w:spacing w:lineRule="auto" w:line="360"/>
        <w:ind w:hanging="0" w:left="0"/>
        <w:rPr>
          <w:color w:val="auto"/>
          <w:sz w:val="22"/>
          <w:szCs w:val="22"/>
        </w:rPr>
      </w:pPr>
      <w:r>
        <w:rPr>
          <w:color w:val="auto"/>
          <w:sz w:val="22"/>
          <w:szCs w:val="22"/>
        </w:rPr>
        <w:t xml:space="preserve">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1" w:noVBand="1" w:lastRow="0" w:firstColumn="1" w:lastColumn="0" w:noHBand="0" w:val="04a0"/>
      </w:tblPr>
      <w:tblGrid>
        <w:gridCol w:w="687"/>
        <w:gridCol w:w="1537"/>
        <w:gridCol w:w="790"/>
        <w:gridCol w:w="1410"/>
        <w:gridCol w:w="1666"/>
        <w:gridCol w:w="1561"/>
        <w:gridCol w:w="1305"/>
      </w:tblGrid>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Especificação do item</w:t>
            </w:r>
          </w:p>
        </w:tc>
      </w:tr>
    </w:tbl>
    <w:p>
      <w:pPr>
        <w:pStyle w:val="Nivel2"/>
        <w:numPr>
          <w:ilvl w:val="1"/>
          <w:numId w:val="5"/>
        </w:numPr>
        <w:spacing w:lineRule="auto" w:line="360"/>
        <w:ind w:hanging="0" w:left="0"/>
        <w:rPr>
          <w:color w:val="auto"/>
          <w:sz w:val="22"/>
          <w:szCs w:val="22"/>
          <w:lang w:eastAsia="en-US"/>
        </w:rPr>
      </w:pPr>
      <w:r>
        <w:rPr>
          <w:color w:val="auto"/>
          <w:sz w:val="22"/>
          <w:szCs w:val="22"/>
          <w:lang w:eastAsia="en-US"/>
        </w:rPr>
        <w:t>A listagem do cadastro de reserva referente ao presente registro de preços consta como anexo a esta Ata.</w:t>
      </w:r>
    </w:p>
    <w:p>
      <w:pPr>
        <w:pStyle w:val="Nivel01"/>
        <w:numPr>
          <w:ilvl w:val="0"/>
          <w:numId w:val="5"/>
        </w:numPr>
        <w:spacing w:lineRule="auto" w:line="360"/>
        <w:rPr>
          <w:sz w:val="22"/>
          <w:szCs w:val="22"/>
        </w:rPr>
      </w:pPr>
      <w:r>
        <w:rPr>
          <w:sz w:val="22"/>
          <w:szCs w:val="22"/>
        </w:rPr>
        <w:t>ÓRGÃO(S) GERENCIADOR E PARTICIPANTE(S)</w:t>
      </w:r>
    </w:p>
    <w:p>
      <w:pPr>
        <w:pStyle w:val="Nivel2"/>
        <w:numPr>
          <w:ilvl w:val="1"/>
          <w:numId w:val="5"/>
        </w:numPr>
        <w:spacing w:lineRule="auto" w:line="360"/>
        <w:ind w:hanging="0" w:left="0"/>
        <w:rPr>
          <w:color w:val="auto"/>
          <w:sz w:val="22"/>
          <w:szCs w:val="22"/>
        </w:rPr>
      </w:pPr>
      <w:r>
        <w:rPr>
          <w:color w:val="auto"/>
          <w:sz w:val="22"/>
          <w:szCs w:val="22"/>
        </w:rPr>
        <w:t>O órgão gerenciador será a Seção de Licitações:</w:t>
      </w:r>
    </w:p>
    <w:p>
      <w:pPr>
        <w:pStyle w:val="Nvel2-Red"/>
        <w:spacing w:lineRule="auto" w:line="360"/>
        <w:rPr>
          <w:color w:val="auto"/>
          <w:sz w:val="22"/>
          <w:szCs w:val="22"/>
        </w:rPr>
      </w:pPr>
      <w:r>
        <w:rPr>
          <w:color w:val="auto"/>
          <w:sz w:val="22"/>
          <w:szCs w:val="22"/>
        </w:rPr>
        <w:t>Secretarias participantes do registro de preços:</w:t>
      </w:r>
    </w:p>
    <w:tbl>
      <w:tblPr>
        <w:tblW w:w="8978"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2248"/>
        <w:gridCol w:w="2241"/>
        <w:gridCol w:w="2248"/>
        <w:gridCol w:w="2240"/>
      </w:tblGrid>
      <w:tr>
        <w:trPr/>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Item nº</w:t>
            </w:r>
          </w:p>
        </w:tc>
        <w:tc>
          <w:tcPr>
            <w:tcW w:w="224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2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2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2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r>
        <w:trPr/>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2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248"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24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numPr>
          <w:ilvl w:val="0"/>
          <w:numId w:val="5"/>
        </w:numPr>
        <w:spacing w:lineRule="auto" w:line="360"/>
        <w:rPr>
          <w:sz w:val="22"/>
          <w:szCs w:val="22"/>
        </w:rPr>
      </w:pPr>
      <w:r>
        <w:rPr>
          <w:sz w:val="22"/>
          <w:szCs w:val="22"/>
        </w:rPr>
        <w:t xml:space="preserve">DA ADESÃO À ATA DE REGISTRO DE PREÇOS </w:t>
      </w:r>
      <w:r>
        <w:rPr>
          <w:i/>
          <w:sz w:val="22"/>
          <w:szCs w:val="22"/>
        </w:rPr>
        <w:t>(item obrigatório)</w:t>
      </w:r>
    </w:p>
    <w:p>
      <w:pPr>
        <w:pStyle w:val="Nvel2-Red"/>
        <w:spacing w:lineRule="auto" w:line="360"/>
        <w:rPr>
          <w:color w:val="auto"/>
          <w:sz w:val="22"/>
          <w:szCs w:val="22"/>
        </w:rPr>
      </w:pPr>
      <w:r>
        <w:rPr>
          <w:color w:val="auto"/>
          <w:sz w:val="22"/>
          <w:szCs w:val="22"/>
        </w:rPr>
        <w:t>Durante a vigência da ata, as Secretarias Municipais que não participaram do procedimento poderão aderir à ata de registro de preços na condição de não participantes, observados os seguintes requisitos:</w:t>
      </w:r>
    </w:p>
    <w:p>
      <w:pPr>
        <w:pStyle w:val="Nvel3-R"/>
        <w:spacing w:lineRule="auto" w:line="360"/>
        <w:rPr>
          <w:color w:val="auto"/>
          <w:sz w:val="22"/>
          <w:szCs w:val="22"/>
        </w:rPr>
      </w:pPr>
      <w:r>
        <w:rPr>
          <w:color w:val="auto"/>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5"/>
        </w:numPr>
        <w:spacing w:lineRule="auto" w:line="360"/>
        <w:ind w:hanging="0" w:left="0"/>
        <w:rPr>
          <w:color w:val="auto"/>
          <w:sz w:val="22"/>
          <w:szCs w:val="22"/>
        </w:rPr>
      </w:pPr>
      <w:r>
        <w:rPr>
          <w:color w:val="auto"/>
          <w:sz w:val="22"/>
          <w:szCs w:val="22"/>
        </w:rPr>
        <w:t>É vedado efetuar acréscimos nos quantitativos fixados na ata de registro de preços.</w:t>
      </w:r>
    </w:p>
    <w:p>
      <w:pPr>
        <w:pStyle w:val="Nivel2"/>
        <w:tabs>
          <w:tab w:val="clear" w:pos="0"/>
        </w:tabs>
        <w:spacing w:lineRule="auto" w:line="360"/>
        <w:ind w:hanging="0" w:left="0"/>
        <w:rPr>
          <w:color w:val="auto"/>
          <w:sz w:val="22"/>
          <w:szCs w:val="22"/>
        </w:rPr>
      </w:pPr>
      <w:r>
        <w:rPr>
          <w:color w:val="auto"/>
          <w:sz w:val="22"/>
          <w:szCs w:val="22"/>
        </w:rPr>
      </w:r>
    </w:p>
    <w:p>
      <w:pPr>
        <w:pStyle w:val="Nivel01"/>
        <w:numPr>
          <w:ilvl w:val="0"/>
          <w:numId w:val="5"/>
        </w:numPr>
        <w:spacing w:lineRule="auto" w:line="360"/>
        <w:rPr>
          <w:sz w:val="22"/>
          <w:szCs w:val="22"/>
        </w:rPr>
      </w:pPr>
      <w:r>
        <w:rPr>
          <w:sz w:val="22"/>
          <w:szCs w:val="22"/>
        </w:rPr>
        <w:t>VALIDADE, FORMALIZAÇÃO DA ATA DE REGISTRO DE PREÇOS E CADASTRO RESERVA</w:t>
      </w:r>
    </w:p>
    <w:p>
      <w:pPr>
        <w:pStyle w:val="Nivel2"/>
        <w:numPr>
          <w:ilvl w:val="1"/>
          <w:numId w:val="5"/>
        </w:numPr>
        <w:spacing w:lineRule="auto" w:line="360"/>
        <w:ind w:hanging="0" w:left="0"/>
        <w:rPr>
          <w:color w:val="auto"/>
          <w:sz w:val="22"/>
          <w:szCs w:val="22"/>
        </w:rPr>
      </w:pPr>
      <w:r>
        <w:rPr>
          <w:color w:val="auto"/>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5"/>
        </w:numPr>
        <w:spacing w:lineRule="auto" w:line="360"/>
        <w:ind w:hanging="0" w:left="284"/>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5"/>
        </w:numPr>
        <w:spacing w:lineRule="auto" w:line="360"/>
        <w:ind w:hanging="0" w:left="284"/>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5"/>
        </w:numPr>
        <w:spacing w:lineRule="auto" w:line="360"/>
        <w:ind w:hanging="0" w:left="0"/>
        <w:rPr>
          <w:color w:val="auto"/>
          <w:sz w:val="22"/>
          <w:szCs w:val="22"/>
        </w:rPr>
      </w:pPr>
      <w:r>
        <w:rPr>
          <w:color w:val="auto"/>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5"/>
        </w:numPr>
        <w:spacing w:lineRule="auto" w:line="360"/>
        <w:ind w:hanging="0" w:left="284"/>
        <w:rPr>
          <w:color w:val="auto"/>
          <w:sz w:val="22"/>
          <w:szCs w:val="22"/>
        </w:rPr>
      </w:pPr>
      <w:r>
        <w:rPr>
          <w:rFonts w:eastAsia="Arial"/>
          <w:color w:val="auto"/>
          <w:sz w:val="22"/>
          <w:szCs w:val="22"/>
        </w:rPr>
        <w:t xml:space="preserve"> </w:t>
      </w:r>
      <w:r>
        <w:rPr>
          <w:color w:val="auto"/>
          <w:sz w:val="22"/>
          <w:szCs w:val="22"/>
        </w:rPr>
        <w:t>O instrumento contratual deverá ser assinado no prazo de validade da ata de registro de preços.</w:t>
      </w:r>
    </w:p>
    <w:p>
      <w:pPr>
        <w:pStyle w:val="Nivel2"/>
        <w:numPr>
          <w:ilvl w:val="1"/>
          <w:numId w:val="5"/>
        </w:numPr>
        <w:spacing w:lineRule="auto" w:line="360"/>
        <w:ind w:hanging="0" w:left="0"/>
        <w:rPr>
          <w:color w:val="auto"/>
          <w:sz w:val="22"/>
          <w:szCs w:val="22"/>
        </w:rPr>
      </w:pPr>
      <w:r>
        <w:rPr>
          <w:color w:val="auto"/>
          <w:sz w:val="22"/>
          <w:szCs w:val="22"/>
        </w:rPr>
        <w:t>Os contratos decorrentes do sistema de registro de preços poderão ser alterados, observado o art. 124 da Lei nº 14.133, de 2021.</w:t>
      </w:r>
    </w:p>
    <w:p>
      <w:pPr>
        <w:pStyle w:val="Nivel2"/>
        <w:numPr>
          <w:ilvl w:val="1"/>
          <w:numId w:val="5"/>
        </w:numPr>
        <w:spacing w:lineRule="auto" w:line="360"/>
        <w:ind w:hanging="0" w:left="0"/>
        <w:rPr>
          <w:color w:val="auto"/>
          <w:sz w:val="22"/>
          <w:szCs w:val="22"/>
        </w:rPr>
      </w:pPr>
      <w:r>
        <w:rPr>
          <w:color w:val="auto"/>
          <w:sz w:val="22"/>
          <w:szCs w:val="22"/>
        </w:rPr>
        <w:t>Após a homologação da licitação, deverão ser observadas as seguintes condições para formalização da ata de registro de preços:</w:t>
      </w:r>
    </w:p>
    <w:p>
      <w:pPr>
        <w:pStyle w:val="Nvel3"/>
        <w:numPr>
          <w:ilvl w:val="2"/>
          <w:numId w:val="5"/>
        </w:numPr>
        <w:spacing w:lineRule="auto" w:line="360"/>
        <w:ind w:hanging="0" w:left="284"/>
        <w:rPr>
          <w:color w:val="auto"/>
          <w:sz w:val="22"/>
          <w:szCs w:val="22"/>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pPr>
        <w:pStyle w:val="Nvel3"/>
        <w:numPr>
          <w:ilvl w:val="2"/>
          <w:numId w:val="5"/>
        </w:numPr>
        <w:spacing w:lineRule="auto" w:line="360"/>
        <w:ind w:hanging="0" w:left="284"/>
        <w:rPr>
          <w:color w:val="auto"/>
          <w:sz w:val="22"/>
          <w:szCs w:val="22"/>
        </w:rPr>
      </w:pPr>
      <w:r>
        <w:rPr>
          <w:color w:val="auto"/>
          <w:sz w:val="22"/>
          <w:szCs w:val="22"/>
        </w:rPr>
        <w:t>Será incluído na ata, na forma de anexo, o registro dos licitantes ou dos fornecedores que:</w:t>
      </w:r>
    </w:p>
    <w:p>
      <w:pPr>
        <w:pStyle w:val="Nvel4"/>
        <w:spacing w:lineRule="auto" w:line="360"/>
        <w:rPr>
          <w:color w:val="auto"/>
          <w:sz w:val="22"/>
          <w:szCs w:val="22"/>
        </w:rPr>
      </w:pPr>
      <w:r>
        <w:rPr>
          <w:color w:val="auto"/>
          <w:sz w:val="22"/>
          <w:szCs w:val="22"/>
        </w:rPr>
        <w:t xml:space="preserve">Aceitarem cotar os bens, as obras ou os serviços com preços iguais aos do adjudicatário, observada a classificação da licitação; e </w:t>
      </w:r>
    </w:p>
    <w:p>
      <w:pPr>
        <w:pStyle w:val="Nvel4"/>
        <w:spacing w:lineRule="auto" w:line="360"/>
        <w:rPr>
          <w:color w:val="auto"/>
          <w:sz w:val="22"/>
          <w:szCs w:val="22"/>
        </w:rPr>
      </w:pPr>
      <w:r>
        <w:rPr>
          <w:color w:val="auto"/>
          <w:sz w:val="22"/>
          <w:szCs w:val="22"/>
        </w:rPr>
        <w:t xml:space="preserve">Mantiverem sua proposta original. </w:t>
      </w:r>
      <w:bookmarkStart w:id="42" w:name="cadastro_reserva"/>
      <w:bookmarkEnd w:id="42"/>
    </w:p>
    <w:p>
      <w:pPr>
        <w:pStyle w:val="Nvel3"/>
        <w:numPr>
          <w:ilvl w:val="2"/>
          <w:numId w:val="5"/>
        </w:numPr>
        <w:spacing w:lineRule="auto" w:line="360"/>
        <w:ind w:hanging="0" w:left="284"/>
        <w:rPr>
          <w:color w:val="auto"/>
          <w:sz w:val="22"/>
          <w:szCs w:val="22"/>
        </w:rPr>
      </w:pPr>
      <w:r>
        <w:rPr>
          <w:color w:val="auto"/>
          <w:sz w:val="22"/>
          <w:szCs w:val="22"/>
        </w:rPr>
        <w:t>Será respeitada, nas contratações, a ordem de classificação dos licitantes ou dos fornecedores registrados na ata.</w:t>
      </w:r>
    </w:p>
    <w:p>
      <w:pPr>
        <w:pStyle w:val="Nivel2"/>
        <w:numPr>
          <w:ilvl w:val="1"/>
          <w:numId w:val="5"/>
        </w:numPr>
        <w:spacing w:lineRule="auto" w:line="360"/>
        <w:ind w:hanging="0" w:left="0"/>
        <w:rPr>
          <w:color w:val="auto"/>
          <w:sz w:val="22"/>
          <w:szCs w:val="22"/>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pPr>
        <w:pStyle w:val="Nivel2"/>
        <w:numPr>
          <w:ilvl w:val="1"/>
          <w:numId w:val="5"/>
        </w:numPr>
        <w:spacing w:lineRule="auto" w:line="360"/>
        <w:ind w:hanging="0" w:left="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5"/>
        </w:numPr>
        <w:spacing w:lineRule="auto" w:line="360"/>
        <w:ind w:hanging="0" w:left="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bookmarkStart w:id="43" w:name="habilitacao_reserva"/>
      <w:bookmarkEnd w:id="43"/>
    </w:p>
    <w:p>
      <w:pPr>
        <w:pStyle w:val="Nvel3"/>
        <w:numPr>
          <w:ilvl w:val="2"/>
          <w:numId w:val="5"/>
        </w:numPr>
        <w:spacing w:lineRule="auto" w:line="360"/>
        <w:ind w:hanging="0" w:left="284"/>
        <w:rPr>
          <w:color w:val="auto"/>
          <w:sz w:val="22"/>
          <w:szCs w:val="22"/>
        </w:rPr>
      </w:pPr>
      <w:r>
        <w:rPr>
          <w:color w:val="auto"/>
          <w:sz w:val="22"/>
          <w:szCs w:val="22"/>
        </w:rPr>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pPr>
        <w:pStyle w:val="Nvel3"/>
        <w:numPr>
          <w:ilvl w:val="2"/>
          <w:numId w:val="5"/>
        </w:numPr>
        <w:spacing w:lineRule="auto" w:line="360"/>
        <w:ind w:hanging="0" w:left="284"/>
        <w:rPr>
          <w:color w:val="auto"/>
          <w:sz w:val="22"/>
          <w:szCs w:val="22"/>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sz w:val="22"/>
          <w:szCs w:val="22"/>
          <w:color w:val="auto"/>
        </w:rPr>
        <w:instrText xml:space="preserve"> REF cancelamento \r \r \h </w:instrText>
      </w:r>
      <w:r>
        <w:rPr>
          <w:sz w:val="22"/>
          <w:szCs w:val="22"/>
          <w:color w:val="auto"/>
        </w:rPr>
        <w:fldChar w:fldCharType="separate"/>
      </w:r>
      <w:r>
        <w:rPr>
          <w:sz w:val="22"/>
          <w:szCs w:val="22"/>
          <w:color w:val="auto"/>
        </w:rPr>
        <w:t>10</w:t>
      </w:r>
      <w:r>
        <w:rPr>
          <w:sz w:val="22"/>
          <w:szCs w:val="22"/>
          <w:color w:val="auto"/>
        </w:rPr>
        <w:fldChar w:fldCharType="end"/>
      </w:r>
      <w:r>
        <w:rPr>
          <w:color w:val="auto"/>
          <w:sz w:val="22"/>
          <w:szCs w:val="22"/>
        </w:rPr>
        <w:t>.</w:t>
      </w:r>
    </w:p>
    <w:p>
      <w:pPr>
        <w:pStyle w:val="Nivel2"/>
        <w:numPr>
          <w:ilvl w:val="1"/>
          <w:numId w:val="5"/>
        </w:numPr>
        <w:spacing w:lineRule="auto" w:line="360"/>
        <w:ind w:hanging="0" w:left="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pPr>
        <w:pStyle w:val="Nivel2"/>
        <w:numPr>
          <w:ilvl w:val="1"/>
          <w:numId w:val="5"/>
        </w:numPr>
        <w:spacing w:lineRule="auto" w:line="360"/>
        <w:ind w:hanging="0" w:left="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5"/>
        </w:numPr>
        <w:spacing w:lineRule="auto" w:line="360"/>
        <w:ind w:hanging="0" w:left="284"/>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5"/>
        </w:numPr>
        <w:spacing w:lineRule="auto" w:line="360"/>
        <w:ind w:hanging="0" w:left="0"/>
        <w:rPr>
          <w:color w:val="auto"/>
          <w:sz w:val="22"/>
          <w:szCs w:val="22"/>
        </w:rPr>
      </w:pPr>
      <w:r>
        <w:rPr>
          <w:color w:val="auto"/>
          <w:sz w:val="22"/>
          <w:szCs w:val="22"/>
        </w:rPr>
        <w:t>A ata de registro de preços poderá ser assinada por meio de assinatura digital.</w:t>
      </w:r>
    </w:p>
    <w:p>
      <w:pPr>
        <w:pStyle w:val="Nivel2"/>
        <w:numPr>
          <w:ilvl w:val="1"/>
          <w:numId w:val="5"/>
        </w:numPr>
        <w:spacing w:lineRule="auto" w:line="360"/>
        <w:ind w:hanging="0" w:left="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4" w:name="recusa_dos_que_baixaram_preco"/>
      <w:bookmarkEnd w:id="44"/>
    </w:p>
    <w:p>
      <w:pPr>
        <w:pStyle w:val="Nivel2"/>
        <w:numPr>
          <w:ilvl w:val="1"/>
          <w:numId w:val="5"/>
        </w:numPr>
        <w:spacing w:lineRule="auto" w:line="360"/>
        <w:ind w:hanging="0" w:left="0"/>
        <w:rPr>
          <w:color w:val="auto"/>
          <w:sz w:val="22"/>
          <w:szCs w:val="22"/>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pPr>
        <w:pStyle w:val="Nvel3"/>
        <w:numPr>
          <w:ilvl w:val="2"/>
          <w:numId w:val="5"/>
        </w:numPr>
        <w:spacing w:lineRule="auto" w:line="360"/>
        <w:ind w:hanging="0" w:left="284"/>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5"/>
        </w:numPr>
        <w:spacing w:lineRule="auto" w:line="360"/>
        <w:ind w:hanging="0" w:left="284"/>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pPr>
        <w:pStyle w:val="Nivel2"/>
        <w:numPr>
          <w:ilvl w:val="1"/>
          <w:numId w:val="5"/>
        </w:numPr>
        <w:spacing w:lineRule="auto" w:line="360"/>
        <w:ind w:hanging="0" w:left="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5"/>
        </w:numPr>
        <w:spacing w:lineRule="auto" w:line="360"/>
        <w:rPr>
          <w:sz w:val="22"/>
          <w:szCs w:val="22"/>
        </w:rPr>
      </w:pPr>
      <w:r>
        <w:rPr>
          <w:sz w:val="22"/>
          <w:szCs w:val="22"/>
        </w:rPr>
        <w:t>ALTERAÇÃO OU ATUALIZAÇÃO DOS PREÇOS REGISTRADOS</w:t>
      </w:r>
    </w:p>
    <w:p>
      <w:pPr>
        <w:pStyle w:val="Nivel2"/>
        <w:numPr>
          <w:ilvl w:val="1"/>
          <w:numId w:val="5"/>
        </w:numPr>
        <w:spacing w:lineRule="auto" w:line="360"/>
        <w:ind w:hanging="0" w:left="0"/>
        <w:rPr>
          <w:color w:val="auto"/>
          <w:sz w:val="22"/>
          <w:szCs w:val="22"/>
        </w:rPr>
      </w:pPr>
      <w:r>
        <w:rPr>
          <w:color w:val="auto"/>
          <w:sz w:val="22"/>
          <w:szCs w:val="22"/>
        </w:rPr>
        <w:t>Os preços registrados poderão ser alterados ou atualizados em decorrência de eventual redução dos preços pra</w:t>
      </w:r>
      <w:r>
        <w:rPr>
          <w:rFonts w:eastAsia="Calibri"/>
          <w:color w:val="auto"/>
          <w:sz w:val="22"/>
          <w:szCs w:val="22"/>
        </w:rPr>
        <w:t>ti</w:t>
      </w:r>
      <w:r>
        <w:rPr>
          <w:color w:val="auto"/>
          <w:sz w:val="22"/>
          <w:szCs w:val="22"/>
        </w:rPr>
        <w:t>cados no mercado ou de fato que eleve o custo dos bens, das obras ou dos serviços registrados, nas seguintes situações:</w:t>
      </w:r>
    </w:p>
    <w:p>
      <w:pPr>
        <w:pStyle w:val="Nvel3"/>
        <w:numPr>
          <w:ilvl w:val="2"/>
          <w:numId w:val="5"/>
        </w:numPr>
        <w:spacing w:lineRule="auto" w:line="360"/>
        <w:ind w:hanging="0" w:left="284"/>
        <w:rPr>
          <w:color w:val="auto"/>
          <w:sz w:val="22"/>
          <w:szCs w:val="22"/>
        </w:rPr>
      </w:pPr>
      <w:r>
        <w:rPr>
          <w:color w:val="auto"/>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5"/>
        </w:numPr>
        <w:spacing w:lineRule="auto" w:line="360"/>
        <w:ind w:hanging="0" w:left="284"/>
        <w:rPr>
          <w:color w:val="auto"/>
          <w:sz w:val="22"/>
          <w:szCs w:val="22"/>
        </w:rPr>
      </w:pPr>
      <w:r>
        <w:rPr>
          <w:color w:val="auto"/>
          <w:sz w:val="22"/>
          <w:szCs w:val="22"/>
        </w:rPr>
        <w:t>Em caso de criação, alteração ou ex</w:t>
      </w:r>
      <w:r>
        <w:rPr>
          <w:rFonts w:eastAsia="Calibri"/>
          <w:color w:val="auto"/>
          <w:sz w:val="22"/>
          <w:szCs w:val="22"/>
        </w:rPr>
        <w:t>ti</w:t>
      </w:r>
      <w:r>
        <w:rPr>
          <w:color w:val="auto"/>
          <w:sz w:val="22"/>
          <w:szCs w:val="22"/>
        </w:rPr>
        <w:t xml:space="preserve">nção de quaisquer tributos ou encargos legais ou a superveniência de disposições legais, com comprovada repercussão sobre os preços registrados; </w:t>
      </w:r>
    </w:p>
    <w:p>
      <w:pPr>
        <w:pStyle w:val="Nivel2"/>
        <w:numPr>
          <w:ilvl w:val="1"/>
          <w:numId w:val="5"/>
        </w:numPr>
        <w:spacing w:lineRule="auto" w:line="360"/>
        <w:ind w:hanging="0" w:left="0"/>
        <w:rPr>
          <w:sz w:val="22"/>
          <w:szCs w:val="22"/>
        </w:rPr>
      </w:pPr>
      <w:bookmarkStart w:id="45" w:name="_Hlk165615619"/>
      <w:r>
        <w:rPr>
          <w:sz w:val="22"/>
          <w:szCs w:val="22"/>
        </w:rPr>
        <w:t>- Caso o prazo exceda os 12 (doze) meses previstos, os preços serão reajustados de acordo com o índice de variação do IPCA-IBGE.</w:t>
      </w:r>
      <w:bookmarkEnd w:id="45"/>
    </w:p>
    <w:p>
      <w:pPr>
        <w:pStyle w:val="Nvel4"/>
        <w:spacing w:lineRule="auto" w:line="360"/>
        <w:rPr>
          <w:color w:val="auto"/>
          <w:sz w:val="22"/>
          <w:szCs w:val="22"/>
        </w:rPr>
      </w:pPr>
      <w:r>
        <w:rPr>
          <w:color w:val="auto"/>
          <w:sz w:val="22"/>
          <w:szCs w:val="22"/>
        </w:rPr>
      </w:r>
    </w:p>
    <w:p>
      <w:pPr>
        <w:pStyle w:val="Nivel01"/>
        <w:numPr>
          <w:ilvl w:val="0"/>
          <w:numId w:val="5"/>
        </w:numPr>
        <w:spacing w:lineRule="auto" w:line="360"/>
        <w:rPr>
          <w:sz w:val="22"/>
          <w:szCs w:val="22"/>
        </w:rPr>
      </w:pPr>
      <w:r>
        <w:rPr>
          <w:sz w:val="22"/>
          <w:szCs w:val="22"/>
        </w:rPr>
        <w:t>NEGOCIAÇÃO DE PREÇOS REGISTRADOS</w:t>
      </w:r>
    </w:p>
    <w:p>
      <w:pPr>
        <w:pStyle w:val="Nivel2"/>
        <w:numPr>
          <w:ilvl w:val="1"/>
          <w:numId w:val="5"/>
        </w:numPr>
        <w:spacing w:lineRule="auto" w:line="360"/>
        <w:ind w:hanging="0" w:left="0"/>
        <w:rPr>
          <w:color w:val="auto"/>
          <w:sz w:val="22"/>
          <w:szCs w:val="22"/>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pPr>
        <w:pStyle w:val="Nvel3"/>
        <w:numPr>
          <w:ilvl w:val="2"/>
          <w:numId w:val="5"/>
        </w:numPr>
        <w:spacing w:lineRule="auto" w:line="360"/>
        <w:ind w:hanging="0" w:left="284"/>
        <w:rPr>
          <w:color w:val="auto"/>
          <w:sz w:val="22"/>
          <w:szCs w:val="22"/>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pPr>
        <w:pStyle w:val="Nvel3"/>
        <w:numPr>
          <w:ilvl w:val="2"/>
          <w:numId w:val="5"/>
        </w:numPr>
        <w:spacing w:lineRule="auto" w:line="360"/>
        <w:ind w:hanging="0" w:left="284"/>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5"/>
        </w:numPr>
        <w:spacing w:lineRule="auto" w:line="360"/>
        <w:ind w:hanging="0" w:left="284"/>
        <w:rPr>
          <w:color w:val="auto"/>
          <w:sz w:val="22"/>
          <w:szCs w:val="22"/>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bookmarkStart w:id="46" w:name="reducao_preco_mercado_negociacao_frustra"/>
      <w:bookmarkEnd w:id="46"/>
    </w:p>
    <w:p>
      <w:pPr>
        <w:pStyle w:val="Nvel3"/>
        <w:numPr>
          <w:ilvl w:val="2"/>
          <w:numId w:val="5"/>
        </w:numPr>
        <w:spacing w:lineRule="auto" w:line="360"/>
        <w:ind w:hanging="0" w:left="284"/>
        <w:rPr>
          <w:color w:val="auto"/>
          <w:sz w:val="22"/>
          <w:szCs w:val="22"/>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5"/>
        </w:numPr>
        <w:spacing w:lineRule="auto" w:line="360"/>
        <w:ind w:hanging="0" w:left="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7" w:name="hipotese_preco_mercado_maior"/>
      <w:bookmarkEnd w:id="47"/>
    </w:p>
    <w:p>
      <w:pPr>
        <w:pStyle w:val="Nvel3"/>
        <w:numPr>
          <w:ilvl w:val="2"/>
          <w:numId w:val="5"/>
        </w:numPr>
        <w:spacing w:lineRule="auto" w:line="360"/>
        <w:ind w:hanging="0" w:left="284"/>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8" w:name="prova_preco_mercado_maior"/>
      <w:bookmarkEnd w:id="48"/>
    </w:p>
    <w:p>
      <w:pPr>
        <w:pStyle w:val="Nvel3"/>
        <w:numPr>
          <w:ilvl w:val="2"/>
          <w:numId w:val="5"/>
        </w:numPr>
        <w:spacing w:lineRule="auto" w:line="360"/>
        <w:ind w:hanging="0" w:left="284"/>
        <w:rPr>
          <w:color w:val="auto"/>
          <w:sz w:val="22"/>
          <w:szCs w:val="22"/>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sem prejuízo das sanções previstas na Lei nº 14.133, de 2021, e na legislação aplicável.</w:t>
      </w:r>
    </w:p>
    <w:p>
      <w:pPr>
        <w:pStyle w:val="Nvel3"/>
        <w:numPr>
          <w:ilvl w:val="2"/>
          <w:numId w:val="5"/>
        </w:numPr>
        <w:spacing w:lineRule="auto" w:line="360"/>
        <w:ind w:hanging="0" w:left="284"/>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5"/>
        </w:numPr>
        <w:spacing w:lineRule="auto" w:line="360"/>
        <w:ind w:hanging="0" w:left="284"/>
        <w:rPr>
          <w:color w:val="auto"/>
          <w:sz w:val="22"/>
          <w:szCs w:val="22"/>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sz w:val="22"/>
          <w:szCs w:val="22"/>
          <w:color w:val="auto"/>
        </w:rPr>
        <w:instrText xml:space="preserve"> REF cancelamento_da_ata \r \r \h </w:instrText>
      </w:r>
      <w:r>
        <w:rPr>
          <w:sz w:val="22"/>
          <w:szCs w:val="22"/>
          <w:color w:val="auto"/>
        </w:rPr>
        <w:fldChar w:fldCharType="separate"/>
      </w:r>
      <w:r>
        <w:rPr>
          <w:sz w:val="22"/>
          <w:szCs w:val="22"/>
          <w:color w:val="auto"/>
        </w:rPr>
        <w:t>10.4</w:t>
      </w:r>
      <w:r>
        <w:rPr>
          <w:sz w:val="22"/>
          <w:szCs w:val="22"/>
          <w:color w:val="auto"/>
        </w:rPr>
        <w:fldChar w:fldCharType="end"/>
      </w:r>
      <w:r>
        <w:rPr>
          <w:color w:val="auto"/>
          <w:sz w:val="22"/>
          <w:szCs w:val="22"/>
        </w:rPr>
        <w:t>, e adotará as medidas cabíveis para a obtenção da contratação mais vantajosa.</w:t>
      </w:r>
    </w:p>
    <w:p>
      <w:pPr>
        <w:pStyle w:val="Nvel3"/>
        <w:numPr>
          <w:ilvl w:val="2"/>
          <w:numId w:val="5"/>
        </w:numPr>
        <w:spacing w:lineRule="auto" w:line="360"/>
        <w:ind w:hanging="0" w:left="284"/>
        <w:rPr>
          <w:color w:val="auto"/>
          <w:sz w:val="22"/>
          <w:szCs w:val="22"/>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sz w:val="22"/>
          <w:szCs w:val="22"/>
          <w:color w:val="auto"/>
        </w:rPr>
        <w:instrText xml:space="preserve"> REF hipotese_preco_mercado_maior \r \r \h </w:instrText>
      </w:r>
      <w:r>
        <w:rPr>
          <w:sz w:val="22"/>
          <w:szCs w:val="22"/>
          <w:color w:val="auto"/>
        </w:rPr>
        <w:fldChar w:fldCharType="separate"/>
      </w:r>
      <w:r>
        <w:rPr>
          <w:sz w:val="22"/>
          <w:szCs w:val="22"/>
          <w:color w:val="auto"/>
        </w:rPr>
        <w:t>8.2</w:t>
      </w:r>
      <w:r>
        <w:rPr>
          <w:sz w:val="22"/>
          <w:szCs w:val="22"/>
          <w:color w:val="auto"/>
        </w:rPr>
        <w:fldChar w:fldCharType="end"/>
      </w:r>
      <w:r>
        <w:rPr>
          <w:color w:val="auto"/>
          <w:sz w:val="22"/>
          <w:szCs w:val="22"/>
        </w:rPr>
        <w:t xml:space="preserve"> e no item </w:t>
      </w:r>
      <w:r>
        <w:rPr>
          <w:color w:val="auto"/>
          <w:sz w:val="22"/>
          <w:szCs w:val="22"/>
        </w:rPr>
        <w:fldChar w:fldCharType="begin"/>
      </w:r>
      <w:r>
        <w:rPr>
          <w:sz w:val="22"/>
          <w:szCs w:val="22"/>
          <w:color w:val="auto"/>
        </w:rPr>
        <w:instrText xml:space="preserve"> REF prova_preco_mercado_maior \r \r \h </w:instrText>
      </w:r>
      <w:r>
        <w:rPr>
          <w:sz w:val="22"/>
          <w:szCs w:val="22"/>
          <w:color w:val="auto"/>
        </w:rPr>
        <w:fldChar w:fldCharType="separate"/>
      </w:r>
      <w:r>
        <w:rPr>
          <w:sz w:val="22"/>
          <w:szCs w:val="22"/>
          <w:color w:val="auto"/>
        </w:rPr>
        <w:t>8.2.1</w:t>
      </w:r>
      <w:r>
        <w:rPr>
          <w:sz w:val="22"/>
          <w:szCs w:val="22"/>
          <w:color w:val="auto"/>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pPr>
        <w:pStyle w:val="Nvel3"/>
        <w:numPr>
          <w:ilvl w:val="2"/>
          <w:numId w:val="5"/>
        </w:numPr>
        <w:spacing w:lineRule="auto" w:line="360"/>
        <w:ind w:hanging="0" w:left="284"/>
        <w:rPr>
          <w:color w:val="auto"/>
          <w:sz w:val="22"/>
          <w:szCs w:val="22"/>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pPr>
        <w:pStyle w:val="Nivel01"/>
        <w:numPr>
          <w:ilvl w:val="0"/>
          <w:numId w:val="5"/>
        </w:numPr>
        <w:spacing w:lineRule="auto" w:line="360"/>
        <w:rPr>
          <w:sz w:val="22"/>
          <w:szCs w:val="22"/>
        </w:rPr>
      </w:pPr>
      <w:r>
        <w:rPr>
          <w:sz w:val="22"/>
          <w:szCs w:val="22"/>
        </w:rPr>
        <w:t>REMANEJAMENTO DAS QUANTIDADES REGISTRADAS NA ATA DE REGISTRO DE PREÇOS</w:t>
      </w:r>
    </w:p>
    <w:p>
      <w:pPr>
        <w:pStyle w:val="Nivel2"/>
        <w:numPr>
          <w:ilvl w:val="1"/>
          <w:numId w:val="5"/>
        </w:numPr>
        <w:spacing w:lineRule="auto" w:line="360"/>
        <w:ind w:hanging="0" w:left="0"/>
        <w:rPr>
          <w:color w:val="auto"/>
          <w:sz w:val="22"/>
          <w:szCs w:val="22"/>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pPr>
        <w:pStyle w:val="Nivel2"/>
        <w:numPr>
          <w:ilvl w:val="1"/>
          <w:numId w:val="5"/>
        </w:numPr>
        <w:spacing w:lineRule="auto" w:line="360"/>
        <w:ind w:hanging="0" w:left="0"/>
        <w:rPr>
          <w:color w:val="auto"/>
          <w:sz w:val="22"/>
          <w:szCs w:val="22"/>
        </w:rPr>
      </w:pPr>
      <w:r>
        <w:rPr>
          <w:rFonts w:eastAsia="Arial"/>
          <w:color w:val="auto"/>
          <w:sz w:val="22"/>
          <w:szCs w:val="22"/>
        </w:rPr>
        <w:t xml:space="preserve"> </w:t>
      </w:r>
      <w:r>
        <w:rPr>
          <w:color w:val="auto"/>
          <w:sz w:val="22"/>
          <w:szCs w:val="22"/>
        </w:rPr>
        <w:t>O remanejamento somente poderá ser feito:</w:t>
      </w:r>
    </w:p>
    <w:p>
      <w:pPr>
        <w:pStyle w:val="Nvel3"/>
        <w:numPr>
          <w:ilvl w:val="2"/>
          <w:numId w:val="5"/>
        </w:numPr>
        <w:spacing w:lineRule="auto" w:line="360"/>
        <w:ind w:hanging="0" w:left="284"/>
        <w:rPr>
          <w:color w:val="auto"/>
          <w:sz w:val="22"/>
          <w:szCs w:val="22"/>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pPr>
        <w:pStyle w:val="Nvel3"/>
        <w:numPr>
          <w:ilvl w:val="2"/>
          <w:numId w:val="5"/>
        </w:numPr>
        <w:spacing w:lineRule="auto" w:line="360"/>
        <w:ind w:hanging="0" w:left="284"/>
        <w:rPr>
          <w:color w:val="auto"/>
          <w:sz w:val="22"/>
          <w:szCs w:val="22"/>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pPr>
        <w:pStyle w:val="Nivel2"/>
        <w:numPr>
          <w:ilvl w:val="1"/>
          <w:numId w:val="5"/>
        </w:numPr>
        <w:spacing w:lineRule="auto" w:line="360"/>
        <w:ind w:hanging="0" w:left="0"/>
        <w:rPr>
          <w:color w:val="auto"/>
          <w:sz w:val="22"/>
          <w:szCs w:val="22"/>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bookmarkStart w:id="49" w:name="gerenciador_estimador_é_partic_em_remane"/>
      <w:bookmarkEnd w:id="49"/>
    </w:p>
    <w:p>
      <w:pPr>
        <w:pStyle w:val="Nivel01"/>
        <w:numPr>
          <w:ilvl w:val="0"/>
          <w:numId w:val="5"/>
        </w:numPr>
        <w:spacing w:lineRule="auto" w:line="360"/>
        <w:rPr>
          <w:sz w:val="22"/>
          <w:szCs w:val="22"/>
        </w:rPr>
      </w:pPr>
      <w:r>
        <w:rPr>
          <w:sz w:val="22"/>
          <w:szCs w:val="22"/>
        </w:rPr>
        <w:t>CANCELAMENTO DO REGISTRO DO LICITANTE VENCEDOR E DOS PREÇOS REGISTRADOS</w:t>
      </w:r>
      <w:bookmarkStart w:id="50" w:name="cancelamento"/>
      <w:bookmarkEnd w:id="50"/>
    </w:p>
    <w:p>
      <w:pPr>
        <w:pStyle w:val="Nivel2"/>
        <w:numPr>
          <w:ilvl w:val="1"/>
          <w:numId w:val="5"/>
        </w:numPr>
        <w:spacing w:lineRule="auto" w:line="360"/>
        <w:ind w:hanging="0" w:left="0"/>
        <w:rPr>
          <w:color w:val="auto"/>
          <w:sz w:val="22"/>
          <w:szCs w:val="22"/>
        </w:rPr>
      </w:pPr>
      <w:r>
        <w:rPr>
          <w:color w:val="auto"/>
          <w:sz w:val="22"/>
          <w:szCs w:val="22"/>
        </w:rPr>
        <w:t>O registro do fornecedor será cancelado pelo gerenciador, quando o fornecedor:</w:t>
      </w:r>
      <w:bookmarkStart w:id="51" w:name="cancelamento_do_fornecedor"/>
      <w:bookmarkEnd w:id="51"/>
    </w:p>
    <w:p>
      <w:pPr>
        <w:pStyle w:val="Nvel3"/>
        <w:numPr>
          <w:ilvl w:val="2"/>
          <w:numId w:val="5"/>
        </w:numPr>
        <w:spacing w:lineRule="auto" w:line="360"/>
        <w:ind w:hanging="0" w:left="284"/>
        <w:rPr>
          <w:color w:val="auto"/>
          <w:sz w:val="22"/>
          <w:szCs w:val="22"/>
        </w:rPr>
      </w:pPr>
      <w:r>
        <w:rPr>
          <w:color w:val="auto"/>
          <w:sz w:val="22"/>
          <w:szCs w:val="22"/>
        </w:rPr>
        <w:t>Descumprir as condições da ata de registro de preços, sem motivo justificado;</w:t>
      </w:r>
    </w:p>
    <w:p>
      <w:pPr>
        <w:pStyle w:val="Nvel3"/>
        <w:numPr>
          <w:ilvl w:val="2"/>
          <w:numId w:val="5"/>
        </w:numPr>
        <w:spacing w:lineRule="auto" w:line="360"/>
        <w:ind w:hanging="0" w:left="284"/>
        <w:rPr>
          <w:color w:val="auto"/>
          <w:sz w:val="22"/>
          <w:szCs w:val="22"/>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pPr>
        <w:pStyle w:val="Nvel3"/>
        <w:numPr>
          <w:ilvl w:val="2"/>
          <w:numId w:val="5"/>
        </w:numPr>
        <w:spacing w:lineRule="auto" w:line="360"/>
        <w:ind w:hanging="0" w:left="284"/>
        <w:rPr>
          <w:color w:val="auto"/>
          <w:sz w:val="22"/>
          <w:szCs w:val="22"/>
        </w:rPr>
      </w:pPr>
      <w:r>
        <w:rPr>
          <w:color w:val="auto"/>
          <w:sz w:val="22"/>
          <w:szCs w:val="22"/>
        </w:rPr>
        <w:t>Sofrer sanção prevista nos incisos III ou IV do caput do art. 156 da Lei nº 14.133, de 2021.</w:t>
      </w:r>
    </w:p>
    <w:p>
      <w:pPr>
        <w:pStyle w:val="Nvel4"/>
        <w:spacing w:lineRule="auto" w:line="360"/>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5"/>
        </w:numPr>
        <w:spacing w:lineRule="auto" w:line="360"/>
        <w:ind w:hanging="0" w:left="0"/>
        <w:rPr>
          <w:color w:val="auto"/>
          <w:sz w:val="22"/>
          <w:szCs w:val="22"/>
        </w:rPr>
      </w:pPr>
      <w:r>
        <w:rPr>
          <w:rFonts w:eastAsia="Arial"/>
          <w:color w:val="auto"/>
          <w:sz w:val="22"/>
          <w:szCs w:val="22"/>
        </w:rPr>
        <w:t xml:space="preserve"> </w:t>
      </w:r>
      <w:r>
        <w:rPr>
          <w:color w:val="auto"/>
          <w:sz w:val="22"/>
          <w:szCs w:val="22"/>
        </w:rPr>
        <w:t xml:space="preserve">O cancelamento de registros nas hipóteses previstas no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xml:space="preserve"> será formalizado por despacho do órgão ou da entidade gerenciadora, garantidos os princípios do contraditório e da ampla defesa.</w:t>
      </w:r>
    </w:p>
    <w:p>
      <w:pPr>
        <w:pStyle w:val="Nivel2"/>
        <w:numPr>
          <w:ilvl w:val="1"/>
          <w:numId w:val="5"/>
        </w:numPr>
        <w:spacing w:lineRule="auto" w:line="360"/>
        <w:ind w:hanging="0" w:left="0"/>
        <w:rPr>
          <w:color w:val="auto"/>
          <w:sz w:val="22"/>
          <w:szCs w:val="22"/>
        </w:rPr>
      </w:pPr>
      <w:r>
        <w:rPr>
          <w:color w:val="auto"/>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5"/>
        </w:numPr>
        <w:spacing w:lineRule="auto" w:line="360"/>
        <w:ind w:hanging="0" w:left="0"/>
        <w:rPr>
          <w:color w:val="auto"/>
          <w:sz w:val="22"/>
          <w:szCs w:val="22"/>
        </w:rPr>
      </w:pPr>
      <w:r>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52" w:name="cancelamento_da_ata"/>
      <w:bookmarkEnd w:id="52"/>
      <w:r>
        <w:rPr>
          <w:color w:val="auto"/>
          <w:sz w:val="22"/>
          <w:szCs w:val="22"/>
        </w:rPr>
        <w:t xml:space="preserve"> </w:t>
      </w:r>
    </w:p>
    <w:p>
      <w:pPr>
        <w:pStyle w:val="Nvel3"/>
        <w:numPr>
          <w:ilvl w:val="2"/>
          <w:numId w:val="5"/>
        </w:numPr>
        <w:spacing w:lineRule="auto" w:line="360"/>
        <w:ind w:hanging="0" w:left="284"/>
        <w:rPr>
          <w:color w:val="auto"/>
          <w:sz w:val="22"/>
          <w:szCs w:val="22"/>
        </w:rPr>
      </w:pPr>
      <w:r>
        <w:rPr>
          <w:color w:val="auto"/>
          <w:sz w:val="22"/>
          <w:szCs w:val="22"/>
        </w:rPr>
        <w:t>Por razão de interesse público;</w:t>
      </w:r>
    </w:p>
    <w:p>
      <w:pPr>
        <w:pStyle w:val="Nvel3"/>
        <w:numPr>
          <w:ilvl w:val="2"/>
          <w:numId w:val="5"/>
        </w:numPr>
        <w:spacing w:lineRule="auto" w:line="360"/>
        <w:ind w:hanging="0" w:left="284"/>
        <w:rPr>
          <w:color w:val="auto"/>
          <w:sz w:val="22"/>
          <w:szCs w:val="22"/>
        </w:rPr>
      </w:pPr>
      <w:r>
        <w:rPr>
          <w:color w:val="auto"/>
          <w:sz w:val="22"/>
          <w:szCs w:val="22"/>
        </w:rPr>
        <w:t>A pedido do fornecedor, decorrente de caso fortuito ou força maior; ou</w:t>
      </w:r>
    </w:p>
    <w:p>
      <w:pPr>
        <w:pStyle w:val="Nvel3"/>
        <w:numPr>
          <w:ilvl w:val="2"/>
          <w:numId w:val="5"/>
        </w:numPr>
        <w:spacing w:lineRule="auto" w:line="360"/>
        <w:ind w:hanging="0" w:left="284"/>
        <w:rPr>
          <w:color w:val="auto"/>
          <w:sz w:val="22"/>
          <w:szCs w:val="22"/>
        </w:rPr>
      </w:pPr>
      <w:r>
        <w:rPr>
          <w:color w:val="auto"/>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5"/>
        </w:numPr>
        <w:spacing w:lineRule="auto" w:line="360"/>
        <w:rPr>
          <w:sz w:val="22"/>
          <w:szCs w:val="22"/>
        </w:rPr>
      </w:pPr>
      <w:r>
        <w:rPr>
          <w:sz w:val="22"/>
          <w:szCs w:val="22"/>
        </w:rPr>
        <w:t>DAS PENALIDADES</w:t>
      </w:r>
    </w:p>
    <w:p>
      <w:pPr>
        <w:pStyle w:val="Nivel2"/>
        <w:numPr>
          <w:ilvl w:val="1"/>
          <w:numId w:val="5"/>
        </w:numPr>
        <w:spacing w:lineRule="auto" w:line="360"/>
        <w:ind w:hanging="0" w:left="0"/>
        <w:rPr>
          <w:color w:val="auto"/>
          <w:sz w:val="22"/>
          <w:szCs w:val="22"/>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pPr>
        <w:pStyle w:val="Nvel3"/>
        <w:numPr>
          <w:ilvl w:val="2"/>
          <w:numId w:val="5"/>
        </w:numPr>
        <w:spacing w:lineRule="auto" w:line="360"/>
        <w:ind w:hanging="0" w:left="284"/>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5"/>
        </w:numPr>
        <w:spacing w:lineRule="auto" w:line="360"/>
        <w:ind w:hanging="0" w:left="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5"/>
        </w:numPr>
        <w:spacing w:lineRule="auto" w:line="360"/>
        <w:ind w:hanging="0" w:left="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5"/>
        </w:numPr>
        <w:spacing w:lineRule="auto" w:line="360"/>
        <w:rPr>
          <w:sz w:val="22"/>
          <w:szCs w:val="22"/>
        </w:rPr>
      </w:pPr>
      <w:r>
        <w:rPr>
          <w:sz w:val="22"/>
          <w:szCs w:val="22"/>
        </w:rPr>
        <w:t>CONDIÇÕES GERAIS</w:t>
      </w:r>
    </w:p>
    <w:p>
      <w:pPr>
        <w:pStyle w:val="Nivel2"/>
        <w:numPr>
          <w:ilvl w:val="1"/>
          <w:numId w:val="5"/>
        </w:numPr>
        <w:spacing w:lineRule="auto" w:line="360"/>
        <w:ind w:hanging="0" w:left="0"/>
        <w:rPr>
          <w:color w:val="auto"/>
          <w:sz w:val="22"/>
          <w:szCs w:val="22"/>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pPr>
        <w:pStyle w:val="Nvel2-Red"/>
        <w:spacing w:lineRule="auto" w:line="360"/>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ormal"/>
        <w:widowControl w:val="false"/>
        <w:spacing w:lineRule="auto" w:line="360" w:before="120" w:after="120"/>
        <w:jc w:val="both"/>
        <w:rPr>
          <w:rFonts w:ascii="Arial" w:hAnsi="Arial" w:cs="Arial"/>
          <w:sz w:val="22"/>
          <w:szCs w:val="22"/>
        </w:rPr>
      </w:pPr>
      <w:r>
        <w:rPr>
          <w:rFonts w:cs="Arial" w:ascii="Arial" w:hAnsi="Arial"/>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jc w:val="center"/>
        <w:rPr>
          <w:rFonts w:ascii="Arial" w:hAnsi="Arial" w:cs="Arial"/>
          <w:b/>
          <w:bCs/>
          <w:sz w:val="22"/>
          <w:szCs w:val="22"/>
        </w:rPr>
      </w:pPr>
      <w:r>
        <w:rPr>
          <w:rFonts w:cs="Arial" w:ascii="Arial" w:hAnsi="Arial"/>
          <w:b/>
          <w:bCs/>
          <w:sz w:val="22"/>
          <w:szCs w:val="22"/>
        </w:rPr>
        <w:t>THOMÁS ANTÔNIO CAPELETTO DE OLIVEIRA</w:t>
      </w:r>
    </w:p>
    <w:p>
      <w:pPr>
        <w:pStyle w:val="Normal"/>
        <w:jc w:val="center"/>
        <w:rPr>
          <w:rFonts w:ascii="Arial" w:hAnsi="Arial" w:cs="Arial"/>
          <w:b/>
          <w:sz w:val="22"/>
          <w:szCs w:val="22"/>
        </w:rPr>
      </w:pPr>
      <w:r>
        <w:rPr>
          <w:rFonts w:cs="Arial" w:ascii="Arial" w:hAnsi="Arial"/>
          <w:b/>
          <w:sz w:val="22"/>
          <w:szCs w:val="22"/>
        </w:rPr>
        <w:t>PREFEITO MUNICIPAL</w:t>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___________________________________</w:t>
      </w:r>
    </w:p>
    <w:p>
      <w:pPr>
        <w:pStyle w:val="Normal"/>
        <w:tabs>
          <w:tab w:val="clear" w:pos="709"/>
          <w:tab w:val="left" w:pos="1620" w:leader="none"/>
          <w:tab w:val="left" w:pos="3210" w:leader="none"/>
        </w:tabs>
        <w:jc w:val="center"/>
        <w:rPr>
          <w:rFonts w:ascii="Arial" w:hAnsi="Arial" w:cs="Arial"/>
          <w:b/>
          <w:sz w:val="22"/>
          <w:szCs w:val="22"/>
        </w:rPr>
      </w:pPr>
      <w:r>
        <w:rPr>
          <w:rFonts w:cs="Arial" w:ascii="Arial" w:hAnsi="Arial"/>
          <w:b/>
          <w:sz w:val="22"/>
          <w:szCs w:val="22"/>
        </w:rPr>
        <w:t>FORNECEDOR</w:t>
      </w:r>
    </w:p>
    <w:p>
      <w:pPr>
        <w:pStyle w:val="Normal"/>
        <w:tabs>
          <w:tab w:val="clear" w:pos="709"/>
          <w:tab w:val="left" w:pos="1620" w:leader="none"/>
          <w:tab w:val="left" w:pos="3210" w:leader="none"/>
        </w:tabs>
        <w:rPr>
          <w:rFonts w:ascii="Arial" w:hAnsi="Arial" w:cs="Arial"/>
          <w:b/>
          <w:sz w:val="22"/>
          <w:szCs w:val="22"/>
        </w:rPr>
      </w:pPr>
      <w:r>
        <w:rPr>
          <w:rFonts w:cs="Arial" w:ascii="Arial" w:hAnsi="Arial"/>
          <w:b/>
          <w:sz w:val="22"/>
          <w:szCs w:val="22"/>
        </w:rPr>
      </w:r>
    </w:p>
    <w:p>
      <w:pPr>
        <w:pStyle w:val="Normal"/>
        <w:tabs>
          <w:tab w:val="clear" w:pos="709"/>
          <w:tab w:val="left" w:pos="1620" w:leader="none"/>
          <w:tab w:val="left" w:pos="3210" w:leader="none"/>
        </w:tabs>
        <w:rPr>
          <w:rFonts w:ascii="Arial" w:hAnsi="Arial" w:cs="Arial"/>
          <w:b/>
          <w:sz w:val="22"/>
          <w:szCs w:val="22"/>
        </w:rPr>
      </w:pPr>
      <w:r>
        <w:rPr>
          <w:rFonts w:cs="Arial" w:ascii="Arial" w:hAnsi="Arial"/>
          <w:b/>
          <w:sz w:val="22"/>
          <w:szCs w:val="22"/>
        </w:rPr>
      </w:r>
    </w:p>
    <w:p>
      <w:pPr>
        <w:pStyle w:val="Normal"/>
        <w:tabs>
          <w:tab w:val="clear" w:pos="709"/>
          <w:tab w:val="left" w:pos="1620" w:leader="none"/>
          <w:tab w:val="left" w:pos="3210" w:leader="none"/>
        </w:tabs>
        <w:jc w:val="center"/>
        <w:rPr>
          <w:rFonts w:ascii="Arial" w:hAnsi="Arial" w:cs="Arial"/>
          <w:b/>
          <w:bCs/>
          <w:sz w:val="22"/>
          <w:szCs w:val="22"/>
          <w:lang w:val="en-US"/>
        </w:rPr>
      </w:pPr>
      <w:r>
        <w:rPr>
          <w:rFonts w:cs="Arial" w:ascii="Arial" w:hAnsi="Arial"/>
          <w:b/>
          <w:bCs/>
          <w:sz w:val="22"/>
          <w:szCs w:val="22"/>
          <w:lang w:val="en-US"/>
        </w:rPr>
        <w:t>____________________________________</w:t>
      </w:r>
    </w:p>
    <w:p>
      <w:pPr>
        <w:pStyle w:val="Normal"/>
        <w:tabs>
          <w:tab w:val="clear" w:pos="709"/>
          <w:tab w:val="left" w:pos="1620" w:leader="none"/>
        </w:tabs>
        <w:jc w:val="center"/>
        <w:rPr>
          <w:rFonts w:ascii="Arial" w:hAnsi="Arial" w:cs="Arial"/>
          <w:b/>
          <w:bCs/>
          <w:sz w:val="22"/>
          <w:szCs w:val="22"/>
          <w:lang w:val="en-US"/>
        </w:rPr>
      </w:pPr>
      <w:r>
        <w:rPr>
          <w:rFonts w:cs="Arial" w:ascii="Arial" w:hAnsi="Arial"/>
          <w:b/>
          <w:bCs/>
          <w:sz w:val="22"/>
          <w:szCs w:val="22"/>
          <w:lang w:val="en-US"/>
        </w:rPr>
        <w:t>ADRIANA STOCCO</w:t>
      </w:r>
    </w:p>
    <w:p>
      <w:pPr>
        <w:pStyle w:val="Normal"/>
        <w:tabs>
          <w:tab w:val="clear" w:pos="709"/>
          <w:tab w:val="left" w:pos="1620" w:leader="none"/>
        </w:tabs>
        <w:jc w:val="center"/>
        <w:rPr>
          <w:rFonts w:ascii="Arial" w:hAnsi="Arial" w:cs="Arial"/>
          <w:b/>
          <w:bCs/>
          <w:sz w:val="22"/>
          <w:szCs w:val="22"/>
          <w:lang w:val="en-US"/>
        </w:rPr>
      </w:pPr>
      <w:r>
        <w:rPr>
          <w:rFonts w:cs="Arial" w:ascii="Arial" w:hAnsi="Arial"/>
          <w:b/>
          <w:bCs/>
          <w:sz w:val="22"/>
          <w:szCs w:val="22"/>
          <w:lang w:val="en-US"/>
        </w:rPr>
        <w:t>RG 28.024.701-1</w:t>
      </w:r>
    </w:p>
    <w:p>
      <w:pPr>
        <w:pStyle w:val="Normal"/>
        <w:tabs>
          <w:tab w:val="clear" w:pos="709"/>
          <w:tab w:val="left" w:pos="1620" w:leader="none"/>
        </w:tabs>
        <w:jc w:val="center"/>
        <w:rPr>
          <w:rFonts w:ascii="Arial" w:hAnsi="Arial" w:cs="Arial"/>
          <w:b/>
          <w:bCs/>
          <w:sz w:val="22"/>
          <w:szCs w:val="22"/>
          <w:lang w:val="en-US"/>
        </w:rPr>
      </w:pPr>
      <w:r>
        <w:rPr>
          <w:rFonts w:cs="Arial" w:ascii="Arial" w:hAnsi="Arial"/>
          <w:b/>
          <w:bCs/>
          <w:sz w:val="22"/>
          <w:szCs w:val="22"/>
          <w:lang w:val="en-US"/>
        </w:rPr>
      </w:r>
    </w:p>
    <w:p>
      <w:pPr>
        <w:pStyle w:val="Normal"/>
        <w:tabs>
          <w:tab w:val="clear" w:pos="709"/>
          <w:tab w:val="left" w:pos="1620" w:leader="none"/>
        </w:tabs>
        <w:jc w:val="center"/>
        <w:rPr>
          <w:rFonts w:ascii="Arial" w:hAnsi="Arial" w:cs="Arial"/>
          <w:b/>
          <w:sz w:val="22"/>
          <w:szCs w:val="22"/>
        </w:rPr>
      </w:pPr>
      <w:r>
        <w:rPr>
          <w:rFonts w:cs="Arial" w:ascii="Arial" w:hAnsi="Arial"/>
          <w:b/>
          <w:sz w:val="22"/>
          <w:szCs w:val="22"/>
        </w:rPr>
        <w:t>________________________________</w:t>
      </w:r>
    </w:p>
    <w:p>
      <w:pPr>
        <w:pStyle w:val="Normal"/>
        <w:tabs>
          <w:tab w:val="clear" w:pos="709"/>
          <w:tab w:val="left" w:pos="1620" w:leader="none"/>
        </w:tabs>
        <w:jc w:val="center"/>
        <w:rPr>
          <w:rFonts w:ascii="Arial" w:hAnsi="Arial" w:cs="Arial"/>
          <w:b/>
          <w:bCs/>
          <w:sz w:val="22"/>
          <w:szCs w:val="22"/>
        </w:rPr>
      </w:pPr>
      <w:r>
        <w:rPr>
          <w:rFonts w:cs="Arial" w:ascii="Arial" w:hAnsi="Arial"/>
          <w:b/>
          <w:bCs/>
          <w:sz w:val="22"/>
          <w:szCs w:val="22"/>
        </w:rPr>
        <w:t>ADRIANA DE OLIVEIRA SCHIAVINATTO</w:t>
      </w:r>
    </w:p>
    <w:p>
      <w:pPr>
        <w:pStyle w:val="Normal"/>
        <w:tabs>
          <w:tab w:val="clear" w:pos="709"/>
          <w:tab w:val="left" w:pos="1620" w:leader="none"/>
        </w:tabs>
        <w:jc w:val="center"/>
        <w:rPr>
          <w:rFonts w:ascii="Arial" w:hAnsi="Arial" w:cs="Arial"/>
          <w:b/>
          <w:bCs/>
          <w:sz w:val="22"/>
          <w:szCs w:val="22"/>
          <w:lang w:val="en-US"/>
        </w:rPr>
      </w:pPr>
      <w:r>
        <w:rPr>
          <w:rFonts w:cs="Arial" w:ascii="Arial" w:hAnsi="Arial"/>
          <w:b/>
          <w:bCs/>
          <w:sz w:val="22"/>
          <w:szCs w:val="22"/>
          <w:lang w:val="en-US"/>
        </w:rPr>
        <w:t>RG 34.464.785-7</w:t>
      </w:r>
    </w:p>
    <w:p>
      <w:pPr>
        <w:pStyle w:val="Normal"/>
        <w:tabs>
          <w:tab w:val="clear" w:pos="709"/>
          <w:tab w:val="left" w:pos="2345" w:leader="none"/>
        </w:tabs>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360"/>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360"/>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360"/>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360"/>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360"/>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360"/>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360"/>
        <w:ind w:right="-30"/>
        <w:jc w:val="both"/>
        <w:rPr>
          <w:rFonts w:ascii="Arial" w:hAnsi="Arial" w:cs="Arial"/>
          <w:b/>
          <w:bCs/>
          <w:sz w:val="22"/>
          <w:szCs w:val="22"/>
          <w:lang w:val="en-US"/>
        </w:rPr>
      </w:pPr>
      <w:r>
        <w:rPr>
          <w:rFonts w:cs="Arial" w:ascii="Arial" w:hAnsi="Arial"/>
          <w:b/>
          <w:bCs/>
          <w:sz w:val="22"/>
          <w:szCs w:val="22"/>
          <w:lang w:val="en-US"/>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Anexo I -  ATA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70" w:type="dxa"/>
        <w:tblLayout w:type="fixed"/>
        <w:tblCellMar>
          <w:top w:w="60" w:type="dxa"/>
          <w:left w:w="60" w:type="dxa"/>
          <w:bottom w:w="60" w:type="dxa"/>
          <w:right w:w="60" w:type="dxa"/>
        </w:tblCellMar>
        <w:tblLook w:firstRow="1" w:noVBand="1" w:lastRow="0" w:firstColumn="1" w:lastColumn="0" w:noHBand="0" w:val="04a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rFonts w:ascii="Arial" w:hAnsi="Arial" w:cs="Arial"/>
                <w:sz w:val="22"/>
                <w:szCs w:val="22"/>
              </w:rPr>
            </w:pPr>
            <w:bookmarkStart w:id="53" w:name="_Hlk159838635"/>
            <w:bookmarkEnd w:id="53"/>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70" w:type="dxa"/>
        <w:tblLayout w:type="fixed"/>
        <w:tblCellMar>
          <w:top w:w="60" w:type="dxa"/>
          <w:left w:w="60" w:type="dxa"/>
          <w:bottom w:w="60" w:type="dxa"/>
          <w:right w:w="60" w:type="dxa"/>
        </w:tblCellMar>
        <w:tblLook w:firstRow="1" w:noVBand="1" w:lastRow="0" w:firstColumn="1" w:lastColumn="0" w:noHBand="0" w:val="04a0"/>
      </w:tblPr>
      <w:tblGrid>
        <w:gridCol w:w="687"/>
        <w:gridCol w:w="1537"/>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rFonts w:ascii="Arial" w:hAnsi="Arial" w:cs="Arial"/>
                <w:sz w:val="22"/>
                <w:szCs w:val="22"/>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lang w:eastAsia="pt-BR"/>
        </w:rPr>
      </w:pPr>
      <w:r>
        <w:drawing>
          <wp:anchor behindDoc="0" distT="0" distB="0" distL="0" distR="0" simplePos="0" locked="0" layoutInCell="0" allowOverlap="1" relativeHeight="130">
            <wp:simplePos x="0" y="0"/>
            <wp:positionH relativeFrom="column">
              <wp:posOffset>-263525</wp:posOffset>
            </wp:positionH>
            <wp:positionV relativeFrom="paragraph">
              <wp:posOffset>384810</wp:posOffset>
            </wp:positionV>
            <wp:extent cx="6227445" cy="7747000"/>
            <wp:effectExtent l="0" t="0" r="0" b="0"/>
            <wp:wrapSquare wrapText="bothSides"/>
            <wp:docPr id="1" name="ole_rId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4" descr=""/>
                    <pic:cNvPicPr>
                      <a:picLocks noChangeAspect="1" noChangeArrowheads="1"/>
                    </pic:cNvPicPr>
                  </pic:nvPicPr>
                  <pic:blipFill>
                    <a:blip r:embed="rId19"/>
                    <a:stretch>
                      <a:fillRect/>
                    </a:stretch>
                  </pic:blipFill>
                  <pic:spPr bwMode="auto">
                    <a:xfrm>
                      <a:off x="0" y="0"/>
                      <a:ext cx="6227445" cy="7747000"/>
                    </a:xfrm>
                    <a:prstGeom prst="rect">
                      <a:avLst/>
                    </a:prstGeom>
                    <a:noFill/>
                  </pic:spPr>
                </pic:pic>
              </a:graphicData>
            </a:graphic>
          </wp:anchor>
        </w:drawing>
      </w:r>
      <w:r>
        <w:rPr>
          <w:rFonts w:cs="Arial" w:ascii="Arial" w:hAnsi="Arial"/>
          <w:b/>
          <w:bCs/>
          <w:sz w:val="22"/>
          <w:szCs w:val="22"/>
        </w:rPr>
        <w:t>ANEXO VII</w:t>
      </w:r>
    </w:p>
    <w:p>
      <w:pPr>
        <w:pStyle w:val="Normal"/>
        <w:widowControl w:val="false"/>
        <w:tabs>
          <w:tab w:val="clear" w:pos="709"/>
          <w:tab w:val="left" w:pos="8322" w:leader="none"/>
        </w:tabs>
        <w:spacing w:lineRule="auto" w:line="360"/>
        <w:rPr>
          <w:rFonts w:ascii="Arial" w:hAnsi="Arial" w:cs="Arial"/>
          <w:sz w:val="22"/>
          <w:szCs w:val="22"/>
        </w:rPr>
      </w:pPr>
      <w:r>
        <w:rPr>
          <w:rFonts w:cs="Arial" w:ascii="Arial" w:hAnsi="Arial"/>
          <w:sz w:val="22"/>
          <w:szCs w:val="22"/>
        </w:rPr>
        <w:tab/>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94</w:t>
      </w:r>
      <w:r>
        <w:rPr>
          <w:rFonts w:cs="Arial" w:ascii="Arial" w:hAnsi="Arial"/>
          <w:bCs/>
          <w:sz w:val="22"/>
          <w:szCs w:val="22"/>
        </w:rPr>
        <w:t xml:space="preserve">/2025. Objeto: </w:t>
      </w:r>
      <w:r>
        <w:rPr>
          <w:rFonts w:cs="Arial" w:ascii="Arial" w:hAnsi="Arial"/>
          <w:sz w:val="22"/>
          <w:szCs w:val="22"/>
        </w:rPr>
        <w:t>O Registro de Preço pelo prazo de 12 (doze) meses para eventual aquisição de medicamento e/ou suplementos para a Secretaria de Saúde e em cumprimento à Ação Judicial</w:t>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jc w:val="both"/>
        <w:rPr>
          <w:rFonts w:ascii="Arial" w:hAnsi="Arial" w:cs="Arial"/>
          <w:sz w:val="22"/>
          <w:szCs w:val="22"/>
        </w:rPr>
      </w:pPr>
      <w:bookmarkStart w:id="54" w:name="_Hlk215654726"/>
      <w:r>
        <w:rPr>
          <w:rFonts w:cs="Arial" w:ascii="Arial" w:hAnsi="Arial"/>
          <w:b/>
          <w:bCs/>
          <w:sz w:val="22"/>
          <w:szCs w:val="22"/>
        </w:rPr>
        <w:t>Pregão Eletrônico Nº 94/2025,</w:t>
      </w:r>
      <w:r>
        <w:rPr>
          <w:rFonts w:cs="Arial" w:ascii="Arial" w:hAnsi="Arial"/>
          <w:sz w:val="22"/>
          <w:szCs w:val="22"/>
        </w:rPr>
        <w:t xml:space="preserve"> </w:t>
      </w:r>
      <w:r>
        <w:rPr>
          <w:rFonts w:cs="Arial" w:ascii="Arial" w:hAnsi="Arial"/>
          <w:b/>
          <w:bCs/>
          <w:sz w:val="22"/>
          <w:szCs w:val="22"/>
        </w:rPr>
        <w:t>Edital Nº 119/2025</w:t>
      </w:r>
      <w:r>
        <w:rPr>
          <w:rFonts w:cs="Arial" w:ascii="Arial" w:hAnsi="Arial"/>
          <w:sz w:val="22"/>
          <w:szCs w:val="22"/>
        </w:rPr>
        <w:t>, Tipo Menor Preço por Item. Objeto: O Registro de Preço pelo prazo de 12 (doze) meses para eventual aquisição de medicamento e/ou suplementos para a Secretaria de Saúde e em cumprimento à Ação Judicial. Os cadastros das Propostas serão recebidos até o dia</w:t>
      </w:r>
      <w:r>
        <w:rPr>
          <w:rFonts w:cs="Arial" w:ascii="Arial" w:hAnsi="Arial"/>
          <w:b/>
          <w:sz w:val="22"/>
          <w:szCs w:val="22"/>
        </w:rPr>
        <w:t xml:space="preserve"> </w:t>
      </w:r>
      <w:r>
        <w:rPr>
          <w:rFonts w:cs="Arial" w:ascii="Arial" w:hAnsi="Arial"/>
          <w:b/>
          <w:sz w:val="22"/>
          <w:szCs w:val="22"/>
          <w:u w:val="single"/>
        </w:rPr>
        <w:t>19 de janeiro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0">
        <w:r>
          <w:rPr>
            <w:rStyle w:val="Hyperlink"/>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1">
        <w:r>
          <w:rPr>
            <w:rStyle w:val="Hyperlink"/>
            <w:rFonts w:cs="Arial" w:ascii="Arial" w:hAnsi="Arial"/>
            <w:color w:val="auto"/>
            <w:sz w:val="22"/>
            <w:szCs w:val="22"/>
          </w:rPr>
          <w:t>www.itatiba.sp.gov.br</w:t>
        </w:r>
      </w:hyperlink>
      <w:r>
        <w:rPr>
          <w:rFonts w:cs="Arial" w:ascii="Arial" w:hAnsi="Arial"/>
          <w:sz w:val="22"/>
          <w:szCs w:val="22"/>
        </w:rPr>
        <w:t xml:space="preserve"> e </w:t>
      </w:r>
      <w:hyperlink r:id="rId22">
        <w:r>
          <w:rPr>
            <w:rStyle w:val="Hyperlink"/>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Telefone: (11) 3183-0655. Maria Ângela Camargo Correa de Lima - Pregoeira. </w:t>
      </w:r>
      <w:bookmarkEnd w:id="54"/>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sectPr>
      <w:headerReference w:type="even" r:id="rId23"/>
      <w:headerReference w:type="default" r:id="rId24"/>
      <w:headerReference w:type="first" r:id="rId25"/>
      <w:footerReference w:type="even" r:id="rId26"/>
      <w:footerReference w:type="default" r:id="rId27"/>
      <w:footerReference w:type="first" r:id="rId28"/>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roman"/>
    <w:pitch w:val="variable"/>
  </w:font>
  <w:font w:name="Georgia">
    <w:charset w:val="00"/>
    <w:family w:val="roman"/>
    <w:pitch w:val="variable"/>
  </w:font>
  <w:font w:name="Liberation Sans">
    <w:altName w:val="Arial"/>
    <w:charset w:val="00"/>
    <w:family w:val="swiss"/>
    <w:pitch w:val="variable"/>
  </w:font>
  <w:font w:name="Calibri">
    <w:charset w:val="00"/>
    <w:family w:val="swiss"/>
    <w:pitch w:val="variable"/>
  </w:font>
  <w:font w:name="Helvetica LT Light">
    <w:altName w:val="Times New Ro"/>
    <w:charset w:val="00"/>
    <w:family w:val="roman"/>
    <w:pitch w:val="variable"/>
  </w:font>
  <w:font w:name="Conduit ITC Light">
    <w:altName w:val="Cambria"/>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62</w:t>
    </w:r>
    <w:r>
      <w:rPr/>
      <w:fldChar w:fldCharType="end"/>
    </w:r>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62</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bullet"/>
      <w:lvlText w:val=""/>
      <w:lvlJc w:val="left"/>
      <w:pPr>
        <w:tabs>
          <w:tab w:val="num" w:pos="709"/>
        </w:tabs>
        <w:ind w:left="360" w:hanging="360"/>
      </w:pPr>
      <w:rPr>
        <w:rFonts w:ascii="Wingdings" w:hAnsi="Wingdings" w:cs="Wingdings" w:hint="default"/>
        <w:sz w:val="22"/>
        <w:szCs w:val="22"/>
      </w:rPr>
    </w:lvl>
    <w:lvl w:ilvl="1">
      <w:start w:val="1"/>
      <w:numFmt w:val="bullet"/>
      <w:lvlText w:val=""/>
      <w:lvlJc w:val="left"/>
      <w:pPr>
        <w:tabs>
          <w:tab w:val="num" w:pos="0"/>
        </w:tabs>
        <w:ind w:left="720" w:hanging="360"/>
      </w:pPr>
      <w:rPr>
        <w:rFonts w:ascii="Wingdings" w:hAnsi="Wingdings" w:cs="Wingdings" w:hint="default"/>
        <w:sz w:val="22"/>
        <w:szCs w:val="22"/>
      </w:rPr>
    </w:lvl>
    <w:lvl w:ilvl="2">
      <w:start w:val="1"/>
      <w:numFmt w:val="bullet"/>
      <w:lvlText w:val=""/>
      <w:lvlJc w:val="left"/>
      <w:pPr>
        <w:tabs>
          <w:tab w:val="num" w:pos="0"/>
        </w:tabs>
        <w:ind w:left="1080" w:hanging="360"/>
      </w:pPr>
      <w:rPr>
        <w:rFonts w:ascii="Wingdings" w:hAnsi="Wingdings" w:cs="Wingdings" w:hint="default"/>
        <w:sz w:val="22"/>
        <w:szCs w:val="22"/>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2"/>
        <w:szCs w:val="22"/>
      </w:rPr>
    </w:lvl>
    <w:lvl w:ilvl="6">
      <w:start w:val="1"/>
      <w:numFmt w:val="bullet"/>
      <w:lvlText w:val=""/>
      <w:lvlJc w:val="left"/>
      <w:pPr>
        <w:tabs>
          <w:tab w:val="num" w:pos="0"/>
        </w:tabs>
        <w:ind w:left="2520" w:hanging="360"/>
      </w:pPr>
      <w:rPr>
        <w:rFonts w:ascii="Wingdings" w:hAnsi="Wingdings" w:cs="Wingdings" w:hint="default"/>
        <w:sz w:val="22"/>
        <w:szCs w:val="22"/>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4">
    <w:lvl w:ilvl="0">
      <w:start w:val="6"/>
      <w:numFmt w:val="decimal"/>
      <w:lvlText w:val="%1"/>
      <w:lvlJc w:val="left"/>
      <w:pPr>
        <w:tabs>
          <w:tab w:val="num" w:pos="0"/>
        </w:tabs>
        <w:ind w:left="72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0" w:firstLine="36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6">
    <w:lvl w:ilvl="0">
      <w:start w:val="1"/>
      <w:numFmt w:val="lowerLetter"/>
      <w:lvlText w:val="%1)"/>
      <w:lvlJc w:val="left"/>
      <w:pPr>
        <w:tabs>
          <w:tab w:val="num" w:pos="709"/>
        </w:tabs>
        <w:ind w:left="360" w:hanging="360"/>
      </w:pPr>
      <w:rPr>
        <w:sz w:val="22"/>
        <w:szCs w:val="22"/>
      </w:rPr>
    </w:lvl>
    <w:lvl w:ilvl="1">
      <w:start w:val="1"/>
      <w:numFmt w:val="bullet"/>
      <w:lvlText w:val=""/>
      <w:lvlJc w:val="left"/>
      <w:pPr>
        <w:tabs>
          <w:tab w:val="num" w:pos="0"/>
        </w:tabs>
        <w:ind w:left="720" w:hanging="360"/>
      </w:pPr>
      <w:rPr>
        <w:rFonts w:ascii="Wingdings" w:hAnsi="Wingdings" w:cs="Wingdings" w:hint="default"/>
        <w:sz w:val="22"/>
        <w:szCs w:val="22"/>
      </w:rPr>
    </w:lvl>
    <w:lvl w:ilvl="2">
      <w:start w:val="1"/>
      <w:numFmt w:val="bullet"/>
      <w:lvlText w:val=""/>
      <w:lvlJc w:val="left"/>
      <w:pPr>
        <w:tabs>
          <w:tab w:val="num" w:pos="0"/>
        </w:tabs>
        <w:ind w:left="1080" w:hanging="360"/>
      </w:pPr>
      <w:rPr>
        <w:rFonts w:ascii="Wingdings" w:hAnsi="Wingdings" w:cs="Wingdings" w:hint="default"/>
        <w:sz w:val="22"/>
        <w:szCs w:val="22"/>
      </w:rPr>
    </w:lvl>
    <w:lvl w:ilvl="3">
      <w:start w:val="1"/>
      <w:numFmt w:val="bullet"/>
      <w:lvlText w:val=""/>
      <w:lvlJc w:val="left"/>
      <w:pPr>
        <w:tabs>
          <w:tab w:val="num" w:pos="0"/>
        </w:tabs>
        <w:ind w:left="1440" w:hanging="360"/>
      </w:pPr>
      <w:rPr>
        <w:rFonts w:ascii="Symbol" w:hAnsi="Symbol" w:cs="Symbol" w:hint="default"/>
      </w:rPr>
    </w:lvl>
    <w:lvl w:ilvl="4">
      <w:start w:val="1"/>
      <w:numFmt w:val="bullet"/>
      <w:lvlText w:val=""/>
      <w:lvlJc w:val="left"/>
      <w:pPr>
        <w:tabs>
          <w:tab w:val="num" w:pos="0"/>
        </w:tabs>
        <w:ind w:left="1800" w:hanging="360"/>
      </w:pPr>
      <w:rPr>
        <w:rFonts w:ascii="Symbol" w:hAnsi="Symbol" w:cs="Symbol" w:hint="default"/>
      </w:rPr>
    </w:lvl>
    <w:lvl w:ilvl="5">
      <w:start w:val="1"/>
      <w:numFmt w:val="bullet"/>
      <w:lvlText w:val=""/>
      <w:lvlJc w:val="left"/>
      <w:pPr>
        <w:tabs>
          <w:tab w:val="num" w:pos="0"/>
        </w:tabs>
        <w:ind w:left="2160" w:hanging="360"/>
      </w:pPr>
      <w:rPr>
        <w:rFonts w:ascii="Wingdings" w:hAnsi="Wingdings" w:cs="Wingdings" w:hint="default"/>
        <w:sz w:val="22"/>
        <w:szCs w:val="22"/>
      </w:rPr>
    </w:lvl>
    <w:lvl w:ilvl="6">
      <w:start w:val="1"/>
      <w:numFmt w:val="bullet"/>
      <w:lvlText w:val=""/>
      <w:lvlJc w:val="left"/>
      <w:pPr>
        <w:tabs>
          <w:tab w:val="num" w:pos="0"/>
        </w:tabs>
        <w:ind w:left="2520" w:hanging="360"/>
      </w:pPr>
      <w:rPr>
        <w:rFonts w:ascii="Wingdings" w:hAnsi="Wingdings" w:cs="Wingdings" w:hint="default"/>
        <w:sz w:val="22"/>
        <w:szCs w:val="22"/>
      </w:rPr>
    </w:lvl>
    <w:lvl w:ilvl="7">
      <w:start w:val="1"/>
      <w:numFmt w:val="bullet"/>
      <w:lvlText w:val=""/>
      <w:lvlJc w:val="left"/>
      <w:pPr>
        <w:tabs>
          <w:tab w:val="num" w:pos="0"/>
        </w:tabs>
        <w:ind w:left="2880" w:hanging="360"/>
      </w:pPr>
      <w:rPr>
        <w:rFonts w:ascii="Symbol" w:hAnsi="Symbol" w:cs="Symbol" w:hint="default"/>
      </w:rPr>
    </w:lvl>
    <w:lvl w:ilvl="8">
      <w:start w:val="1"/>
      <w:numFmt w:val="bullet"/>
      <w:lvlText w:val=""/>
      <w:lvlJc w:val="left"/>
      <w:pPr>
        <w:tabs>
          <w:tab w:val="num" w:pos="0"/>
        </w:tabs>
        <w:ind w:left="3240" w:hanging="360"/>
      </w:pPr>
      <w:rPr>
        <w:rFonts w:ascii="Symbol" w:hAnsi="Symbol" w:cs="Symbol" w:hint="default"/>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lowerRoman"/>
      <w:lvlText w:val="%1."/>
      <w:lvlJc w:val="left"/>
      <w:pPr>
        <w:tabs>
          <w:tab w:val="num" w:pos="0"/>
        </w:tabs>
        <w:ind w:left="360" w:hanging="360"/>
      </w:pPr>
      <w:rPr>
        <w:rFonts w:ascii="Arial" w:hAnsi="Arial" w:eastAsia="Arial" w:cs="Arial"/>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
    <w:lvl w:ilvl="0">
      <w:start w:val="1"/>
      <w:numFmt w:val="lowerRoman"/>
      <w:lvlText w:val="%1)"/>
      <w:lvlJc w:val="left"/>
      <w:pPr>
        <w:tabs>
          <w:tab w:val="num" w:pos="0"/>
        </w:tabs>
        <w:ind w:left="2628" w:hanging="360"/>
      </w:pPr>
      <w:rPr>
        <w:b/>
        <w:rFonts w:ascii="Arial" w:hAnsi="Arial" w:eastAsia="MS Mincho;ＭＳ 明朝" w:cs="Arial"/>
      </w:rPr>
    </w:lvl>
    <w:lvl w:ilvl="1">
      <w:start w:val="1"/>
      <w:numFmt w:val="decimal"/>
      <w:lvlText w:val="%1.%2."/>
      <w:lvlJc w:val="left"/>
      <w:pPr>
        <w:tabs>
          <w:tab w:val="num" w:pos="0"/>
        </w:tabs>
        <w:ind w:left="6103" w:hanging="432"/>
      </w:pPr>
      <w:rPr>
        <w:dstrike w:val="false"/>
        <w:strike w:val="false"/>
        <w:sz w:val="20"/>
        <w:i w:val="false"/>
        <w:u w:val="none"/>
        <w:b w:val="false"/>
        <w:szCs w:val="20"/>
        <w:color w:val="000000"/>
      </w:rPr>
    </w:lvl>
    <w:lvl w:ilvl="2">
      <w:start w:val="1"/>
      <w:numFmt w:val="decimal"/>
      <w:lvlText w:val="%1.%2.%3."/>
      <w:lvlJc w:val="left"/>
      <w:pPr>
        <w:tabs>
          <w:tab w:val="num" w:pos="0"/>
        </w:tabs>
        <w:ind w:left="3198"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0"/>
        </w:tabs>
        <w:ind w:left="720" w:hanging="360"/>
      </w:pPr>
      <w:rPr>
        <w:rFonts w:eastAsia="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
      <w:numFmt w:val="decimal"/>
      <w:lvlText w:val="%1"/>
      <w:lvlJc w:val="left"/>
      <w:pPr>
        <w:tabs>
          <w:tab w:val="num" w:pos="0"/>
        </w:tabs>
        <w:ind w:left="390" w:hanging="390"/>
      </w:pPr>
      <w:rPr/>
    </w:lvl>
    <w:lvl w:ilvl="1">
      <w:start w:val="1"/>
      <w:numFmt w:val="decimal"/>
      <w:lvlText w:val="%1.%2"/>
      <w:lvlJc w:val="left"/>
      <w:pPr>
        <w:tabs>
          <w:tab w:val="num" w:pos="0"/>
        </w:tabs>
        <w:ind w:left="390" w:hanging="39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5">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
    <w:lvl w:ilvl="0">
      <w:start w:val="1"/>
      <w:numFmt w:val="decimal"/>
      <w:lvlText w:val="%1."/>
      <w:lvlJc w:val="left"/>
      <w:pPr>
        <w:tabs>
          <w:tab w:val="num" w:pos="0"/>
        </w:tabs>
        <w:ind w:left="2628" w:hanging="360"/>
      </w:pPr>
      <w:rPr>
        <w:b/>
      </w:rPr>
    </w:lvl>
    <w:lvl w:ilvl="1">
      <w:start w:val="1"/>
      <w:numFmt w:val="decimal"/>
      <w:lvlText w:val="%1.%2."/>
      <w:lvlJc w:val="left"/>
      <w:pPr>
        <w:tabs>
          <w:tab w:val="num" w:pos="0"/>
        </w:tabs>
        <w:ind w:left="4401" w:hanging="432"/>
      </w:pPr>
      <w:rPr>
        <w:dstrike w:val="false"/>
        <w:strike w:val="false"/>
        <w:sz w:val="20"/>
        <w:i w:val="false"/>
        <w:u w:val="none"/>
        <w:b w:val="false"/>
        <w:szCs w:val="20"/>
        <w:color w:val="000000"/>
      </w:rPr>
    </w:lvl>
    <w:lvl w:ilvl="2">
      <w:start w:val="1"/>
      <w:numFmt w:val="decimal"/>
      <w:lvlText w:val="%1.%2.%3."/>
      <w:lvlJc w:val="left"/>
      <w:pPr>
        <w:tabs>
          <w:tab w:val="num" w:pos="0"/>
        </w:tabs>
        <w:ind w:left="1214"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0"/>
      <w:numFmt w:val="lowerLetter"/>
      <w:lvlText w:val="%1)"/>
      <w:lvlJc w:val="left"/>
      <w:pPr>
        <w:tabs>
          <w:tab w:val="num" w:pos="0"/>
        </w:tabs>
        <w:ind w:left="2628" w:hanging="360"/>
      </w:pPr>
      <w:rPr>
        <w:sz w:val="22"/>
      </w:rPr>
    </w:lvl>
    <w:lvl w:ilvl="1">
      <w:start w:val="1"/>
      <w:numFmt w:val="lowerLetter"/>
      <w:lvlText w:val="%2."/>
      <w:lvlJc w:val="left"/>
      <w:pPr>
        <w:tabs>
          <w:tab w:val="num" w:pos="0"/>
        </w:tabs>
        <w:ind w:left="3348" w:hanging="360"/>
      </w:pPr>
      <w:rPr/>
    </w:lvl>
    <w:lvl w:ilvl="2">
      <w:start w:val="1"/>
      <w:numFmt w:val="lowerRoman"/>
      <w:lvlText w:val="%3."/>
      <w:lvlJc w:val="right"/>
      <w:pPr>
        <w:tabs>
          <w:tab w:val="num" w:pos="0"/>
        </w:tabs>
        <w:ind w:left="4068" w:hanging="180"/>
      </w:pPr>
      <w:rPr/>
    </w:lvl>
    <w:lvl w:ilvl="3">
      <w:start w:val="1"/>
      <w:numFmt w:val="decimal"/>
      <w:lvlText w:val="%4."/>
      <w:lvlJc w:val="left"/>
      <w:pPr>
        <w:tabs>
          <w:tab w:val="num" w:pos="0"/>
        </w:tabs>
        <w:ind w:left="4788" w:hanging="360"/>
      </w:pPr>
      <w:rPr/>
    </w:lvl>
    <w:lvl w:ilvl="4">
      <w:start w:val="1"/>
      <w:numFmt w:val="lowerLetter"/>
      <w:lvlText w:val="%5."/>
      <w:lvlJc w:val="left"/>
      <w:pPr>
        <w:tabs>
          <w:tab w:val="num" w:pos="0"/>
        </w:tabs>
        <w:ind w:left="5508" w:hanging="360"/>
      </w:pPr>
      <w:rPr/>
    </w:lvl>
    <w:lvl w:ilvl="5">
      <w:start w:val="1"/>
      <w:numFmt w:val="lowerRoman"/>
      <w:lvlText w:val="%6."/>
      <w:lvlJc w:val="right"/>
      <w:pPr>
        <w:tabs>
          <w:tab w:val="num" w:pos="0"/>
        </w:tabs>
        <w:ind w:left="6228" w:hanging="180"/>
      </w:pPr>
      <w:rPr/>
    </w:lvl>
    <w:lvl w:ilvl="6">
      <w:start w:val="1"/>
      <w:numFmt w:val="decimal"/>
      <w:lvlText w:val="%7."/>
      <w:lvlJc w:val="left"/>
      <w:pPr>
        <w:tabs>
          <w:tab w:val="num" w:pos="0"/>
        </w:tabs>
        <w:ind w:left="6948" w:hanging="360"/>
      </w:pPr>
      <w:rPr/>
    </w:lvl>
    <w:lvl w:ilvl="7">
      <w:start w:val="1"/>
      <w:numFmt w:val="lowerLetter"/>
      <w:lvlText w:val="%8."/>
      <w:lvlJc w:val="left"/>
      <w:pPr>
        <w:tabs>
          <w:tab w:val="num" w:pos="0"/>
        </w:tabs>
        <w:ind w:left="7668" w:hanging="360"/>
      </w:pPr>
      <w:rPr/>
    </w:lvl>
    <w:lvl w:ilvl="8">
      <w:start w:val="1"/>
      <w:numFmt w:val="lowerRoman"/>
      <w:lvlText w:val="%9."/>
      <w:lvlJc w:val="right"/>
      <w:pPr>
        <w:tabs>
          <w:tab w:val="num" w:pos="0"/>
        </w:tabs>
        <w:ind w:left="8388" w:hanging="180"/>
      </w:pPr>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5"/>
    <w:lvlOverride w:ilvl="0">
      <w:startOverride w:val="1"/>
    </w:lvlOverride>
  </w:num>
</w:numbering>
</file>

<file path=word/settings.xml><?xml version="1.0" encoding="utf-8"?>
<w:settings xmlns:w="http://schemas.openxmlformats.org/wordprocessingml/2006/main">
  <w:zoom w:percent="11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link w:val="Ttulo5Char"/>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link w:val="Ttulo6Char"/>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rFonts w:ascii="Wingdings" w:hAnsi="Wingdings" w:cs="Wingdings"/>
      <w:sz w:val="22"/>
      <w:szCs w:val="22"/>
    </w:rPr>
  </w:style>
  <w:style w:type="character" w:styleId="WW8Num3z3" w:customStyle="1">
    <w:name w:val="WW8Num3z3"/>
    <w:qFormat/>
    <w:rPr>
      <w:rFonts w:ascii="Symbol" w:hAnsi="Symbol" w:cs="Symbol"/>
    </w:rPr>
  </w:style>
  <w:style w:type="character" w:styleId="WW8Num4z0" w:customStyle="1">
    <w:name w:val="WW8Num4z0"/>
    <w:qFormat/>
    <w:rPr/>
  </w:style>
  <w:style w:type="character" w:styleId="WW8Num5z0" w:customStyle="1">
    <w:name w:val="WW8Num5z0"/>
    <w:qFormat/>
    <w:rPr>
      <w:b/>
    </w:rPr>
  </w:style>
  <w:style w:type="character" w:styleId="WW8Num5z1" w:customStyle="1">
    <w:name w:val="WW8Num5z1"/>
    <w:qFormat/>
    <w:rPr>
      <w:b w:val="false"/>
      <w:i w:val="false"/>
      <w:strike w:val="false"/>
      <w:dstrike w:val="false"/>
      <w:color w:val="000000"/>
      <w:sz w:val="20"/>
      <w:szCs w:val="20"/>
      <w:u w:val="none"/>
    </w:rPr>
  </w:style>
  <w:style w:type="character" w:styleId="WW8Num5z2" w:customStyle="1">
    <w:name w:val="WW8Num5z2"/>
    <w:qFormat/>
    <w:rPr>
      <w:rFonts w:ascii="Arial" w:hAnsi="Arial" w:cs="Arial"/>
      <w:b w:val="false"/>
      <w:i w:val="false"/>
      <w:strike w:val="false"/>
      <w:dstrike w:val="false"/>
      <w:color w:val="000000"/>
      <w:sz w:val="20"/>
      <w:szCs w:val="20"/>
    </w:rPr>
  </w:style>
  <w:style w:type="character" w:styleId="WW8Num6z0" w:customStyle="1">
    <w:name w:val="WW8Num6z0"/>
    <w:qFormat/>
    <w:rPr>
      <w:sz w:val="22"/>
      <w:szCs w:val="22"/>
    </w:rPr>
  </w:style>
  <w:style w:type="character" w:styleId="WW8Num6z1" w:customStyle="1">
    <w:name w:val="WW8Num6z1"/>
    <w:qFormat/>
    <w:rPr>
      <w:rFonts w:ascii="Wingdings" w:hAnsi="Wingdings" w:cs="Wingdings"/>
      <w:sz w:val="22"/>
      <w:szCs w:val="22"/>
    </w:rPr>
  </w:style>
  <w:style w:type="character" w:styleId="WW8Num6z3" w:customStyle="1">
    <w:name w:val="WW8Num6z3"/>
    <w:qFormat/>
    <w:rPr>
      <w:rFonts w:ascii="Symbol" w:hAnsi="Symbol" w:cs="Symbol"/>
    </w:rPr>
  </w:style>
  <w:style w:type="character" w:styleId="WW8Num8z0" w:customStyle="1">
    <w:name w:val="WW8Num8z0"/>
    <w:qFormat/>
    <w:rPr>
      <w:b/>
    </w:rPr>
  </w:style>
  <w:style w:type="character" w:styleId="WW8Num8z1" w:customStyle="1">
    <w:name w:val="WW8Num8z1"/>
    <w:qFormat/>
    <w:rPr>
      <w:b w:val="false"/>
      <w:i w:val="false"/>
      <w:strike w:val="false"/>
      <w:dstrike w:val="false"/>
      <w:color w:val="000000"/>
      <w:sz w:val="20"/>
      <w:szCs w:val="20"/>
      <w:u w:val="none"/>
    </w:rPr>
  </w:style>
  <w:style w:type="character" w:styleId="WW8Num8z2" w:customStyle="1">
    <w:name w:val="WW8Num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9z0" w:customStyle="1">
    <w:name w:val="WW8Num9z0"/>
    <w:qFormat/>
    <w:rPr/>
  </w:style>
  <w:style w:type="character" w:styleId="WW8Num11z0" w:customStyle="1">
    <w:name w:val="WW8Num11z0"/>
    <w:qFormat/>
    <w:rPr/>
  </w:style>
  <w:style w:type="character" w:styleId="WW8Num13z0" w:customStyle="1">
    <w:name w:val="WW8Num13z0"/>
    <w:qFormat/>
    <w:rPr/>
  </w:style>
  <w:style w:type="character" w:styleId="WW8Num14z0" w:customStyle="1">
    <w:name w:val="WW8Num14z0"/>
    <w:qFormat/>
    <w:rPr/>
  </w:style>
  <w:style w:type="character" w:styleId="WW8Num16z0" w:customStyle="1">
    <w:name w:val="WW8Num16z0"/>
    <w:qFormat/>
    <w:rPr>
      <w:b/>
    </w:rPr>
  </w:style>
  <w:style w:type="character" w:styleId="WW8Num16z1" w:customStyle="1">
    <w:name w:val="WW8Num16z1"/>
    <w:qFormat/>
    <w:rPr>
      <w:b w:val="false"/>
      <w:i w:val="false"/>
      <w:strike w:val="false"/>
      <w:dstrike w:val="false"/>
      <w:color w:val="000000"/>
      <w:sz w:val="20"/>
      <w:szCs w:val="20"/>
      <w:u w:val="none"/>
    </w:rPr>
  </w:style>
  <w:style w:type="character" w:styleId="WW8Num16z2" w:customStyle="1">
    <w:name w:val="WW8Num16z2"/>
    <w:qFormat/>
    <w:rPr>
      <w:rFonts w:ascii="Arial" w:hAnsi="Arial" w:cs="Arial"/>
      <w:b w:val="false"/>
      <w:i w:val="false"/>
      <w:strike w:val="false"/>
      <w:dstrike w:val="false"/>
      <w:color w:val="000000"/>
      <w:sz w:val="20"/>
      <w:szCs w:val="20"/>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z w:val="22"/>
      <w:szCs w:val="22"/>
    </w:rPr>
  </w:style>
  <w:style w:type="character" w:styleId="WW8Num21z1" w:customStyle="1">
    <w:name w:val="WW8Num21z1"/>
    <w:qFormat/>
    <w:rPr>
      <w:rFonts w:ascii="Wingdings" w:hAnsi="Wingdings" w:cs="Wingdings"/>
      <w:sz w:val="22"/>
      <w:szCs w:val="22"/>
    </w:rPr>
  </w:style>
  <w:style w:type="character" w:styleId="WW8Num21z3" w:customStyle="1">
    <w:name w:val="WW8Num21z3"/>
    <w:qFormat/>
    <w:rPr>
      <w:rFonts w:ascii="Symbol" w:hAnsi="Symbol" w:cs="Symbol"/>
    </w:rPr>
  </w:style>
  <w:style w:type="character" w:styleId="WW8Num22z0" w:customStyle="1">
    <w:name w:val="WW8Num22z0"/>
    <w:qFormat/>
    <w:rPr/>
  </w:style>
  <w:style w:type="character" w:styleId="WW8Num24z0" w:customStyle="1">
    <w:name w:val="WW8Num24z0"/>
    <w:qFormat/>
    <w:rPr>
      <w:rFonts w:ascii="Times New Roman" w:hAnsi="Times New Roman" w:cs="Arial"/>
      <w:b/>
      <w:sz w:val="22"/>
      <w:szCs w:val="23"/>
    </w:rPr>
  </w:style>
  <w:style w:type="character" w:styleId="WW8Num24z1" w:customStyle="1">
    <w:name w:val="WW8Num24z1"/>
    <w:qFormat/>
    <w:rPr>
      <w:b w:val="false"/>
      <w:i w:val="false"/>
      <w:strike w:val="false"/>
      <w:dstrike w:val="false"/>
      <w:color w:val="000000"/>
      <w:sz w:val="20"/>
      <w:szCs w:val="20"/>
      <w:u w:val="none"/>
    </w:rPr>
  </w:style>
  <w:style w:type="character" w:styleId="WW8Num24z2" w:customStyle="1">
    <w:name w:val="WW8Num24z2"/>
    <w:qFormat/>
    <w:rPr>
      <w:rFonts w:ascii="Arial" w:hAnsi="Arial" w:cs="Arial"/>
      <w:b w:val="false"/>
      <w:i w:val="false"/>
      <w:strike w:val="false"/>
      <w:dstrike w:val="false"/>
      <w:color w:val="000000"/>
      <w:sz w:val="20"/>
      <w:szCs w:val="20"/>
    </w:rPr>
  </w:style>
  <w:style w:type="character" w:styleId="WW8Num25z0" w:customStyle="1">
    <w:name w:val="WW8Num25z0"/>
    <w:qFormat/>
    <w:rPr/>
  </w:style>
  <w:style w:type="character" w:styleId="WW8Num26z0" w:customStyle="1">
    <w:name w:val="WW8Num26z0"/>
    <w:qFormat/>
    <w:rPr/>
  </w:style>
  <w:style w:type="character" w:styleId="WW8Num27z1" w:customStyle="1">
    <w:name w:val="WW8Num27z1"/>
    <w:qFormat/>
    <w:rPr>
      <w:b w:val="false"/>
      <w:i w:val="false"/>
    </w:rPr>
  </w:style>
  <w:style w:type="character" w:styleId="WW8Num27z2" w:customStyle="1">
    <w:name w:val="WW8Num27z2"/>
    <w:qFormat/>
    <w:rPr>
      <w:b w:val="false"/>
    </w:rPr>
  </w:style>
  <w:style w:type="character" w:styleId="WW8Num28z0" w:customStyle="1">
    <w:name w:val="WW8Num28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7z0" w:customStyle="1">
    <w:name w:val="WW8Num7z0"/>
    <w:qFormat/>
    <w:rPr>
      <w:sz w:val="24"/>
      <w:szCs w:val="24"/>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ascii="Symbol" w:hAnsi="Symbol" w:cs="Symbol"/>
    </w:rPr>
  </w:style>
  <w:style w:type="character" w:styleId="WW8Num12z0" w:customStyle="1">
    <w:name w:val="WW8Num12z0"/>
    <w:qFormat/>
    <w:rPr>
      <w:rFonts w:ascii="Symbol" w:hAnsi="Symbol" w:cs="Symbol"/>
      <w:color w:val="000000"/>
    </w:rPr>
  </w:style>
  <w:style w:type="character" w:styleId="WW8Num15z0" w:customStyle="1">
    <w:name w:val="WW8Num15z0"/>
    <w:qFormat/>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2" w:customStyle="1">
    <w:name w:val="WW8Num21z2"/>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0" w:customStyle="1">
    <w:name w:val="WW8Num23z0"/>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uiPriority w:val="9"/>
    <w:qFormat/>
    <w:rPr>
      <w:rFonts w:ascii="Arial" w:hAnsi="Arial" w:cs="Arial"/>
      <w:b/>
      <w:bCs/>
      <w:kern w:val="2"/>
      <w:sz w:val="32"/>
      <w:szCs w:val="32"/>
      <w:lang w:val="pt-BR" w:bidi="ar-SA"/>
    </w:rPr>
  </w:style>
  <w:style w:type="character" w:styleId="Ttulo2Char" w:customStyle="1">
    <w:name w:val="Título 2 Char"/>
    <w:uiPriority w:val="9"/>
    <w:qFormat/>
    <w:rPr>
      <w:rFonts w:ascii="Arial" w:hAnsi="Arial" w:cs="Arial"/>
      <w:b/>
      <w:bCs/>
      <w:i/>
      <w:iCs/>
      <w:sz w:val="28"/>
      <w:szCs w:val="28"/>
      <w:lang w:val="pt-BR" w:bidi="ar-SA"/>
    </w:rPr>
  </w:style>
  <w:style w:type="character" w:styleId="Ttulo3Char" w:customStyle="1">
    <w:name w:val="Título 3 Char"/>
    <w:uiPriority w:val="9"/>
    <w:qFormat/>
    <w:rPr>
      <w:rFonts w:ascii="Cambria" w:hAnsi="Cambria" w:cs="Cambria"/>
      <w:b/>
      <w:bCs/>
      <w:color w:val="4F81BD"/>
      <w:sz w:val="24"/>
      <w:szCs w:val="24"/>
      <w:lang w:val="pt-BR" w:bidi="ar-SA"/>
    </w:rPr>
  </w:style>
  <w:style w:type="character" w:styleId="Ttulo4Char" w:customStyle="1">
    <w:name w:val="Título 4 Char"/>
    <w:uiPriority w:val="9"/>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Times New Ro"/>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Nvel3Char" w:customStyle="1">
    <w:name w:val="Nível 3 Char"/>
    <w:qFormat/>
    <w:rPr>
      <w:rFonts w:ascii="Arial" w:hAnsi="Arial" w:cs="Arial"/>
    </w:rPr>
  </w:style>
  <w:style w:type="character" w:styleId="Nvel4Char" w:customStyle="1">
    <w:name w:val="Nível 4 Char"/>
    <w:qFormat/>
    <w:rPr>
      <w:rFonts w:ascii="Arial" w:hAnsi="Arial" w:cs="Arial"/>
    </w:rPr>
  </w:style>
  <w:style w:type="character" w:styleId="SubTitNNChar" w:customStyle="1">
    <w:name w:val="SubTitNN Char"/>
    <w:qFormat/>
    <w:rPr>
      <w:rFonts w:ascii="Arial" w:hAnsi="Arial" w:cs="Arial"/>
      <w:b/>
      <w:bCs/>
      <w:iCs/>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customStyle="1">
    <w:name w:val="Internet Link4"/>
    <w:qFormat/>
    <w:rPr>
      <w:color w:val="000080"/>
      <w:u w:val="single"/>
    </w:rPr>
  </w:style>
  <w:style w:type="character" w:styleId="Ttulo9Char" w:customStyle="1">
    <w:name w:val="Título 9 Char"/>
    <w:qFormat/>
    <w:rsid w:val="00710825"/>
    <w:rPr>
      <w:rFonts w:ascii="Arial" w:hAnsi="Arial" w:eastAsia="Times New Roman"/>
      <w:b/>
      <w:bCs/>
      <w:kern w:val="2"/>
      <w:sz w:val="24"/>
    </w:rPr>
  </w:style>
  <w:style w:type="character" w:styleId="InternetLink5">
    <w:name w:val="Internet Link5"/>
    <w:qFormat/>
    <w:rPr>
      <w:color w:val="000080"/>
      <w:u w:val="single"/>
    </w:rPr>
  </w:style>
  <w:style w:type="character" w:styleId="Ttulo5Char" w:customStyle="1">
    <w:name w:val="Título 5 Char"/>
    <w:basedOn w:val="DefaultParagraphFont"/>
    <w:uiPriority w:val="9"/>
    <w:semiHidden/>
    <w:qFormat/>
    <w:rsid w:val="003a5f45"/>
    <w:rPr>
      <w:rFonts w:ascii="Times New Roman" w:hAnsi="Times New Roman" w:eastAsia="Times New Roman" w:cs="Times New Roman"/>
      <w:b/>
      <w:bCs/>
      <w:i/>
      <w:iCs/>
      <w:kern w:val="2"/>
      <w:sz w:val="26"/>
      <w:szCs w:val="26"/>
      <w:lang w:bidi="ar-SA"/>
    </w:rPr>
  </w:style>
  <w:style w:type="character" w:styleId="Ttulo6Char" w:customStyle="1">
    <w:name w:val="Título 6 Char"/>
    <w:basedOn w:val="DefaultParagraphFont"/>
    <w:uiPriority w:val="9"/>
    <w:semiHidden/>
    <w:qFormat/>
    <w:rsid w:val="003a5f45"/>
    <w:rPr>
      <w:rFonts w:ascii="Times New Roman" w:hAnsi="Times New Roman" w:eastAsia="Times New Roman" w:cs="Times New Roman"/>
      <w:b/>
      <w:bCs/>
      <w:kern w:val="2"/>
      <w:sz w:val="22"/>
      <w:szCs w:val="22"/>
      <w:lang w:bidi="ar-SA"/>
    </w:rPr>
  </w:style>
  <w:style w:type="character" w:styleId="TtuloChar" w:customStyle="1">
    <w:name w:val="Título Char"/>
    <w:basedOn w:val="DefaultParagraphFont"/>
    <w:uiPriority w:val="10"/>
    <w:qFormat/>
    <w:rsid w:val="003a5f45"/>
    <w:rPr>
      <w:rFonts w:ascii="Liberation Sans;Arial" w:hAnsi="Liberation Sans;Arial" w:eastAsia="Microsoft YaHei"/>
      <w:kern w:val="2"/>
      <w:sz w:val="28"/>
      <w:szCs w:val="28"/>
      <w:lang w:bidi="ar-SA"/>
    </w:rPr>
  </w:style>
  <w:style w:type="character" w:styleId="SubttuloChar" w:customStyle="1">
    <w:name w:val="Subtítulo Char"/>
    <w:basedOn w:val="DefaultParagraphFont"/>
    <w:uiPriority w:val="11"/>
    <w:qFormat/>
    <w:rsid w:val="003a5f45"/>
    <w:rPr>
      <w:rFonts w:ascii="Georgia" w:hAnsi="Georgia" w:eastAsia="Georgia" w:cs="Georgia"/>
      <w:i/>
      <w:color w:val="666666"/>
      <w:sz w:val="48"/>
      <w:szCs w:val="48"/>
      <w:lang w:eastAsia="pt-BR" w:bidi="ar-SA"/>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link w:val="TtuloChar"/>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name w:val="Cabeçalho e rodapé6"/>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bidi="ar-SA" w:val="pt-BR" w:eastAsia="zh-CN"/>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Times New Ro" w:hAnsi="Helvetica LT Light;Times New Ro" w:eastAsia="Calibri" w:cs="Helvetica LT Light;Times New Ro"/>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bidi="ar-SA" w:val="pt-BR" w:eastAsia="zh-CN"/>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bidi="ar-SA" w:val="pt-BR" w:eastAsia="zh-CN"/>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bidi="ar-SA" w:val="pt-BR" w:eastAsia="zh-CN"/>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bidi="ar-SA" w:val="pt-BR" w:eastAsia="zh-CN"/>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ed1" w:customStyle="1">
    <w:name w:val="Body Text;Indented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5"/>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bidi="ar-SA" w:val="pt-BR" w:eastAsia="zh-CN"/>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Standard1" w:customStyle="1">
    <w:name w:val="Standard1"/>
    <w:qFormat/>
    <w:rsid w:val="003a5f45"/>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bidi="ar-SA" w:val="pt-BR" w:eastAsia="zh-CN"/>
    </w:rPr>
  </w:style>
  <w:style w:type="paragraph" w:styleId="Textbody" w:customStyle="1">
    <w:name w:val="Text body"/>
    <w:basedOn w:val="Standard"/>
    <w:qFormat/>
    <w:rsid w:val="003a5f45"/>
    <w:pPr>
      <w:widowControl/>
      <w:spacing w:lineRule="auto" w:line="288" w:before="0" w:after="140"/>
    </w:pPr>
    <w:rPr>
      <w:rFonts w:ascii="Calibri" w:hAnsi="Calibri" w:eastAsia="Times New Roman" w:cs="Times New Roman"/>
      <w:color w:val="auto"/>
      <w:sz w:val="22"/>
      <w:szCs w:val="22"/>
      <w:lang w:bidi="ar-SA"/>
    </w:rPr>
  </w:style>
  <w:style w:type="paragraph" w:styleId="Subtitle">
    <w:name w:val="Subtitle"/>
    <w:basedOn w:val="Normal"/>
    <w:next w:val="Normal"/>
    <w:link w:val="SubttuloChar"/>
    <w:uiPriority w:val="11"/>
    <w:qFormat/>
    <w:rsid w:val="003a5f45"/>
    <w:pPr>
      <w:keepNext w:val="true"/>
      <w:keepLines/>
      <w:suppressAutoHyphens w:val="false"/>
      <w:spacing w:before="360" w:after="80"/>
    </w:pPr>
    <w:rPr>
      <w:rFonts w:ascii="Georgia" w:hAnsi="Georgia" w:eastAsia="Georgia" w:cs="Georgia"/>
      <w:i/>
      <w:color w:val="666666"/>
      <w:kern w:val="0"/>
      <w:sz w:val="48"/>
      <w:szCs w:val="48"/>
      <w:lang w:eastAsia="pt-BR"/>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3a5f45"/>
    <w:rPr>
      <w:lang w:eastAsia="pt-BR" w:bidi="ar-S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planalto.gov.br/ccivil_03/_ato2015-2018/2015/decreto/d8539.htm" TargetMode="External"/><Relationship Id="rId10" Type="http://schemas.openxmlformats.org/officeDocument/2006/relationships/hyperlink" Target="http://www.planalto.gov.br/ccivil_03/_ato2019-2022/2021/lei/L1413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12"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8078compilado.htm" TargetMode="External"/><Relationship Id="rId14"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s://www.planalto.gov.br/ccivil_03/_ato2011-2014/2013/lei/l12846.htm" TargetMode="External"/><Relationship Id="rId17" Type="http://schemas.openxmlformats.org/officeDocument/2006/relationships/hyperlink" Target="http://www.planalto.gov.br/ccivil_03/_ato2019-2022/2021/lei/L14133.htm%25art159" TargetMode="External"/><Relationship Id="rId18" Type="http://schemas.openxmlformats.org/officeDocument/2006/relationships/hyperlink" Target="https://www.gov.br/compras/pt-br/acesso-a-informacao/legislacao/instrucoes-normativas/instrucao-normativa-seges-me-no-26-de-13-de-abril-de-2022" TargetMode="External"/><Relationship Id="rId19" Type="http://schemas.openxmlformats.org/officeDocument/2006/relationships/image" Target="media/image1.wmf"/><Relationship Id="rId20" Type="http://schemas.openxmlformats.org/officeDocument/2006/relationships/hyperlink" Target="http://www.bbmnetlicitacoes.com.br/" TargetMode="External"/><Relationship Id="rId21" Type="http://schemas.openxmlformats.org/officeDocument/2006/relationships/hyperlink" Target="http://www.itatiba.sp.gov.br/" TargetMode="External"/><Relationship Id="rId22" Type="http://schemas.openxmlformats.org/officeDocument/2006/relationships/hyperlink" Target="http://www.bbmnetlicitacoes.com.br/" TargetMode="External"/><Relationship Id="rId23" Type="http://schemas.openxmlformats.org/officeDocument/2006/relationships/header" Target="header1.xml"/><Relationship Id="rId24" Type="http://schemas.openxmlformats.org/officeDocument/2006/relationships/header" Target="header2.xml"/><Relationship Id="rId25" Type="http://schemas.openxmlformats.org/officeDocument/2006/relationships/header" Target="header3.xm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oter" Target="footer3.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120</TotalTime>
  <Application>LibreOffice/24.8.0.3$Windows_X86_64 LibreOffice_project/0bdf1299c94fe897b119f97f3c613e9dca6be583</Application>
  <AppVersion>15.0000</AppVersion>
  <Pages>64</Pages>
  <Words>17352</Words>
  <Characters>98393</Characters>
  <CharactersWithSpaces>114109</CharactersWithSpaces>
  <Paragraphs>1771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2025-11-14T11:16:00Z</dcterms:created>
  <dc:creator>eportella</dc:creator>
  <dc:description/>
  <dc:language>pt-BR</dc:language>
  <cp:lastModifiedBy/>
  <cp:lastPrinted>2025-11-17T16:09:00Z</cp:lastPrinted>
  <dcterms:modified xsi:type="dcterms:W3CDTF">2025-12-04T10:59:09Z</dcterms:modified>
  <cp:revision>18</cp:revision>
  <dc:subject/>
  <dc:title> </dc:title>
</cp:coreProperties>
</file>

<file path=docProps/custom.xml><?xml version="1.0" encoding="utf-8"?>
<Properties xmlns="http://schemas.openxmlformats.org/officeDocument/2006/custom-properties" xmlns:vt="http://schemas.openxmlformats.org/officeDocument/2006/docPropsVTypes"/>
</file>